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MILITARY SERVICE AND VETERAN RECIPROCITY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650—52.1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“licensure” </w:t>
      </w:r>
      <w:r>
        <w:rPr>
          <w:rFonts w:ascii="Times New Roman" w:hAnsi="Times New Roman"/>
          <w:b w:val="false"/>
          <w:i w:val="false"/>
          <w:color w:val="000000"/>
          <w:sz w:val="22"/>
        </w:rPr>
        <w:t>means any license, registration, certificate or permit that may be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5">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or in the organized reserves of the United States, as provided in 10 U.S.C. Section 10101.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who is requesting credit toward licensure or registration for military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means the process by which an individual licensed in another jurisdiction becomes licensed in Iowa and may also be referred to in other board rules as “licensure by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6">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1811C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4749C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6940C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650—52.2</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The completed military service application may be submitted with an application for licensure or examination or prior to an applicant’s applying for licensure or to take an examination.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educational licensure requirement to which the credit would be applied if granted. Credit shall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military service application, the board shall promptly determine whether the verified military education, training, or service will satisfy all or any part of the identified experience or educational licensure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The board shall grant the application in whole or in part if the board determines that the verified military education, training, or service satisfies all or part of the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52.2(6)</w:t>
      </w:r>
      <w:r>
        <w:rPr>
          <w:rFonts w:ascii="Times New Roman" w:hAnsi="Times New Roman"/>
          <w:b w:val="false"/>
          <w:i w:val="false"/>
          <w:color w:val="000000"/>
          <w:sz w:val="22"/>
        </w:rPr>
        <w:t> </w:t>
      </w:r>
      <w:r>
        <w:rPr>
          <w:rFonts w:ascii="Times New Roman" w:hAnsi="Times New Roman"/>
          <w:b w:val="false"/>
          <w:i w:val="false"/>
          <w:color w:val="000000"/>
          <w:sz w:val="22"/>
        </w:rPr>
        <w:t>The board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52.2(7)</w:t>
      </w:r>
      <w:r>
        <w:rPr>
          <w:rFonts w:ascii="Times New Roman" w:hAnsi="Times New Roman"/>
          <w:b w:val="false"/>
          <w:i w:val="false"/>
          <w:color w:val="000000"/>
          <w:sz w:val="22"/>
        </w:rPr>
        <w:t> </w:t>
      </w:r>
      <w:r>
        <w:rPr>
          <w:rFonts w:ascii="Times New Roman" w:hAnsi="Times New Roman"/>
          <w:b w:val="false"/>
          <w:i w:val="false"/>
          <w:color w:val="000000"/>
          <w:sz w:val="22"/>
        </w:rPr>
        <w:t>A military service applicant who is aggrieved by the board’s decision may request a contested case (administrative hearing) and may participate in a contested case by telephone. A request for a contested case shall be made within 30 days of issuance of the board’s decision. No fees or costs shall be assessed against the military service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52.2(8)</w:t>
      </w:r>
      <w:r>
        <w:rPr>
          <w:rFonts w:ascii="Times New Roman" w:hAnsi="Times New Roman"/>
          <w:b w:val="false"/>
          <w:i w:val="false"/>
          <w:color w:val="000000"/>
          <w:sz w:val="22"/>
        </w:rPr>
        <w:t> </w:t>
      </w:r>
      <w:r>
        <w:rPr>
          <w:rFonts w:ascii="Times New Roman" w:hAnsi="Times New Roman"/>
          <w:b w:val="false"/>
          <w:i w:val="false"/>
          <w:color w:val="000000"/>
          <w:sz w:val="22"/>
        </w:rPr>
        <w:t>The board shall grant or deny the military service application prior to ruling on the application for licensure. The applicant shall not be required to submit any fees in connection with the licensure application unless the board grants the military service application. If the board does not grant the military service application, the applicant may withdraw the licensure application or request that the licensure application be placed in pending status for up to one year or as mutually agreed. The withdrawal of a licensure application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1811C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4749C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650—52.3</w:t>
      </w:r>
      <w:r>
        <w:rPr>
          <w:rFonts w:ascii="Times New Roman" w:hAnsi="Times New Roman"/>
          <w:b/>
          <w:i w:val="false"/>
          <w:color w:val="000000"/>
          <w:sz w:val="22"/>
        </w:rPr>
        <w:t xml:space="preserve">(272C) </w:t>
      </w:r>
      <w:r>
        <w:rPr>
          <w:rFonts w:ascii="Times New Roman" w:hAnsi="Times New Roman"/>
          <w:b/>
          <w:i w:val="false"/>
          <w:color w:val="000000"/>
          <w:sz w:val="22"/>
        </w:rPr>
        <w:t xml:space="preserve">Veteran and spouse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A veteran or spouse with an unrestricted professional license in another jurisdiction may apply for licensure in Iowa through reciprocity. A veteran or spouse must pass any examinations required for licensure to be eligible for licensure through reciprocity. A fully completed application for licensure submitted by a veteran or spouse under this subrule shall be given priority and shall be expedited.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licensure by reciprocity shall contain all of the information required of all applicants for licensure who hold unrestricted licenses in other jurisdictions and who are applying for licensure by reciprocity including, but not limited to, completion of all required forms, payment of applicable fees, disclosure of criminal or disciplinary history, and, if applicable, a criminal history background check. The applicant shall use the same forms as any other applicant for licensure by reciprocity and shall additionally provide such documentation as is reasonably needed to verify the applicant’s status as a veteran under Iowa Code section </w:t>
      </w:r>
      <w:hyperlink r:id="rId7">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 xml:space="preserve"> or as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fully completed licensure application, the board shall promptly determine if the scope of practice in the jurisdiction where the applicant is licensed is substantially equivalent to the scope of practice in Iowa. The board shall make this determination based on information supplied by the applicant and such additional information as the board may acquire from the applicable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val="false"/>
          <w:color w:val="000000"/>
          <w:sz w:val="22"/>
        </w:rPr>
        <w:t>The board shall promptly grant a license to the applicant if the applicant is licensed in the same or similar profession in another jurisdiction whose scope of practice is substantially equivalent to the scope of practice in Iowa, unless the applicant is ineligible for licensure based on other grounds, for example, the applicant’s disciplinary or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52.3(5)</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that the scope of practice in the jurisdiction in which the applicant is licensed is not substantially equivalent to the scope of practice in Iowa, the board shall promptly inform the applicant of the additional education or training required for licensure in Iowa. Unless the applicant is ineligible for licensure based on other grounds, such as disciplinary or criminal background,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passed the required examination(s) for licensure, the applicant may not be issued a temporary license but may request that the licensure application be placed in pending status for up to one year or as mutually agreed to provide the applicant with the opportunity to satisfy the examination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additional education or training is required, the applicant may request that the board issue a temporary license for a specified period of time during which the applicant will successfully complete the necessary education or training. The board shall issue a temporary license for a specified period of time upon such conditions as the board deems reasonably necessary to protect the health, welfare or safety of the public unless the board determines that the deficiency is of a character that the public health, welfare or safety will be adversely affected if a temporary license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 temporary license is denied, the board shall issue an order fully explaining the decision and shall inform the applicant of the steps the applicant may take in order to receive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temporary license is issued, the application for full licensure shall be placed in pending status until the necessary education or training has been successfully completed or the temporary license expires, whichever occurs first. The board may extend a temporary license on a case-by-case basis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52.3(6)</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board’s decision to deny an application for a reciprocal license or a temporary license or is aggrieved by the terms under which a temporary license will be granted may request a contested case (administrative hearing) and may participate in a contested case by telephone. A request for a contested case shall be made within 30 days of issuance of the board’s decision. No fees or costs shall be assessed against the applicant in connection with a contested case conducted pursuant to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1811C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4749C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6940C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272C.4(11)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272C.4(12)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1811C</w:t>
      </w:r>
      <w:r>
        <w:rPr>
          <w:rFonts w:ascii="Times New Roman" w:hAnsi="Times New Roman"/>
          <w:b w:val="false"/>
          <w:i w:val="false"/>
          <w:color w:val="000000"/>
          <w:sz w:val="21"/>
        </w:rPr>
        <w:t xml:space="preserve"> (Notice ARC 1645C, IAB 10/1/14)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4749C</w:t>
      </w:r>
      <w:r>
        <w:rPr>
          <w:rFonts w:ascii="Times New Roman" w:hAnsi="Times New Roman"/>
          <w:b w:val="false"/>
          <w:i w:val="false"/>
          <w:color w:val="000000"/>
          <w:sz w:val="21"/>
        </w:rPr>
        <w:t xml:space="preserve"> (Notice ARC 4525C, IAB 7/3/19)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5747C</w:t>
      </w:r>
      <w:r>
        <w:rPr>
          <w:rFonts w:ascii="Times New Roman" w:hAnsi="Times New Roman"/>
          <w:b w:val="false"/>
          <w:i w:val="false"/>
          <w:color w:val="000000"/>
          <w:sz w:val="21"/>
        </w:rPr>
        <w:t xml:space="preserve"> (Notice ARC 5371C,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6940C</w:t>
      </w:r>
      <w:r>
        <w:rPr>
          <w:rFonts w:ascii="Times New Roman" w:hAnsi="Times New Roman"/>
          <w:b w:val="false"/>
          <w:i w:val="false"/>
          <w:color w:val="000000"/>
          <w:sz w:val="21"/>
        </w:rPr>
        <w:t xml:space="preserve"> (Notice ARC 6666C, IAB 11/16/22)</w:t>
      </w:r>
      <w:r>
        <w:rPr>
          <w:rFonts w:ascii="Times New Roman" w:hAnsi="Times New Roman"/>
          <w:b w:val="false"/>
          <w:i w:val="false"/>
          <w:color w:val="000000"/>
          <w:sz w:val="21"/>
        </w:rPr>
        <w:t>, IAB 3/8/23, effective 4/12/23]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A.1.pdf" Type="http://schemas.openxmlformats.org/officeDocument/2006/relationships/hyperlink" Id="rId5"/>
    <Relationship TargetMode="External" Target="https://www.legis.iowa.gov/docs/ico/chapter/35.1.pdf" Type="http://schemas.openxmlformats.org/officeDocument/2006/relationships/hyperlink" Id="rId6"/>
    <Relationship TargetMode="External" Target="https://www.legis.iowa.gov/docs/ico/chapter/35.1.pdf" Type="http://schemas.openxmlformats.org/officeDocument/2006/relationships/hyperlink" Id="rId7"/>
    <Relationship TargetMode="External" Target="https://www.legis.iowa.gov/docs/ico/chapter/272C.4.pdf" Type="http://schemas.openxmlformats.org/officeDocument/2006/relationships/hyperlink" Id="rId8"/>
    <Relationship TargetMode="External" Target="https://www.legis.iowa.gov/docs/ico/chapter/272C.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