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[Ch 6 renumbered as Ch 51, IAC 9/20/78]</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650—51.1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dental examiners.</w:t>
      </w:r>
    </w:p>
    <w:p>
      <w:pPr>
        <w:spacing w:before="0" w:after="0"/>
        <w:ind w:left="120"/>
        <w:jc w:val="both"/>
      </w:pPr>
      <w:r>
        <w:rPr>
          <w:rFonts w:ascii="Times New Roman" w:hAnsi="Times New Roman"/>
          <w:b/>
          <w:i w:val="false"/>
          <w:color w:val="000000"/>
          <w:sz w:val="22"/>
        </w:rPr>
        <w:t>650—51.2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 section 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or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of dental examiners or a panel of the board. In a disciplinary contested case proceeding, the board may request that an administrative law judge make initial rulings on prehearing matters, and assist and advise the board in presiding at the disciplinary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hearing panel’s recommended findings of fact, conclusions of law, decision, and order in a contested case in which the full board did not preside.</w:t>
      </w:r>
    </w:p>
    <w:p>
      <w:pPr>
        <w:spacing w:before="210" w:after="0"/>
        <w:ind w:left="120"/>
        <w:jc w:val="both"/>
      </w:pPr>
      <w:r>
        <w:rPr>
          <w:rFonts w:ascii="Times New Roman" w:hAnsi="Times New Roman"/>
          <w:b/>
          <w:i w:val="false"/>
          <w:color w:val="000000"/>
          <w:sz w:val="22"/>
        </w:rPr>
        <w:t>650—51.3</w:t>
      </w:r>
      <w:r>
        <w:rPr>
          <w:rFonts w:ascii="Times New Roman" w:hAnsi="Times New Roman"/>
          <w:b/>
          <w:i w:val="false"/>
          <w:color w:val="000000"/>
          <w:sz w:val="22"/>
        </w:rPr>
        <w:t xml:space="preserve">(17A)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In the event the board finds there is probable cause for taking disciplinary action against a licensee following investigation of a complaint, the board shall order a contested case hearing be commenced by the filing of a statement of charges and notice of hearing.</w:t>
      </w:r>
    </w:p>
    <w:p>
      <w:pPr>
        <w:spacing w:before="210" w:after="0"/>
        <w:ind w:left="120"/>
        <w:jc w:val="both"/>
      </w:pPr>
      <w:r>
        <w:rPr>
          <w:rFonts w:ascii="Times New Roman" w:hAnsi="Times New Roman"/>
          <w:b/>
          <w:i w:val="false"/>
          <w:color w:val="000000"/>
          <w:sz w:val="22"/>
        </w:rPr>
        <w:t>650—51.4</w:t>
      </w:r>
      <w:r>
        <w:rPr>
          <w:rFonts w:ascii="Times New Roman" w:hAnsi="Times New Roman"/>
          <w:b/>
          <w:i w:val="false"/>
          <w:color w:val="000000"/>
          <w:sz w:val="22"/>
        </w:rPr>
        <w:t xml:space="preserve">(17A) </w:t>
      </w:r>
      <w:r>
        <w:rPr>
          <w:rFonts w:ascii="Times New Roman" w:hAnsi="Times New Roman"/>
          <w:b/>
          <w:i w:val="false"/>
          <w:color w:val="000000"/>
          <w:sz w:val="22"/>
        </w:rPr>
        <w:t xml:space="preserve">Legal review. </w:t>
      </w:r>
      <w:r>
        <w:rPr>
          <w:rFonts w:ascii="Times New Roman" w:hAnsi="Times New Roman"/>
          <w:b w:val="false"/>
          <w:i w:val="false"/>
          <w:color w:val="000000"/>
          <w:sz w:val="22"/>
        </w:rPr>
        <w:t>Every statement of charges and notice of hearing prepared by the board shall be reviewed by the office of the attorney general before they are filed.</w:t>
      </w:r>
    </w:p>
    <w:p>
      <w:pPr>
        <w:spacing w:before="0" w:after="0"/>
        <w:ind w:left="120"/>
        <w:jc w:val="both"/>
      </w:pPr>
      <w:r>
        <w:rPr>
          <w:rFonts w:ascii="Times New Roman" w:hAnsi="Times New Roman"/>
          <w:b/>
          <w:i w:val="false"/>
          <w:color w:val="000000"/>
          <w:sz w:val="22"/>
        </w:rPr>
        <w:t>650—51.5</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650—51.6</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This statement shall contain sufficient detail to give the respondent fair notice of the allegations so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as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 section 15(1)</w:t>
      </w:r>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51.9</w:t>
        </w:r>
      </w:hyperlink>
      <w:r>
        <w:rPr>
          <w:rFonts w:ascii="Times New Roman" w:hAnsi="Times New Roman"/>
          <w:b w:val="false"/>
          <w:i w:val="false"/>
          <w:color w:val="000000"/>
          <w:sz w:val="22"/>
        </w:rPr>
        <w:t>(17A) that the presiding officer be an administrative law judge.</w:t>
      </w:r>
    </w:p>
    <w:p>
      <w:pPr>
        <w:spacing w:before="210" w:after="0"/>
        <w:ind w:left="120"/>
        <w:jc w:val="both"/>
      </w:pPr>
      <w:r>
        <w:rPr>
          <w:rFonts w:ascii="Times New Roman" w:hAnsi="Times New Roman"/>
          <w:b/>
          <w:i w:val="false"/>
          <w:color w:val="000000"/>
          <w:sz w:val="22"/>
        </w:rPr>
        <w:t>650—51.7</w:t>
      </w:r>
      <w:r>
        <w:rPr>
          <w:rFonts w:ascii="Times New Roman" w:hAnsi="Times New Roman"/>
          <w:b/>
          <w:i w:val="false"/>
          <w:color w:val="000000"/>
          <w:sz w:val="22"/>
        </w:rPr>
        <w:t xml:space="preserve">(17A)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shall be responsible for the legal representation of the public interest in all proceedings before the board.</w:t>
      </w:r>
    </w:p>
    <w:p>
      <w:pPr>
        <w:spacing w:before="210" w:after="0"/>
        <w:ind w:left="120"/>
        <w:jc w:val="both"/>
      </w:pPr>
      <w:r>
        <w:rPr>
          <w:rFonts w:ascii="Times New Roman" w:hAnsi="Times New Roman"/>
          <w:b/>
          <w:i w:val="false"/>
          <w:color w:val="000000"/>
          <w:sz w:val="22"/>
        </w:rPr>
        <w:t>650—51.8</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shall be the board or a panel of the board. However, the board may request that an administrative law judge assist the board with initial rulings on prehearing matters. Decisions of the administrative law judge serving in this capacity are subject to the interlocutory appeal provisions of rule </w:t>
      </w:r>
      <w:hyperlink r:id="rId8">
        <w:r>
          <w:rPr>
            <w:rStyle w:val="Hyperlink"/>
            <w:rFonts w:ascii="Times New Roman" w:hAnsi="Times New Roman"/>
            <w:b w:val="false"/>
            <w:i w:val="false"/>
            <w:color w:val="000000"/>
            <w:sz w:val="22"/>
          </w:rPr>
          <w:t>650—51.25</w:t>
        </w:r>
      </w:hyperlink>
      <w:r>
        <w:rPr>
          <w:rFonts w:ascii="Times New Roman" w:hAnsi="Times New Roman"/>
          <w:b w:val="false"/>
          <w:i w:val="false"/>
          <w:color w:val="000000"/>
          <w:sz w:val="22"/>
        </w:rPr>
        <w:t xml:space="preserve">(17A). In addition, an administrative law judge may assist and advise the board in presiding at the contested case hearing. </w:t>
      </w:r>
    </w:p>
    <w:p>
      <w:pPr>
        <w:spacing w:before="0" w:after="0"/>
        <w:ind w:left="120"/>
        <w:jc w:val="both"/>
      </w:pPr>
      <w:r>
        <w:rPr>
          <w:rFonts w:ascii="Times New Roman" w:hAnsi="Times New Roman"/>
          <w:b/>
          <w:i w:val="false"/>
          <w:color w:val="000000"/>
          <w:sz w:val="22"/>
        </w:rPr>
        <w:t>650—51.9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9">
        <w:r>
          <w:rPr>
            <w:rStyle w:val="Hyperlink"/>
            <w:rFonts w:ascii="Times New Roman" w:hAnsi="Times New Roman"/>
            <w:b w:val="false"/>
            <w:i w:val="false"/>
            <w:color w:val="000000"/>
            <w:sz w:val="22"/>
          </w:rPr>
          <w:t>51.9(4)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10">
        <w:r>
          <w:rPr>
            <w:rStyle w:val="Hyperlink"/>
            <w:rFonts w:ascii="Times New Roman" w:hAnsi="Times New Roman"/>
            <w:b w:val="false"/>
            <w:i w:val="false"/>
            <w:color w:val="000000"/>
            <w:sz w:val="22"/>
          </w:rPr>
          <w:t>51.9(4)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nondisciplinary contested case shall have a J.D. degree unless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any available intra-agency appeal in order to exhaust adequate administrative remedies. Such appeals must be filed within 10 days of the date of the issuance of the challenged ruling,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650—51.10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which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board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xml:space="preserve">Factual information relevant to the merits of a contested case received by a person who later serves as presiding officer in that case shall be disclosed if required by Iowa Code section </w:t>
      </w:r>
      <w:hyperlink r:id="rId1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 section 19</w:t>
      </w:r>
      <w:r>
        <w:rPr>
          <w:rFonts w:ascii="Times New Roman" w:hAnsi="Times New Roman"/>
          <w:b w:val="false"/>
          <w:i w:val="false"/>
          <w:color w:val="000000"/>
          <w:sz w:val="22"/>
        </w:rPr>
        <w:t xml:space="preserve">, and subrules </w:t>
      </w:r>
      <w:hyperlink r:id="rId12">
        <w:r>
          <w:rPr>
            <w:rStyle w:val="Hyperlink"/>
            <w:rFonts w:ascii="Times New Roman" w:hAnsi="Times New Roman"/>
            <w:b w:val="false"/>
            <w:i w:val="false"/>
            <w:color w:val="000000"/>
            <w:sz w:val="22"/>
          </w:rPr>
          <w:t>51.10(3)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51.23(9)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4">
        <w:r>
          <w:rPr>
            <w:rStyle w:val="Hyperlink"/>
            <w:rFonts w:ascii="Times New Roman" w:hAnsi="Times New Roman"/>
            <w:b w:val="false"/>
            <w:i w:val="false"/>
            <w:color w:val="000000"/>
            <w:sz w:val="22"/>
          </w:rPr>
          <w:t>51.10(1)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 section 19(7)</w:t>
      </w:r>
      <w:r>
        <w:rPr>
          <w:rFonts w:ascii="Times New Roman" w:hAnsi="Times New Roman"/>
          <w:b w:val="false"/>
          <w:i w:val="false"/>
          <w:color w:val="000000"/>
          <w:sz w:val="22"/>
        </w:rPr>
        <w:t>. The motion must be filed as soon as practicable after the reason alleged in the motion becomes known to the party. The board shall determine the matter as part of the record in this case.</w:t>
      </w:r>
    </w:p>
    <w:p>
      <w:pPr>
        <w:spacing w:before="0" w:after="0"/>
        <w:ind w:left="120"/>
        <w:jc w:val="both"/>
      </w:pPr>
      <w:r>
        <w:rPr>
          <w:rFonts w:ascii="Times New Roman" w:hAnsi="Times New Roman"/>
          <w:b/>
          <w:i w:val="false"/>
          <w:color w:val="000000"/>
          <w:sz w:val="22"/>
        </w:rPr>
        <w:t>650—51.11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650—51.12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statement of charges.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allegation in the statement of charges not denied in the answer is considered admitted.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Amendments to the statement of charges and to an answer may be allowed with the consent of the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650—51.13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prosecutor for the state or the board, simultaneously with their filing. Except for the original notice of hearing and an application for rehearing as provided in Iowa Code section </w:t>
      </w:r>
      <w:hyperlink r:id="rId1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 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of Dental Examiners, 400 S.W. 8th Street, Suite D, Des Moines, Iowa 50309-4687,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Board of Dental Examiners, 400 S.W. 8th Street, Suite D, Des Moines, Iowa 50309-4687,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650—51.14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16">
        <w:r>
          <w:rPr>
            <w:rStyle w:val="Hyperlink"/>
            <w:rFonts w:ascii="Times New Roman" w:hAnsi="Times New Roman"/>
            <w:b w:val="false"/>
            <w:i w:val="false"/>
            <w:color w:val="000000"/>
            <w:sz w:val="22"/>
          </w:rPr>
          <w:t>51.14(1)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650—51.15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r>
        <w:rPr>
          <w:rFonts w:ascii="Times New Roman" w:hAnsi="Times New Roman"/>
          <w:b w:val="false"/>
          <w:i w:val="false"/>
          <w:color w:val="000000"/>
          <w:sz w:val="22"/>
        </w:rPr>
        <w:t xml:space="preserve">Pursuant to Iowa Code sections </w:t>
      </w:r>
      <w:hyperlink r:id="rId17">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the board has the authority to issue subpoenas to compel the attendance of witnesses at depositions or hearing and to compel the production of evidence deemed necessary in connection with a contested case. A subpoena issued by the board in a contested case may seek evidence whether or not it is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may, upon the written request of the licensee or the state, issue a subpoena to compel the attendance of witnesses at depositions or hearing, and to compel the production of books, correspondence, papers, records, and other real evidence deemed necessary in connection with a contested case. A subpoena to produce evidence or to permit inspection may be joined with a subpoena to testify at a deposition or hearing, or may be issued separately. A request for a subpoena of mental health records must confirm that the conditions described in </w:t>
      </w:r>
      <w:hyperlink r:id="rId19">
        <w:r>
          <w:rPr>
            <w:rStyle w:val="Hyperlink"/>
            <w:rFonts w:ascii="Times New Roman" w:hAnsi="Times New Roman"/>
            <w:b w:val="false"/>
            <w:i w:val="false"/>
            <w:color w:val="000000"/>
            <w:sz w:val="22"/>
          </w:rPr>
          <w:t>650—subrule 31.5(1)</w:t>
        </w:r>
      </w:hyperlink>
      <w:r>
        <w:rPr>
          <w:rFonts w:ascii="Times New Roman" w:hAnsi="Times New Roman"/>
          <w:b w:val="false"/>
          <w:i w:val="false"/>
          <w:color w:val="000000"/>
          <w:sz w:val="22"/>
        </w:rPr>
        <w:t xml:space="preserve"> have been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20">
        <w:r>
          <w:rPr>
            <w:rStyle w:val="Hyperlink"/>
            <w:rFonts w:ascii="Times New Roman" w:hAnsi="Times New Roman"/>
            <w:b w:val="false"/>
            <w:i w:val="false"/>
            <w:color w:val="000000"/>
            <w:sz w:val="22"/>
          </w:rPr>
          <w:t>650—subrule 31.5(1)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which shall be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executive director or designee shall mail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hold a hearing and issue a decision, or the board may conduct the hearing and issue a decision. Oral argument may be scheduled at the discretion of the board or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there is a final decision in the contested case.</w:t>
      </w:r>
    </w:p>
    <w:p>
      <w:pPr>
        <w:spacing w:before="0" w:after="0"/>
        <w:ind w:left="120"/>
        <w:jc w:val="both"/>
      </w:pPr>
      <w:r>
        <w:rPr>
          <w:rFonts w:ascii="Times New Roman" w:hAnsi="Times New Roman"/>
          <w:b/>
          <w:i w:val="false"/>
          <w:color w:val="000000"/>
          <w:sz w:val="22"/>
        </w:rPr>
        <w:t>650—51.16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i w:val="false"/>
          <w:color w:val="000000"/>
          <w:sz w:val="22"/>
        </w:rPr>
        <w:t>650—51.17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shall be conducted by the executive director, who may request the assistance of an administrative law judge. A written request for prehearing conference or an order for prehearing conference on the executive director’s own motion shall be filed prior to the contested case hearing, but no later than 20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shall be prepared to discuss the following subjects, and the executive director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executive director or administrative law judge at the 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ind w:left="120"/>
        <w:jc w:val="both"/>
      </w:pPr>
      <w:r>
        <w:rPr>
          <w:rFonts w:ascii="Times New Roman" w:hAnsi="Times New Roman"/>
          <w:b/>
          <w:i w:val="false"/>
          <w:color w:val="000000"/>
          <w:sz w:val="22"/>
        </w:rPr>
        <w:t>650—51.18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filed with the board. In the event the application for continuance is not contested, the executive director shall serve as presiding officer and issue the appropriate order. In the event the application for continuance is contested, the matter shall be heard by the board as presiding officer or may be delegated by the board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five working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two days after the oral request unless that requirement is waived by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ind w:left="120"/>
        <w:jc w:val="both"/>
      </w:pPr>
      <w:r>
        <w:rPr>
          <w:rFonts w:ascii="Times New Roman" w:hAnsi="Times New Roman"/>
          <w:b/>
          <w:i w:val="false"/>
          <w:color w:val="000000"/>
          <w:sz w:val="22"/>
        </w:rPr>
        <w:t>650—51.19</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A contested case may be resolved by informal settlement. Settlement negotiations may be initiated at any stage of a contested case by the executive director, prosecuting attorney, the respondent, the board or its designee. Neither the board nor the respondent is required to participate in the informal settlement process. The executive director and chairperson of the board, or the chairperson’s designee(s), shall have authority to negotiate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The full board shall not be involved in negotiation until a written proposed settlement is submitted to the full board for approval, unless both parties waive this prohibition.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negotiation by the respondent during informal settlement negotiation constitutes a waiver of notice and opportunity to be heard pursuant to Iowa Code section </w:t>
      </w:r>
      <w:hyperlink r:id="rId2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Thereafter, the prosecuting attorney is authorized to discuss informal settlement with the board chairperson or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Negotiations for a proposed settlement shall be completed at least ten days prior to the hearing date set by the order for hearing. However, after consultation with the board chairperson or designee, the executive director shall have the power to grant additional time for continued negotiations in instances where additional time will likely lead to a satisfactory settlement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No proposed settlement shall be presented to the board for approval until it is in final, written form signed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51.19(6)</w:t>
      </w:r>
      <w:r>
        <w:rPr>
          <w:rFonts w:ascii="Times New Roman" w:hAnsi="Times New Roman"/>
          <w:b w:val="false"/>
          <w:i w:val="false"/>
          <w:color w:val="000000"/>
          <w:sz w:val="22"/>
        </w:rPr>
        <w:t> </w:t>
      </w:r>
      <w:r>
        <w:rPr>
          <w:rFonts w:ascii="Times New Roman" w:hAnsi="Times New Roman"/>
          <w:b w:val="false"/>
          <w:i w:val="false"/>
          <w:color w:val="000000"/>
          <w:sz w:val="22"/>
        </w:rPr>
        <w:t>All proposed settlements are subject to approval of a majority of the full board. If the board fails to approve a proposed settlement, it shall be of no force or effect to either party. The proposed settlement shall be binding if approved by the board and signed by both the chairperson or the chairperson’s designee and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51.19(7)</w:t>
      </w:r>
      <w:r>
        <w:rPr>
          <w:rFonts w:ascii="Times New Roman" w:hAnsi="Times New Roman"/>
          <w:b w:val="false"/>
          <w:i w:val="false"/>
          <w:color w:val="000000"/>
          <w:sz w:val="22"/>
        </w:rPr>
        <w:t> </w:t>
      </w:r>
      <w:r>
        <w:rPr>
          <w:rFonts w:ascii="Times New Roman" w:hAnsi="Times New Roman"/>
          <w:b w:val="false"/>
          <w:i w:val="false"/>
          <w:color w:val="000000"/>
          <w:sz w:val="22"/>
        </w:rPr>
        <w:t>A board member who participates in the negotiation of a proposed settlement is not disqualified from participating in the adjudication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51.19(8)</w:t>
      </w:r>
      <w:r>
        <w:rPr>
          <w:rFonts w:ascii="Times New Roman" w:hAnsi="Times New Roman"/>
          <w:b w:val="false"/>
          <w:i w:val="false"/>
          <w:color w:val="000000"/>
          <w:sz w:val="22"/>
        </w:rPr>
        <w:t> </w:t>
      </w:r>
      <w:r>
        <w:rPr>
          <w:rFonts w:ascii="Times New Roman" w:hAnsi="Times New Roman"/>
          <w:b w:val="false"/>
          <w:i w:val="false"/>
          <w:color w:val="000000"/>
          <w:sz w:val="22"/>
        </w:rPr>
        <w:t>Consent to settlement negotiations by the respondent constitutes a waiver of any objection to the participation in the adjudication of the contested case of any board member who participated in the review of a settlement agreement which was not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51.19(9)</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for payment of a quarterly fee as stated in </w:t>
      </w:r>
      <w:hyperlink r:id="rId22">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or such other fees as specified by the board may be included in the settlement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650—51.20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w:t>
      </w:r>
      <w:r>
        <w:rPr>
          <w:rFonts w:ascii="Times New Roman" w:hAnsi="Times New Roman"/>
          <w:b w:val="false"/>
          <w:i w:val="false"/>
          <w:color w:val="000000"/>
          <w:sz w:val="22"/>
        </w:rPr>
        <w:t> </w:t>
      </w:r>
      <w:r>
        <w:rPr>
          <w:rFonts w:ascii="Times New Roman" w:hAnsi="Times New Roman"/>
          <w:b w:val="false"/>
          <w:i w:val="false"/>
          <w:color w:val="000000"/>
          <w:sz w:val="22"/>
        </w:rPr>
        <w:t>A hearing may be conducted before the board or a panel of not less than three members of the board at least two of whom are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51.20(2)</w:t>
      </w:r>
      <w:r>
        <w:rPr>
          <w:rFonts w:ascii="Times New Roman" w:hAnsi="Times New Roman"/>
          <w:b w:val="false"/>
          <w:i w:val="false"/>
          <w:color w:val="000000"/>
          <w:sz w:val="22"/>
        </w:rPr>
        <w:t> </w:t>
      </w:r>
      <w:r>
        <w:rPr>
          <w:rFonts w:ascii="Times New Roman" w:hAnsi="Times New Roman"/>
          <w:b w:val="false"/>
          <w:i w:val="false"/>
          <w:color w:val="000000"/>
          <w:sz w:val="22"/>
        </w:rPr>
        <w:t>Hearings by the dental hygiene committee. In the event the licensee who is the subject of the contested case is a dental hygienist, the hearing shall be held before the dental hygiene committee, which shall constitute a panel of the board. The dental hygiene committee may in its discretion recommend to the board that the hearing be held instead before a panel of the board or full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51.20(3)</w:t>
      </w:r>
      <w:r>
        <w:rPr>
          <w:rFonts w:ascii="Times New Roman" w:hAnsi="Times New Roman"/>
          <w:b w:val="false"/>
          <w:i w:val="false"/>
          <w:color w:val="000000"/>
          <w:sz w:val="22"/>
        </w:rPr>
        <w:t> </w:t>
      </w:r>
      <w:r>
        <w:rPr>
          <w:rFonts w:ascii="Times New Roman" w:hAnsi="Times New Roman"/>
          <w:b w:val="false"/>
          <w:i w:val="false"/>
          <w:color w:val="000000"/>
          <w:sz w:val="22"/>
        </w:rPr>
        <w:t>When, in the opinion of a majority of the board, it is desirable to obtain specialists within an area of practice when holding disciplinary hearings, the board may appoint a panel of three specialists who are not board members to make findings of fact and to report to the board. Such findings shall not include any recommendation for or against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 The presiding officer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51.20(5)</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51.20(6)</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51.20(7)</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51.20(9)</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have authority to grant immunity from disciplinary action to a witness as provided by Iowa Code section </w:t>
      </w:r>
      <w:hyperlink r:id="rId23">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51.20(12)</w:t>
      </w:r>
      <w:r>
        <w:rPr>
          <w:rFonts w:ascii="Times New Roman" w:hAnsi="Times New Roman"/>
          <w:b w:val="false"/>
          <w:i w:val="false"/>
          <w:color w:val="000000"/>
          <w:sz w:val="22"/>
        </w:rPr>
        <w:t> </w:t>
      </w:r>
      <w:r>
        <w:rPr>
          <w:rFonts w:ascii="Times New Roman" w:hAnsi="Times New Roman"/>
          <w:b w:val="false"/>
          <w:i w:val="false"/>
          <w:color w:val="000000"/>
          <w:sz w:val="22"/>
        </w:rPr>
        <w:t>The board members and administrative law judge have the right to question a witness. Examination of witnesses by board members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51.20(13)</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unless the licensee requests that the hearing be closed.</w:t>
      </w:r>
    </w:p>
    <w:p>
      <w:pPr>
        <w:spacing w:before="0" w:after="0"/>
        <w:ind w:left="120"/>
        <w:jc w:val="both"/>
      </w:pPr>
      <w:r>
        <w:rPr>
          <w:rFonts w:ascii="Times New Roman" w:hAnsi="Times New Roman"/>
          <w:b/>
          <w:i w:val="false"/>
          <w:color w:val="000000"/>
          <w:sz w:val="22"/>
        </w:rPr>
        <w:t>650—51.21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650—51.22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rule </w:t>
      </w:r>
      <w:hyperlink r:id="rId24">
        <w:r>
          <w:rPr>
            <w:rStyle w:val="Hyperlink"/>
            <w:rFonts w:ascii="Times New Roman" w:hAnsi="Times New Roman"/>
            <w:b w:val="false"/>
            <w:i w:val="false"/>
            <w:color w:val="000000"/>
            <w:sz w:val="22"/>
          </w:rPr>
          <w:t>650—51.26</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5">
        <w:r>
          <w:rPr>
            <w:rStyle w:val="Hyperlink"/>
            <w:rFonts w:ascii="Times New Roman" w:hAnsi="Times New Roman"/>
            <w:b w:val="false"/>
            <w:i w:val="false"/>
            <w:color w:val="000000"/>
            <w:sz w:val="22"/>
          </w:rPr>
          <w:t>650—51.25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effective immediately, subject to a request for stay under rule </w:t>
      </w:r>
      <w:hyperlink r:id="rId26">
        <w:r>
          <w:rPr>
            <w:rStyle w:val="Hyperlink"/>
            <w:rFonts w:ascii="Times New Roman" w:hAnsi="Times New Roman"/>
            <w:b w:val="false"/>
            <w:i w:val="false"/>
            <w:color w:val="000000"/>
            <w:sz w:val="22"/>
          </w:rPr>
          <w:t>650—51.28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650—51.23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as defined in subrule </w:t>
      </w:r>
      <w:hyperlink r:id="rId27">
        <w:r>
          <w:rPr>
            <w:rStyle w:val="Hyperlink"/>
            <w:rFonts w:ascii="Times New Roman" w:hAnsi="Times New Roman"/>
            <w:b w:val="false"/>
            <w:i w:val="false"/>
            <w:color w:val="000000"/>
            <w:sz w:val="22"/>
          </w:rPr>
          <w:t>51.10(2)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8">
        <w:r>
          <w:rPr>
            <w:rStyle w:val="Hyperlink"/>
            <w:rFonts w:ascii="Times New Roman" w:hAnsi="Times New Roman"/>
            <w:b w:val="false"/>
            <w:i w:val="false"/>
            <w:color w:val="000000"/>
            <w:sz w:val="22"/>
          </w:rPr>
          <w:t>650—51.13</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may be present in deliberations or otherwise advise the presiding officer without notice or opportunity for parties to participate as long as they are not disqualified from participating under rule </w:t>
      </w:r>
      <w:hyperlink r:id="rId29">
        <w:r>
          <w:rPr>
            <w:rStyle w:val="Hyperlink"/>
            <w:rFonts w:ascii="Times New Roman" w:hAnsi="Times New Roman"/>
            <w:b w:val="false"/>
            <w:i w:val="false"/>
            <w:color w:val="000000"/>
            <w:sz w:val="22"/>
          </w:rPr>
          <w:t>650—51.10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0">
        <w:r>
          <w:rPr>
            <w:rStyle w:val="Hyperlink"/>
            <w:rFonts w:ascii="Times New Roman" w:hAnsi="Times New Roman"/>
            <w:b w:val="false"/>
            <w:i w:val="false"/>
            <w:color w:val="000000"/>
            <w:sz w:val="22"/>
          </w:rPr>
          <w:t>650—51.18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51.23(8)</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prohibited communications. A presiding officer who receives a prohibited ex parte communication during the pendency of a contested case must initially determine if the effect of the communication is so prejudicial that the presiding officer should be disqualified. </w:t>
      </w:r>
    </w:p>
    <w:p>
      <w:pPr>
        <w:spacing w:before="0" w:after="0"/>
        <w:ind w:left="120"/>
        <w:jc w:val="both"/>
      </w:pPr>
      <w:r>
        <w:rPr>
          <w:rFonts w:ascii="Times New Roman" w:hAnsi="Times New Roman"/>
          <w:b w:val="false"/>
          <w:i w:val="false"/>
          <w:color w:val="000000"/>
          <w:sz w:val="22"/>
        </w:rPr>
        <w:t xml:space="preserve">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w:t>
      </w:r>
    </w:p>
    <w:p>
      <w:pPr>
        <w:spacing w:before="0" w:after="0"/>
        <w:ind w:left="120"/>
        <w:jc w:val="both"/>
      </w:pP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1">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board. Violation of ex parte communication prohibitions by board personnel shall be reported to the board and its executive director for possible sanctions including censure, suspension, dismissal, or other disciplinary action.</w:t>
      </w:r>
    </w:p>
    <w:p>
      <w:pPr>
        <w:spacing w:before="210" w:after="0"/>
        <w:ind w:left="120"/>
        <w:jc w:val="both"/>
      </w:pPr>
      <w:r>
        <w:rPr>
          <w:rFonts w:ascii="Times New Roman" w:hAnsi="Times New Roman"/>
          <w:b/>
          <w:i w:val="false"/>
          <w:color w:val="000000"/>
          <w:sz w:val="22"/>
        </w:rPr>
        <w:t>650—51.24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i w:val="false"/>
          <w:color w:val="000000"/>
          <w:sz w:val="22"/>
        </w:rPr>
        <w:t>650—51.25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director, administrative law judge, or hearing panel. In determining whether to do so, the board shall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its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ind w:left="120"/>
        <w:jc w:val="both"/>
      </w:pPr>
      <w:r>
        <w:rPr>
          <w:rFonts w:ascii="Times New Roman" w:hAnsi="Times New Roman"/>
          <w:b w:val="false"/>
          <w:i w:val="false"/>
          <w:color w:val="000000"/>
          <w:sz w:val="22"/>
        </w:rPr>
        <w:t>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650—51.26</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and 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51.26(1)</w:t>
      </w:r>
      <w:r>
        <w:rPr>
          <w:rFonts w:ascii="Times New Roman" w:hAnsi="Times New Roman"/>
          <w:b w:val="false"/>
          <w:i w:val="false"/>
          <w:color w:val="000000"/>
          <w:sz w:val="22"/>
        </w:rPr>
        <w:t> </w:t>
      </w:r>
      <w:r>
        <w:rPr>
          <w:rFonts w:ascii="Times New Roman" w:hAnsi="Times New Roman"/>
          <w:b w:val="false"/>
          <w:i w:val="false"/>
          <w:color w:val="000000"/>
          <w:sz w:val="22"/>
        </w:rPr>
        <w:t>When a quorum of the board presides over the reception of the evidence at the hearing, the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51.26(2)</w:t>
      </w:r>
      <w:r>
        <w:rPr>
          <w:rFonts w:ascii="Times New Roman" w:hAnsi="Times New Roman"/>
          <w:b w:val="false"/>
          <w:i w:val="false"/>
          <w:color w:val="000000"/>
          <w:sz w:val="22"/>
        </w:rPr>
        <w:t> </w:t>
      </w:r>
      <w:r>
        <w:rPr>
          <w:rFonts w:ascii="Times New Roman" w:hAnsi="Times New Roman"/>
          <w:b w:val="false"/>
          <w:i w:val="false"/>
          <w:color w:val="000000"/>
          <w:sz w:val="22"/>
        </w:rPr>
        <w:t>When a panel of three specialists presides over the hearing, the panel shall issue a proposed decision which shall include proposed findings of fact but shall not include conclusions of law. A proposed decision of a hearing panel of specialists, together with a transcript of the proceedings and exhibits presented, shall be reviewed by the board within 30 days of the date the proposed decision was issued. The parties shall have the opportunity to submit briefs and arguments to the board. The decision of the board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51.26(3)</w:t>
      </w:r>
      <w:r>
        <w:rPr>
          <w:rFonts w:ascii="Times New Roman" w:hAnsi="Times New Roman"/>
          <w:b w:val="false"/>
          <w:i w:val="false"/>
          <w:color w:val="000000"/>
          <w:sz w:val="22"/>
        </w:rPr>
        <w:t> </w:t>
      </w:r>
      <w:r>
        <w:rPr>
          <w:rFonts w:ascii="Times New Roman" w:hAnsi="Times New Roman"/>
          <w:b w:val="false"/>
          <w:i w:val="false"/>
          <w:color w:val="000000"/>
          <w:sz w:val="22"/>
        </w:rPr>
        <w:t>When a panel of three board members or the dental hygiene committee presides over the hearing, the panel shall issue a proposed decision which shall include proposed findings of fact, conclusions of law, and order. A proposed decision, together with a transcript of the proceedings and the exhibits presented, shall be reviewed by the board within 30 days of the date the proposed decision was issued. A proposed decision of a board hearing panel becomes a final decision without further proceedings unless appealed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review a proposed decision on its own motion by serving a notice of appeal on the parties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proposed decision may be appealed to the board by either party by serving on the executive director, either in person or by certified mail, a notice of appeal within 30 days after service of the proposed decision on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shall enter an order establishing a schedule for submission of briefs and oral argument. The parties shall serve their briefs on the board and shall furnish an additional copy to each party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Oral argument shall be heard by the board unless waived by both parties. The time granted each party for oral argument shall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record on appeal shall be the entire record made before the hearing panel or administrative law judge. Costs associated with the appeal shall be paid by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51.26(4)</w:t>
      </w:r>
      <w:r>
        <w:rPr>
          <w:rFonts w:ascii="Times New Roman" w:hAnsi="Times New Roman"/>
          <w:b w:val="false"/>
          <w:i w:val="false"/>
          <w:color w:val="000000"/>
          <w:sz w:val="22"/>
        </w:rPr>
        <w:t>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51.26(5)</w:t>
      </w:r>
      <w:r>
        <w:rPr>
          <w:rFonts w:ascii="Times New Roman" w:hAnsi="Times New Roman"/>
          <w:b w:val="false"/>
          <w:i w:val="false"/>
          <w:color w:val="000000"/>
          <w:sz w:val="22"/>
        </w:rPr>
        <w:t> </w:t>
      </w:r>
      <w:r>
        <w:rPr>
          <w:rFonts w:ascii="Times New Roman" w:hAnsi="Times New Roman"/>
          <w:b w:val="false"/>
          <w:i w:val="false"/>
          <w:color w:val="000000"/>
          <w:sz w:val="22"/>
        </w:rPr>
        <w:t>Requests to present additional evidence. A party may request the taking of additional evidence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the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ind w:left="120"/>
        <w:jc w:val="both"/>
      </w:pPr>
      <w:r>
        <w:rPr>
          <w:rFonts w:ascii="Times New Roman" w:hAnsi="Times New Roman"/>
          <w:b/>
          <w:i w:val="false"/>
          <w:color w:val="000000"/>
          <w:sz w:val="22"/>
        </w:rPr>
        <w:t>650—51.27</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board decision on the existing record and whether, on the basis of the grounds enumerated in subrule </w:t>
      </w:r>
      <w:hyperlink r:id="rId32">
        <w:r>
          <w:rPr>
            <w:rStyle w:val="Hyperlink"/>
            <w:rFonts w:ascii="Times New Roman" w:hAnsi="Times New Roman"/>
            <w:b w:val="false"/>
            <w:i w:val="false"/>
            <w:color w:val="000000"/>
            <w:sz w:val="22"/>
          </w:rPr>
          <w:t>51.27(5)</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51.27(5)</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 xml:space="preserve">A request that additional evidence be considered on rehearing shall be governed by subrule </w:t>
      </w:r>
      <w:hyperlink r:id="rId33">
        <w:r>
          <w:rPr>
            <w:rStyle w:val="Hyperlink"/>
            <w:rFonts w:ascii="Times New Roman" w:hAnsi="Times New Roman"/>
            <w:b w:val="false"/>
            <w:i w:val="false"/>
            <w:color w:val="000000"/>
            <w:sz w:val="22"/>
          </w:rPr>
          <w:t>51.26(5)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p>
      <w:pPr>
        <w:spacing w:before="0" w:after="0"/>
        <w:ind w:left="120"/>
        <w:jc w:val="both"/>
      </w:pPr>
      <w:r>
        <w:rPr>
          <w:rFonts w:ascii="Times New Roman" w:hAnsi="Times New Roman"/>
          <w:b/>
          <w:i w:val="false"/>
          <w:color w:val="000000"/>
          <w:sz w:val="22"/>
        </w:rPr>
        <w:t>650—51.28</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51.28(1)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51.28(2)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shall consider the factors listed in </w:t>
      </w:r>
      <w:r>
        <w:rPr>
          <w:rFonts w:ascii="Times New Roman" w:hAnsi="Times New Roman"/>
          <w:b w:val="false"/>
          <w:i w:val="false"/>
          <w:color w:val="000000"/>
          <w:sz w:val="22"/>
        </w:rPr>
        <w:t>1998 Iowa Acts, chapter 1202, section 23(5c)</w:t>
      </w:r>
      <w:r>
        <w:rPr>
          <w:rFonts w:ascii="Times New Roman" w:hAnsi="Times New Roman"/>
          <w:b w:val="false"/>
          <w:i w:val="false"/>
          <w:color w:val="000000"/>
          <w:sz w:val="22"/>
        </w:rPr>
        <w:t>. The board shall not grant a stay in any case in which the district court would be expressly prohibited by statute from granting a stay.</w:t>
      </w:r>
    </w:p>
    <w:p>
      <w:pPr>
        <w:spacing w:before="210" w:after="0"/>
        <w:ind w:left="120"/>
        <w:jc w:val="both"/>
      </w:pPr>
      <w:r>
        <w:rPr>
          <w:rFonts w:ascii="Times New Roman" w:hAnsi="Times New Roman"/>
          <w:b/>
          <w:i w:val="false"/>
          <w:color w:val="000000"/>
          <w:sz w:val="22"/>
        </w:rPr>
        <w:t>650—51.29</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ind w:left="120"/>
        <w:jc w:val="both"/>
      </w:pPr>
      <w:r>
        <w:rPr>
          <w:rFonts w:ascii="Times New Roman" w:hAnsi="Times New Roman"/>
          <w:b/>
          <w:i w:val="false"/>
          <w:color w:val="000000"/>
          <w:sz w:val="22"/>
        </w:rPr>
        <w:t>650—51.30</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51.30(1)</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w:t>
      </w:r>
      <w:r>
        <w:rPr>
          <w:rFonts w:ascii="Times New Roman" w:hAnsi="Times New Roman"/>
          <w:b w:val="false"/>
          <w:i w:val="false"/>
          <w:color w:val="000000"/>
          <w:sz w:val="22"/>
        </w:rPr>
        <w:t>1998 Iowa Acts, chapter 1202, section 21</w:t>
      </w:r>
      <w:r>
        <w:rPr>
          <w:rFonts w:ascii="Times New Roman" w:hAnsi="Times New Roman"/>
          <w:b w:val="false"/>
          <w:i w:val="false"/>
          <w:color w:val="000000"/>
          <w:sz w:val="22"/>
        </w:rPr>
        <w:t>, to suspend a license in whole or in part, order the cessation of any continuing activity, order affirmative action, or take other action within the jurisdiction of the board by emergency adjudicative order. Before issuing an emergency adjudicative order the board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board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51.30(3)</w:t>
      </w:r>
      <w:r>
        <w:rPr>
          <w:rFonts w:ascii="Times New Roman" w:hAnsi="Times New Roman"/>
          <w:b w:val="false"/>
          <w:i w:val="false"/>
          <w:color w:val="000000"/>
          <w:sz w:val="22"/>
        </w:rPr>
        <w:t> </w:t>
      </w:r>
      <w:r>
        <w:rPr>
          <w:rFonts w:ascii="Times New Roman" w:hAnsi="Times New Roman"/>
          <w:b w:val="false"/>
          <w:i w:val="false"/>
          <w:color w:val="000000"/>
          <w:sz w:val="22"/>
        </w:rPr>
        <w:t>Oral notice. Unless the written emergency adjudicative order is provided by personal delivery on the same day that the order issues, the board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51.30(4)</w:t>
      </w:r>
      <w:r>
        <w:rPr>
          <w:rFonts w:ascii="Times New Roman" w:hAnsi="Times New Roman"/>
          <w:b w:val="false"/>
          <w:i w:val="false"/>
          <w:color w:val="000000"/>
          <w:sz w:val="22"/>
        </w:rPr>
        <w:t> </w:t>
      </w:r>
      <w:r>
        <w:rPr>
          <w:rFonts w:ascii="Times New Roman" w:hAnsi="Times New Roman"/>
          <w:b w:val="false"/>
          <w:i w:val="false"/>
          <w:color w:val="000000"/>
          <w:sz w:val="22"/>
        </w:rPr>
        <w:t>Completion of proceedings. After the issuance of an emergency adjudicative order, the board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board proceedings are scheduled for completion. 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p>
      <w:pPr>
        <w:spacing w:before="210" w:after="0"/>
        <w:ind w:left="120"/>
        <w:jc w:val="both"/>
      </w:pPr>
      <w:r>
        <w:rPr>
          <w:rFonts w:ascii="Times New Roman" w:hAnsi="Times New Roman"/>
          <w:b/>
          <w:i w:val="false"/>
          <w:color w:val="000000"/>
          <w:sz w:val="22"/>
        </w:rPr>
        <w:t>650—51.31</w:t>
      </w:r>
      <w:r>
        <w:rPr>
          <w:rFonts w:ascii="Times New Roman" w:hAnsi="Times New Roman"/>
          <w:b/>
          <w:i w:val="false"/>
          <w:color w:val="000000"/>
          <w:sz w:val="22"/>
        </w:rPr>
        <w:t xml:space="preserve">(153)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 </w:t>
      </w:r>
      <w:hyperlink r:id="rId35">
        <w:r>
          <w:rPr>
            <w:rStyle w:val="Hyperlink"/>
            <w:rFonts w:ascii="Times New Roman" w:hAnsi="Times New Roman"/>
            <w:b w:val="false"/>
            <w:i w:val="false"/>
            <w:color w:val="000000"/>
            <w:sz w:val="22"/>
          </w:rPr>
          <w:t>153.33(4)</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hyperlink>
    </w:p>
    <w:p>
      <w:pPr>
        <w:spacing w:before="210" w:after="0"/>
        <w:ind w:left="120"/>
        <w:jc w:val="both"/>
      </w:pPr>
      <w:r>
        <w:rPr>
          <w:rFonts w:ascii="Times New Roman" w:hAnsi="Times New Roman"/>
          <w:b/>
          <w:i w:val="false"/>
          <w:color w:val="000000"/>
          <w:sz w:val="22"/>
        </w:rPr>
        <w:t>650—51.32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Notification of decision. </w:t>
      </w:r>
      <w:r>
        <w:rPr>
          <w:rFonts w:ascii="Times New Roman" w:hAnsi="Times New Roman"/>
          <w:b w:val="false"/>
          <w:i w:val="false"/>
          <w:color w:val="000000"/>
          <w:sz w:val="22"/>
        </w:rPr>
        <w:t>All parties to a contested case shall be promptly furnished with a copy of any decision or order either by personal delivery or by certified or first-class mailing. Delivery or first-class mailing of any decision or order to an attorney of record in a contested case hearing shall constitute notification of the respondent. Service by mail is complete upon mailing.</w:t>
      </w:r>
    </w:p>
    <w:p>
      <w:pPr>
        <w:spacing w:before="0" w:after="0"/>
        <w:ind w:left="120"/>
        <w:jc w:val="both"/>
      </w:pPr>
      <w:r>
        <w:rPr>
          <w:rFonts w:ascii="Times New Roman" w:hAnsi="Times New Roman"/>
          <w:b/>
          <w:i w:val="false"/>
          <w:color w:val="000000"/>
          <w:sz w:val="22"/>
        </w:rPr>
        <w:t>650—51.33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Publicizing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51.33(1)</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board relating to licensee discipline shall be transmitted to the appropriate state and national professional associations and news media, which may include a newspaper(s) of general circulation, and to other news media, person or organization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51.33(2)</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other boards of dentistry in states where the respondent is also licensed of disciplinary action taken against the Iowa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51.33(3)</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American Association of Dental Examiners of disciplinary action taken against an Iowa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51.33(4)</w:t>
      </w:r>
      <w:r>
        <w:rPr>
          <w:rFonts w:ascii="Times New Roman" w:hAnsi="Times New Roman"/>
          <w:b w:val="false"/>
          <w:i w:val="false"/>
          <w:color w:val="000000"/>
          <w:sz w:val="22"/>
        </w:rPr>
        <w:t> </w:t>
      </w:r>
      <w:r>
        <w:rPr>
          <w:rFonts w:ascii="Times New Roman" w:hAnsi="Times New Roman"/>
          <w:b w:val="false"/>
          <w:i w:val="false"/>
          <w:color w:val="000000"/>
          <w:sz w:val="22"/>
        </w:rPr>
        <w:t>The board shall, in accordance with federal law, notify the National Practitioners Data Bank of disciplinary action taken against an Iowa licensee.</w:t>
      </w:r>
    </w:p>
    <w:p>
      <w:pPr>
        <w:spacing w:before="0" w:after="0"/>
        <w:ind w:left="120"/>
        <w:jc w:val="both"/>
      </w:pPr>
      <w:r>
        <w:rPr>
          <w:rFonts w:ascii="Times New Roman" w:hAnsi="Times New Roman"/>
          <w:b/>
          <w:i w:val="false"/>
          <w:color w:val="000000"/>
          <w:sz w:val="22"/>
        </w:rPr>
        <w:t>650—51.34</w:t>
      </w:r>
      <w:r>
        <w:rPr>
          <w:rFonts w:ascii="Times New Roman" w:hAnsi="Times New Roman"/>
          <w:b/>
          <w:i w:val="false"/>
          <w:color w:val="000000"/>
          <w:sz w:val="22"/>
        </w:rPr>
        <w:t xml:space="preserve">(153)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may apply to the board for reinstatement in accordance with the terms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51.34(2)</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upon which reinstatement might occur, or if the license was voluntarily surrendered pursuant to disciplinary action, an initial application for reinstatement may not be made until one year has elapsed from the date of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license. All proceedings upon the petition for reinstatement shall be subject to the same rules of procedure as other disciplinary matters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which, if established, will be sufficient to enable the board to determine that the basis for the revocation or suspension no longer exists and that it will be in the public interest for the license to be reinstated. The burden of proof to establish such facts shall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may include a request for a hearing on the issues raised on the application or any other information furnished to the board. The hearing on an application for reinstatement shall be a contested case proceeding within the meaning of Iowa Code section </w:t>
      </w:r>
      <w:hyperlink r:id="rId36">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to grant or deny reinstatement shall include findings of fact and conclusions of law. If reinstatement is granted, terms and conditions of licensure may be imposed. Such terms and conditions may include restrictions on the licensee’s practice. This order will be published as provided for in rule </w:t>
      </w:r>
      <w:hyperlink r:id="rId37">
        <w:r>
          <w:rPr>
            <w:rStyle w:val="Hyperlink"/>
            <w:rFonts w:ascii="Times New Roman" w:hAnsi="Times New Roman"/>
            <w:b w:val="false"/>
            <w:i w:val="false"/>
            <w:color w:val="000000"/>
            <w:sz w:val="22"/>
          </w:rPr>
          <w:t>650—51.33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51.34(7)</w:t>
      </w:r>
      <w:r>
        <w:rPr>
          <w:rFonts w:ascii="Times New Roman" w:hAnsi="Times New Roman"/>
          <w:b w:val="false"/>
          <w:i w:val="false"/>
          <w:color w:val="000000"/>
          <w:sz w:val="22"/>
        </w:rPr>
        <w:t> </w:t>
      </w:r>
      <w:r>
        <w:rPr>
          <w:rFonts w:ascii="Times New Roman" w:hAnsi="Times New Roman"/>
          <w:b w:val="false"/>
          <w:i w:val="false"/>
          <w:color w:val="000000"/>
          <w:sz w:val="22"/>
        </w:rPr>
        <w:t>A person whose license to practice dentistry or dental hygiene was revoked or suspended must successfully complete the examination required at the time of reinstatement for dental or dental hygiene licensure. The board may in its discretion require remedial training in addition to or in lieu of the examination requirements.</w:t>
      </w:r>
    </w:p>
    <w:p>
      <w:pPr>
        <w:spacing w:before="0" w:after="0"/>
        <w:ind w:left="120"/>
        <w:jc w:val="both"/>
      </w:pPr>
      <w:r>
        <w:rPr>
          <w:rFonts w:ascii="Times New Roman" w:hAnsi="Times New Roman"/>
          <w:b/>
          <w:i w:val="false"/>
          <w:color w:val="000000"/>
          <w:sz w:val="22"/>
        </w:rPr>
        <w:t>650—51.35</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The fees related to a formal disciplinary action filed by the board are specified in </w:t>
      </w:r>
      <w:hyperlink r:id="rId3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registrant or permit holder to pay the fees and costs assessed in </w:t>
      </w:r>
      <w:hyperlink r:id="rId3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in the time specified in the board’s final disciplinary order shall constitute a violation of a lawful order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sections </w:t>
      </w:r>
      <w:hyperlink r:id="rId41">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10/23/68]</w:t>
      </w:r>
    </w:p>
    <w:p>
      <w:pPr>
        <w:spacing w:before="0" w:after="0"/>
        <w:ind w:left="120"/>
        <w:jc w:val="center"/>
      </w:pPr>
      <w:r>
        <w:rPr>
          <w:rFonts w:ascii="Times New Roman" w:hAnsi="Times New Roman"/>
          <w:b w:val="false"/>
          <w:i w:val="false"/>
          <w:color w:val="000000"/>
          <w:sz w:val="21"/>
        </w:rPr>
        <w:t>[Filed 8/23/78, Notice 6/28/78—published 9/20/78, effective l0/25/78]</w:t>
      </w:r>
    </w:p>
    <w:p>
      <w:pPr>
        <w:spacing w:before="0" w:after="0"/>
        <w:ind w:left="120"/>
        <w:jc w:val="center"/>
      </w:pPr>
      <w:r>
        <w:rPr>
          <w:rFonts w:ascii="Times New Roman" w:hAnsi="Times New Roman"/>
          <w:b w:val="false"/>
          <w:i w:val="false"/>
          <w:color w:val="000000"/>
          <w:sz w:val="21"/>
        </w:rPr>
        <w:t>[Filed 3/18/82, Notice 2/3/82—published 4/14/82, effective 5/l9/82]</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8/5/87, Notice 4/8/87—published 8/26/87, effective 9/30/87]</w:t>
      </w:r>
    </w:p>
    <w:p>
      <w:pPr>
        <w:spacing w:before="0" w:after="0"/>
        <w:ind w:left="120"/>
        <w:jc w:val="center"/>
      </w:pPr>
      <w:r>
        <w:rPr>
          <w:rFonts w:ascii="Times New Roman" w:hAnsi="Times New Roman"/>
          <w:b w:val="false"/>
          <w:i w:val="false"/>
          <w:color w:val="000000"/>
          <w:sz w:val="21"/>
        </w:rPr>
        <w:t>[Filed 4/28/88, Notice 3/23/88—published 5/18/88, effective 6/22/88]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7/30/93, Notice 6/9/93—published 8/18/93, effective 9/22/93]</w:t>
      </w:r>
    </w:p>
    <w:p>
      <w:pPr>
        <w:spacing w:before="0" w:after="0"/>
        <w:ind w:left="120"/>
        <w:jc w:val="center"/>
      </w:pPr>
      <w:r>
        <w:rPr>
          <w:rFonts w:ascii="Times New Roman" w:hAnsi="Times New Roman"/>
          <w:b w:val="false"/>
          <w:i w:val="false"/>
          <w:color w:val="000000"/>
          <w:sz w:val="21"/>
        </w:rPr>
        <w:t>[Filed 10/17/97, Notice 8/13/97—published 11/5/97, effective 12/10/97]</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1/21/00—published 2/9/00, effective 1/21/00]</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ac/rule/650.51.9.pdf" Type="http://schemas.openxmlformats.org/officeDocument/2006/relationships/hyperlink" Id="rId7"/>
    <Relationship TargetMode="External" Target="https://www.legis.iowa.gov/docs/iac/rule/650.51.25.pdf" Type="http://schemas.openxmlformats.org/officeDocument/2006/relationships/hyperlink" Id="rId8"/>
    <Relationship TargetMode="External" Target="https://www.legis.iowa.gov/docs/iac/rule/650.51.9.pdf" Type="http://schemas.openxmlformats.org/officeDocument/2006/relationships/hyperlink" Id="rId9"/>
    <Relationship TargetMode="External" Target="https://www.legis.iowa.gov/docs/iac/rule/650.51.9.pdf" Type="http://schemas.openxmlformats.org/officeDocument/2006/relationships/hyperlink" Id="rId10"/>
    <Relationship TargetMode="External" Target="https://www.legis.iowa.gov/docs/ico/chapter/17A.17.pdf" Type="http://schemas.openxmlformats.org/officeDocument/2006/relationships/hyperlink" Id="rId11"/>
    <Relationship TargetMode="External" Target="https://www.legis.iowa.gov/docs/iac/rule/650.51.10.pdf" Type="http://schemas.openxmlformats.org/officeDocument/2006/relationships/hyperlink" Id="rId12"/>
    <Relationship TargetMode="External" Target="https://www.legis.iowa.gov/docs/iac/rule/650.51.23.pdf" Type="http://schemas.openxmlformats.org/officeDocument/2006/relationships/hyperlink" Id="rId13"/>
    <Relationship TargetMode="External" Target="https://www.legis.iowa.gov/docs/iac/rule/650.51.10.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650.51.14.pdf" Type="http://schemas.openxmlformats.org/officeDocument/2006/relationships/hyperlink" Id="rId16"/>
    <Relationship TargetMode="External" Target="https://www.legis.iowa.gov/docs/ico/chapter/17A.13.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ac/rule/650.31.5.pdf" Type="http://schemas.openxmlformats.org/officeDocument/2006/relationships/hyperlink" Id="rId19"/>
    <Relationship TargetMode="External" Target="https://www.legis.iowa.gov/docs/iac/rule/650.31.5.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chapter/650.15.pdf" Type="http://schemas.openxmlformats.org/officeDocument/2006/relationships/hyperlink" Id="rId22"/>
    <Relationship TargetMode="External" Target="https://www.legis.iowa.gov/docs/ico/chapter/272C.6.pdf" Type="http://schemas.openxmlformats.org/officeDocument/2006/relationships/hyperlink" Id="rId23"/>
    <Relationship TargetMode="External" Target="https://www.legis.iowa.gov/docs/iac/rule/650.51.26.pdf" Type="http://schemas.openxmlformats.org/officeDocument/2006/relationships/hyperlink" Id="rId24"/>
    <Relationship TargetMode="External" Target="https://www.legis.iowa.gov/docs/iac/rule/650.51.25.pdf" Type="http://schemas.openxmlformats.org/officeDocument/2006/relationships/hyperlink" Id="rId25"/>
    <Relationship TargetMode="External" Target="https://www.legis.iowa.gov/docs/iac/rule/650.51.28.pdf" Type="http://schemas.openxmlformats.org/officeDocument/2006/relationships/hyperlink" Id="rId26"/>
    <Relationship TargetMode="External" Target="https://www.legis.iowa.gov/docs/iac/rule/650.51.10.pdf" Type="http://schemas.openxmlformats.org/officeDocument/2006/relationships/hyperlink" Id="rId27"/>
    <Relationship TargetMode="External" Target="https://www.legis.iowa.gov/docs/iac/rule/650.51.13.pdf" Type="http://schemas.openxmlformats.org/officeDocument/2006/relationships/hyperlink" Id="rId28"/>
    <Relationship TargetMode="External" Target="https://www.legis.iowa.gov/docs/iac/rule/650.51.10.pdf" Type="http://schemas.openxmlformats.org/officeDocument/2006/relationships/hyperlink" Id="rId29"/>
    <Relationship TargetMode="External" Target="https://www.legis.iowa.gov/docs/iac/rule/650.51.18.pdf" Type="http://schemas.openxmlformats.org/officeDocument/2006/relationships/hyperlink" Id="rId30"/>
    <Relationship TargetMode="External" Target="https://www.legis.iowa.gov/docs/ico/chapter/17A.13.pdf" Type="http://schemas.openxmlformats.org/officeDocument/2006/relationships/hyperlink" Id="rId31"/>
    <Relationship TargetMode="External" Target="https://www.legis.iowa.gov/docs/iac/rule/650.51.27.pdf" Type="http://schemas.openxmlformats.org/officeDocument/2006/relationships/hyperlink" Id="rId32"/>
    <Relationship TargetMode="External" Target="https://www.legis.iowa.gov/docs/iac/rule/650.51.26.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53.33.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ac/rule/650.51.33.pdf" Type="http://schemas.openxmlformats.org/officeDocument/2006/relationships/hyperlink" Id="rId37"/>
    <Relationship TargetMode="External" Target="https://www.legis.iowa.gov/docs/iac/chapter/650.15.pdf" Type="http://schemas.openxmlformats.org/officeDocument/2006/relationships/hyperlink" Id="rId38"/>
    <Relationship TargetMode="External" Target="https://www.legis.iowa.gov/docs/iac/chapter/650.15.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272C.5.pdf" Type="http://schemas.openxmlformats.org/officeDocument/2006/relationships/hyperlink" Id="rId41"/>
    <Relationship TargetMode="External" Target="https://www.legis.iowa.gov/docs/ico/chapter/272C.6.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