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USE OF CRIMINAL CONVICTIONS IN ELIGIBILITY DETERMINATIONS AND INITIAL LICENSING DECISIONS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650—50.1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650—50.2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5">
        <w:r>
          <w:rPr>
            <w:rStyle w:val="Hyperlink"/>
            <w:rFonts w:ascii="Times New Roman" w:hAnsi="Times New Roman"/>
            <w:b w:val="false"/>
            <w:i w:val="false"/>
            <w:color w:val="000000"/>
            <w:sz w:val="22"/>
          </w:rPr>
          <w:t>650—50.3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disclose all convictions on a license application. Failure to disclose all convictions is grounds for license denial or disciplinary action following license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convictions shall submit the complete criminal record for each conviction and a personal statement regarding whether each conviction directly relates to the practice of the profession in order for the license application to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as part of the license application all evidence of rehabilitation that the applicant wishes to be considered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disqualifying offenses who has been found rehabilitated must still satisfy all other 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650—50.3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650—50.4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due to a disqualifying offense may appeal the decision in the manner and timeframe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petitioner’s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650—50.5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5747C</w:t>
      </w:r>
      <w:r>
        <w:rPr>
          <w:rFonts w:ascii="Times New Roman" w:hAnsi="Times New Roman"/>
          <w:b w:val="false"/>
          <w:i w:val="false"/>
          <w:color w:val="000000"/>
          <w:sz w:val="21"/>
        </w:rPr>
        <w:t xml:space="preserve"> (Notice ARC 5371C, IAB 12/30/20)</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50.3.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272C.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