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val="false"/>
          <w:color w:val="000000"/>
          <w:sz w:val="16"/>
        </w:rPr>
        <w:t>TITLES VII TO 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CHILD SUPPORT NONCOMPLIANCE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650—33.1</w:t>
      </w:r>
      <w:r>
        <w:rPr>
          <w:rFonts w:ascii="Times New Roman" w:hAnsi="Times New Roman"/>
          <w:b/>
          <w:i w:val="false"/>
          <w:color w:val="000000"/>
          <w:sz w:val="22"/>
        </w:rPr>
        <w:t xml:space="preserve">(252J,598)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sections </w:t>
      </w:r>
      <w:hyperlink r:id="rId5">
        <w:r>
          <w:rPr>
            <w:rStyle w:val="Hyperlink"/>
            <w:rFonts w:ascii="Times New Roman" w:hAnsi="Times New Roman"/>
            <w:b w:val="false"/>
            <w:i w:val="false"/>
            <w:color w:val="000000"/>
            <w:sz w:val="22"/>
          </w:rPr>
          <w:t>252J.1 to 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dental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known as a certificate of noncompliance which is provided by the child support unit certifying that the named licensee or registrant is not in compliance with a support order or with a written agreement for payment of support entered into by the child support unit and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support unit” </w:t>
      </w:r>
      <w:r>
        <w:rPr>
          <w:rFonts w:ascii="Times New Roman" w:hAnsi="Times New Roman"/>
          <w:b w:val="false"/>
          <w:i w:val="false"/>
          <w:color w:val="000000"/>
          <w:sz w:val="22"/>
        </w:rPr>
        <w:t>means the child support recovery unit of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means a board notification denying an application for the issuance or renewal of a license or registration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to practice dentistry or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registration to practice as a dental assistant trainee or registered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means a board notification suspending a license or registration for an indefinite or specified period of time or a notification revoking a license or registration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known as a withdrawal of a certificate of noncompliance provided by the child support unit certifying that the certificate is withdrawn and that the board may proceed with issuance, reinstatement, or renewal of a license or registration.</w:t>
      </w:r>
    </w:p>
    <w:p>
      <w:pPr>
        <w:spacing w:before="0" w:after="0"/>
        <w:ind w:left="120"/>
        <w:jc w:val="both"/>
      </w:pPr>
      <w:r>
        <w:rPr>
          <w:rFonts w:ascii="Times New Roman" w:hAnsi="Times New Roman"/>
          <w:b/>
          <w:i w:val="false"/>
          <w:color w:val="000000"/>
          <w:sz w:val="22"/>
        </w:rPr>
        <w:t>650—33.2</w:t>
      </w:r>
      <w:r>
        <w:rPr>
          <w:rFonts w:ascii="Times New Roman" w:hAnsi="Times New Roman"/>
          <w:b/>
          <w:i w:val="false"/>
          <w:color w:val="000000"/>
          <w:sz w:val="22"/>
        </w:rPr>
        <w:t xml:space="preserve">(252J,598) </w:t>
      </w:r>
      <w:r>
        <w:rPr>
          <w:rFonts w:ascii="Times New Roman" w:hAnsi="Times New Roman"/>
          <w:b/>
          <w:i w:val="false"/>
          <w:color w:val="000000"/>
          <w:sz w:val="22"/>
        </w:rPr>
        <w:t xml:space="preserve">Issuance or renewal of a license or registration—denial. </w:t>
      </w:r>
      <w:r>
        <w:rPr>
          <w:rFonts w:ascii="Times New Roman" w:hAnsi="Times New Roman"/>
          <w:b w:val="false"/>
          <w:i w:val="false"/>
          <w:color w:val="000000"/>
          <w:sz w:val="22"/>
        </w:rPr>
        <w:t>The board shall deny the issuance or renewal of a license or registration upon the receipt of a certificate from the child support unit.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notice. </w:t>
      </w:r>
      <w:r>
        <w:rPr>
          <w:rFonts w:ascii="Times New Roman" w:hAnsi="Times New Roman"/>
          <w:b w:val="false"/>
          <w:i w:val="false"/>
          <w:color w:val="000000"/>
          <w:sz w:val="22"/>
        </w:rPr>
        <w:t>Notice shall be served upon the licensee, registrant, or applicant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denial. </w:t>
      </w:r>
      <w:r>
        <w:rPr>
          <w:rFonts w:ascii="Times New Roman" w:hAnsi="Times New Roman"/>
          <w:b w:val="false"/>
          <w:i w:val="false"/>
          <w:color w:val="000000"/>
          <w:sz w:val="22"/>
        </w:rPr>
        <w:t>The effective date of the denial of issuance or renewal of a license or registration, as specified in the denial notice, shall be 60 days following service of the denial notice upon the licensee, registrant,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denial notice. </w:t>
      </w:r>
      <w:r>
        <w:rPr>
          <w:rFonts w:ascii="Times New Roman" w:hAnsi="Times New Roman"/>
          <w:b w:val="false"/>
          <w:i w:val="false"/>
          <w:color w:val="000000"/>
          <w:sz w:val="22"/>
        </w:rPr>
        <w:t>The executive director of the board is authorized to prepare and serve the denial notice upon the licensee, registrant,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w:t>
      </w:r>
      <w:r>
        <w:rPr>
          <w:rFonts w:ascii="Times New Roman" w:hAnsi="Times New Roman"/>
          <w:b w:val="false"/>
          <w:i w:val="false"/>
          <w:color w:val="000000"/>
          <w:sz w:val="22"/>
        </w:rPr>
        <w:t> </w:t>
      </w:r>
      <w:r>
        <w:rPr>
          <w:rFonts w:ascii="Times New Roman" w:hAnsi="Times New Roman"/>
          <w:b w:val="false"/>
          <w:i/>
          <w:color w:val="000000"/>
          <w:sz w:val="22"/>
        </w:rPr>
        <w:t xml:space="preserve">Licensee, registrant, or applicant responsible to inform board. </w:t>
      </w:r>
      <w:r>
        <w:rPr>
          <w:rFonts w:ascii="Times New Roman" w:hAnsi="Times New Roman"/>
          <w:b w:val="false"/>
          <w:i w:val="false"/>
          <w:color w:val="000000"/>
          <w:sz w:val="22"/>
        </w:rPr>
        <w:t>Licensees, registrants, and applicants shall keep the board informed of all court actions, and all child support unit actions taken under or in connection with the Act and shall provide the board copies, within seven days of filing or issuance, of all applications filed with the district court pursuant to the Act, all court orders entered in such actions, and any withdrawal of certificates issued by the child support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or registration denial. </w:t>
      </w:r>
      <w:r>
        <w:rPr>
          <w:rFonts w:ascii="Times New Roman" w:hAnsi="Times New Roman"/>
          <w:b w:val="false"/>
          <w:i w:val="false"/>
          <w:color w:val="000000"/>
          <w:sz w:val="22"/>
        </w:rPr>
        <w:t>All board fees required for application, license or registration renewal, or license or registration reinstatement shall be paid by licensees, registrants, or applicants before a license or registration will be issued, renewed, or reinstated after the board has denied the issuance or renewal of a license or registration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registrant, or applicant files a timely district court action following service of a board notice, the board shall continue with the intended action described in the denial notice upon the receipt of a court order lifting the stay, dismissing the action, or otherwise directing the board to proceed. For purposes of determining the effective date of the denial of the issuance or renewal of a license or registration,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registrant, or applicant in writing through regular first-class mail, or such other means as the board determines appropriate in the circumstances, within ten days of the effective date of the denial of the issuance or renewal of a license or registration, and shall similarly notify the licensee, registrant, or applicant if the license or registration is issued or renewed following the board’s receipt of a withdrawal certificate.</w:t>
      </w:r>
    </w:p>
    <w:p>
      <w:pPr>
        <w:spacing w:before="0" w:after="0"/>
        <w:ind w:left="120"/>
        <w:jc w:val="both"/>
      </w:pPr>
      <w:r>
        <w:rPr>
          <w:rFonts w:ascii="Times New Roman" w:hAnsi="Times New Roman"/>
          <w:b/>
          <w:i w:val="false"/>
          <w:color w:val="000000"/>
          <w:sz w:val="22"/>
        </w:rPr>
        <w:t>650—33.3</w:t>
      </w:r>
      <w:r>
        <w:rPr>
          <w:rFonts w:ascii="Times New Roman" w:hAnsi="Times New Roman"/>
          <w:b/>
          <w:i w:val="false"/>
          <w:color w:val="000000"/>
          <w:sz w:val="22"/>
        </w:rPr>
        <w:t xml:space="preserve">(252J,598) </w:t>
      </w:r>
      <w:r>
        <w:rPr>
          <w:rFonts w:ascii="Times New Roman" w:hAnsi="Times New Roman"/>
          <w:b/>
          <w:i w:val="false"/>
          <w:color w:val="000000"/>
          <w:sz w:val="22"/>
        </w:rPr>
        <w:t xml:space="preserve">Suspension or revocation of a license or registration. </w:t>
      </w:r>
      <w:r>
        <w:rPr>
          <w:rFonts w:ascii="Times New Roman" w:hAnsi="Times New Roman"/>
          <w:b w:val="false"/>
          <w:i w:val="false"/>
          <w:color w:val="000000"/>
          <w:sz w:val="22"/>
        </w:rPr>
        <w:t>The board shall suspend or revoke a license or registration upon the receipt of a certificate from the child support unit according to the procedures set forth in the Act.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Service of revocation or suspension notice. </w:t>
      </w:r>
      <w:r>
        <w:rPr>
          <w:rFonts w:ascii="Times New Roman" w:hAnsi="Times New Roman"/>
          <w:b w:val="false"/>
          <w:i w:val="false"/>
          <w:color w:val="000000"/>
          <w:sz w:val="22"/>
        </w:rPr>
        <w:t>Revocation or suspension notice shall be served upon the licensee or registrant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or suspension. </w:t>
      </w:r>
      <w:r>
        <w:rPr>
          <w:rFonts w:ascii="Times New Roman" w:hAnsi="Times New Roman"/>
          <w:b w:val="false"/>
          <w:i w:val="false"/>
          <w:color w:val="000000"/>
          <w:sz w:val="22"/>
        </w:rPr>
        <w:t>The effective date of the suspension or revocation of a license or registration, as specified in the revocation or suspension notice, shall be 60 days following service of the revocation or suspension notice upon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revocation or suspension notice. </w:t>
      </w:r>
      <w:r>
        <w:rPr>
          <w:rFonts w:ascii="Times New Roman" w:hAnsi="Times New Roman"/>
          <w:b w:val="false"/>
          <w:i w:val="false"/>
          <w:color w:val="000000"/>
          <w:sz w:val="22"/>
        </w:rPr>
        <w:t>The executive director of the board is authorized to prepare and serve the revocation or suspension notice upon the licensee or registrant and is directed to notify the licensee or registrant that the license or registration will be suspended unless the license or registration is already suspended on other grounds. In the event that the license or registration is on suspension, the executive director shall notify the licensee or registrant of the board’s intention to revoke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33.3(4)</w:t>
      </w:r>
      <w:r>
        <w:rPr>
          <w:rFonts w:ascii="Times New Roman" w:hAnsi="Times New Roman"/>
          <w:b w:val="false"/>
          <w:i w:val="false"/>
          <w:color w:val="000000"/>
          <w:sz w:val="22"/>
        </w:rPr>
        <w:t> </w:t>
      </w:r>
      <w:r>
        <w:rPr>
          <w:rFonts w:ascii="Times New Roman" w:hAnsi="Times New Roman"/>
          <w:b w:val="false"/>
          <w:i/>
          <w:color w:val="000000"/>
          <w:sz w:val="22"/>
        </w:rPr>
        <w:t xml:space="preserve">Licensee or registrant responsible to inform board. </w:t>
      </w:r>
      <w:r>
        <w:rPr>
          <w:rFonts w:ascii="Times New Roman" w:hAnsi="Times New Roman"/>
          <w:b w:val="false"/>
          <w:i w:val="false"/>
          <w:color w:val="000000"/>
          <w:sz w:val="22"/>
        </w:rPr>
        <w:t>The licensee or registrant shall keep the board informed of all court actions, and all child support unit action taken under or in connection with the Act, and shall provide the board copies, within seven days of filing or issuance, of all applications filed with the district court pursuant to the Act, all court orders entered in such actions, and any withdrawal certificates issued by the child support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or registration suspension or revocation. </w:t>
      </w:r>
      <w:r>
        <w:rPr>
          <w:rFonts w:ascii="Times New Roman" w:hAnsi="Times New Roman"/>
          <w:b w:val="false"/>
          <w:i w:val="false"/>
          <w:color w:val="000000"/>
          <w:sz w:val="22"/>
        </w:rPr>
        <w:t>A licensee or registrant shall pay all board fees required for license or registration renewal or reinstatement before a license or registration will be reinstated after the board has suspended a license or registration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or registrant files a timely district court action pursuant to the Act and following service of a revocation or suspension notice, the board shall continue with the intended action described in the revocation or suspension notice upon the receipt of a court order lifting the stay, dismissing the action, or otherwise directing the board to proceed. For purposes of determining the effective date of the suspension or revocation,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or registrant in writing through regular first-class mail, or such other means as the board determines appropriate in the circumstances, within ten days of the effective date of the suspension or revocation of a license or registration, and shall similarly notify the licensee or registrant if the license or registration is reinstated following the board’s receipt of a withdrawal certificate.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252J.1 to 252J.9</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4/30/96, Notice 1/3/96—published 5/22/96, effective 6/26/96]</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8/29/03, Notice 5/14/03—published 9/17/03, effective 10/22/03]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1-9.pdf" Type="http://schemas.openxmlformats.org/officeDocument/2006/relationships/hyperlink" Id="rId5"/>
    <Relationship TargetMode="External" Target="https://www.legis.iowa.gov/docs/ico/chapter/252J.1-9.pdf" Type="http://schemas.openxmlformats.org/officeDocument/2006/relationships/hyperlink" Id="rId6"/>
    <Relationship TargetMode="External" Target="https://www.legis.iowa.gov/docs/ico/chapter/59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