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w:t>
      </w:r>
    </w:p>
    <w:p>
      <w:pPr>
        <w:spacing w:before="0" w:after="0"/>
        <w:ind w:left="120"/>
        <w:jc w:val="center"/>
      </w:pPr>
      <w:r>
        <w:rPr>
          <w:rFonts w:ascii="Times New Roman" w:hAnsi="Times New Roman"/>
          <w:b w:val="false"/>
          <w:i w:val="false"/>
          <w:color w:val="000000"/>
          <w:sz w:val="21"/>
        </w:rPr>
        <w:t>SEDATION AND NITROUS OXIDE</w:t>
      </w:r>
    </w:p>
    <w:p>
      <w:pPr>
        <w:spacing w:before="0" w:after="0"/>
        <w:ind w:left="120"/>
        <w:jc w:val="center"/>
      </w:pPr>
      <w:r>
        <w:rPr>
          <w:rFonts w:ascii="Times New Roman" w:hAnsi="Times New Roman"/>
          <w:b w:val="false"/>
          <w:i w:val="false"/>
          <w:color w:val="000000"/>
          <w:sz w:val="14"/>
        </w:rPr>
        <w:t>[Prior to 5/18/88, Dental Examiners, Board of[320]]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650—29.1</w:t>
      </w:r>
      <w:r>
        <w:rPr>
          <w:rFonts w:ascii="Times New Roman" w:hAnsi="Times New Roman"/>
          <w:b/>
          <w:i w:val="false"/>
          <w:color w:val="000000"/>
          <w:sz w:val="22"/>
        </w:rPr>
        <w:t xml:space="preserve">(153)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relative to the administration of deep sedation, general anesthesia, moderate sedation, minimal sedation, and nitrous oxide inhalation analgesia by licensed dentists,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 </w:t>
      </w:r>
      <w:r>
        <w:rPr>
          <w:rFonts w:ascii="Times New Roman" w:hAnsi="Times New Roman"/>
          <w:b w:val="false"/>
          <w:i w:val="false"/>
          <w:color w:val="000000"/>
          <w:sz w:val="22"/>
        </w:rPr>
        <w:t>means the anesthesia credentials committee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“ASA” </w:t>
      </w:r>
      <w:r>
        <w:rPr>
          <w:rFonts w:ascii="Times New Roman" w:hAnsi="Times New Roman"/>
          <w:b w:val="false"/>
          <w:i w:val="false"/>
          <w:color w:val="000000"/>
          <w:sz w:val="22"/>
        </w:rPr>
        <w:t>refers to the American Society of Anesthesiologists Patient Physical Status Classification System. Category I means normal healthy patients, and category II means patients with mild systemic disease. Category III means patients with severe systemic disease, and category IV means patients with severe systemic disease that is a constant threat to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Iowa dental board established in Iowa Code section </w:t>
      </w:r>
      <w:hyperlink r:id="rId5">
        <w:r>
          <w:rPr>
            <w:rStyle w:val="Hyperlink"/>
            <w:rFonts w:ascii="Times New Roman" w:hAnsi="Times New Roman"/>
            <w:b w:val="false"/>
            <w:i w:val="false"/>
            <w:color w:val="000000"/>
            <w:sz w:val="22"/>
          </w:rPr>
          <w:t>147.14(1)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“Capnography” </w:t>
      </w:r>
      <w:r>
        <w:rPr>
          <w:rFonts w:ascii="Times New Roman" w:hAnsi="Times New Roman"/>
          <w:b w:val="false"/>
          <w:i w:val="false"/>
          <w:color w:val="000000"/>
          <w:sz w:val="22"/>
        </w:rPr>
        <w:t>means the monitoring of the concentration of exhaled carbon dioxide in order to assess physiologic status or determine the adequacy of ventilation during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ACLS or PALS certification” </w:t>
      </w:r>
      <w:r>
        <w:rPr>
          <w:rFonts w:ascii="Times New Roman" w:hAnsi="Times New Roman"/>
          <w:b w:val="false"/>
          <w:i w:val="false"/>
          <w:color w:val="000000"/>
          <w:sz w:val="22"/>
        </w:rPr>
        <w:t>means current certification in advanced cardiac life support (ACLS) or pediatric advanced life support (PALS). Current certification means certification by an organization on an annual basis or, if that certifying organization requires certification on a less frequent basis, evidence that the individual has been properly certified for each year covered by the renewal period. The course for the purposes of certification must include a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“DAANCE” </w:t>
      </w:r>
      <w:r>
        <w:rPr>
          <w:rFonts w:ascii="Times New Roman" w:hAnsi="Times New Roman"/>
          <w:b w:val="false"/>
          <w:i w:val="false"/>
          <w:color w:val="000000"/>
          <w:sz w:val="22"/>
        </w:rPr>
        <w:t xml:space="preserve">means the dental anesthesia assistant national certification examination as offered by the American Association of Oral and Maxillofacial Surgeons (AAOMS).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“Deep sedation” </w:t>
      </w:r>
      <w:r>
        <w:rPr>
          <w:rFonts w:ascii="Times New Roman" w:hAnsi="Times New Roman"/>
          <w:b w:val="false"/>
          <w:i w:val="false"/>
          <w:color w:val="000000"/>
          <w:sz w:val="22"/>
        </w:rPr>
        <w:t>means drug-induced depression of consciousness during which patients cannot be easily aroused but respond purposefully following repeated painful stimulation. The ability to independently maintain ventilatory function may be impaired. Patients may require assistance in maintaining a patent airway, and spontaneous ventilation may be inadequate. Cardiovascular function is usually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any dental office or clinic where sedation is used in the practice of dentistry. The term “facility” does not include a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anesthesia” </w:t>
      </w:r>
      <w:r>
        <w:rPr>
          <w:rFonts w:ascii="Times New Roman" w:hAnsi="Times New Roman"/>
          <w:b w:val="false"/>
          <w:i w:val="false"/>
          <w:color w:val="000000"/>
          <w:sz w:val="22"/>
        </w:rPr>
        <w:t>means a drug-induced loss of consciousness during which patients are not arousable, even by painful stimulation. The ability to independently maintain ventilatory function is often impaired. Patients often require assistance in maintaining a patent airway, and positive pressure ventilation may be required because of depressed spontaneous ventilation or drug-induced depression of neuromuscular function. Cardiovascular function may be impaired.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sedation provider” </w:t>
      </w:r>
      <w:r>
        <w:rPr>
          <w:rFonts w:ascii="Times New Roman" w:hAnsi="Times New Roman"/>
          <w:b w:val="false"/>
          <w:i w:val="false"/>
          <w:color w:val="000000"/>
          <w:sz w:val="22"/>
        </w:rPr>
        <w:t>means a physician anesthesiologist currently licensed by the Iowa board of medicine or a certified registered nurse anesthetist (CRNA) currently licensed by the Iowa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“Minimal sedation” </w:t>
      </w:r>
      <w:r>
        <w:rPr>
          <w:rFonts w:ascii="Times New Roman" w:hAnsi="Times New Roman"/>
          <w:b w:val="false"/>
          <w:i w:val="false"/>
          <w:color w:val="000000"/>
          <w:sz w:val="22"/>
        </w:rPr>
        <w:t xml:space="preserve">means a minimally depressed level of consciousness produced by a pharmacological method that retains the patient’s ability to independently and continuously maintain an airway and respond normally to tactile stimulation and verbal command. Although cognitive function and coordination may be modestly impaired, ventilatory and cardiovascular functions are unaffected. A patient whose only response reflex is withdrawal from repeated painful stimuli is not considered to be in a state of minimal sedation.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“Moderate sedation” </w:t>
      </w:r>
      <w:r>
        <w:rPr>
          <w:rFonts w:ascii="Times New Roman" w:hAnsi="Times New Roman"/>
          <w:b w:val="false"/>
          <w:i w:val="false"/>
          <w:color w:val="000000"/>
          <w:sz w:val="22"/>
        </w:rPr>
        <w:t xml:space="preserve">means a drug-induced depression of consciousness, either by enteral or parenteral means, during which patients respond purposefully to verbal commands, either alone or accompanied by light tactile stimulation. No interventions are required to maintain a patent airway, and spontaneous ventilation is adequate. Cardiovascular function is usually maintained. A patient whose only response reflex is withdrawal from a painful stimulus is not considered to be in a state of moderate sedation.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“Monitoring nitrous oxide inhalation analgesia” </w:t>
      </w:r>
      <w:r>
        <w:rPr>
          <w:rFonts w:ascii="Times New Roman" w:hAnsi="Times New Roman"/>
          <w:b w:val="false"/>
          <w:i w:val="false"/>
          <w:color w:val="000000"/>
          <w:sz w:val="22"/>
        </w:rPr>
        <w:t>means continually observing the patient receiving nitrous oxide and recognizing and notifying the dentist of any adverse reactions or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“MRD” </w:t>
      </w:r>
      <w:r>
        <w:rPr>
          <w:rFonts w:ascii="Times New Roman" w:hAnsi="Times New Roman"/>
          <w:b w:val="false"/>
          <w:i w:val="false"/>
          <w:color w:val="000000"/>
          <w:sz w:val="22"/>
        </w:rPr>
        <w:t>means the manufacturer’s maximum recommended dose of a drug as printed in FDA-approved labeling.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“Nitrous oxide inhalation analgesia” </w:t>
      </w:r>
      <w:r>
        <w:rPr>
          <w:rFonts w:ascii="Times New Roman" w:hAnsi="Times New Roman"/>
          <w:b w:val="false"/>
          <w:i w:val="false"/>
          <w:color w:val="000000"/>
          <w:sz w:val="22"/>
        </w:rPr>
        <w:t>refers to the administration by inhalation of a combination of nitrous oxide and oxygen producing an altered level of consciousness that retains the patient’s ability to independently and continuously maintain an airway and respond appropriately to physical stimulation or verbal command.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monitor” </w:t>
      </w:r>
      <w:r>
        <w:rPr>
          <w:rFonts w:ascii="Times New Roman" w:hAnsi="Times New Roman"/>
          <w:b w:val="false"/>
          <w:i w:val="false"/>
          <w:color w:val="000000"/>
          <w:sz w:val="22"/>
        </w:rPr>
        <w:t>means a dental assistant, dental hygienist, nurse or dentist whose primary responsibility is to continuously monitor a patient receiving moderate sedation, deep sedation or general anesthesia until the patient meets the criteria to be discharged to the recovery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“Pediatric” </w:t>
      </w:r>
      <w:r>
        <w:rPr>
          <w:rFonts w:ascii="Times New Roman" w:hAnsi="Times New Roman"/>
          <w:b w:val="false"/>
          <w:i w:val="false"/>
          <w:color w:val="000000"/>
          <w:sz w:val="22"/>
        </w:rPr>
        <w:t>means patients aged 12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holder” </w:t>
      </w:r>
      <w:r>
        <w:rPr>
          <w:rFonts w:ascii="Times New Roman" w:hAnsi="Times New Roman"/>
          <w:b w:val="false"/>
          <w:i w:val="false"/>
          <w:color w:val="000000"/>
          <w:sz w:val="22"/>
        </w:rPr>
        <w:t xml:space="preserve">means an Iowa licensed dentist who has been issued a moderate sedation or general anesthesia permit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“Time-oriented anesthesia record” </w:t>
      </w:r>
      <w:r>
        <w:rPr>
          <w:rFonts w:ascii="Times New Roman" w:hAnsi="Times New Roman"/>
          <w:b w:val="false"/>
          <w:i w:val="false"/>
          <w:color w:val="000000"/>
          <w:sz w:val="22"/>
        </w:rPr>
        <w:t>means documentation at appropriate time intervals of drugs, doses and physiologic data obtained during patient monitoring.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650—29.2</w:t>
      </w:r>
      <w:r>
        <w:rPr>
          <w:rFonts w:ascii="Times New Roman" w:hAnsi="Times New Roman"/>
          <w:b/>
          <w:i w:val="false"/>
          <w:color w:val="000000"/>
          <w:sz w:val="22"/>
        </w:rPr>
        <w:t xml:space="preserve">(153) </w:t>
      </w:r>
      <w:r>
        <w:rPr>
          <w:rFonts w:ascii="Times New Roman" w:hAnsi="Times New Roman"/>
          <w:b/>
          <w:i w:val="false"/>
          <w:color w:val="000000"/>
          <w:sz w:val="22"/>
        </w:rPr>
        <w:t xml:space="preserve">Advertising. </w:t>
      </w:r>
      <w:r>
        <w:rPr>
          <w:rFonts w:ascii="Times New Roman" w:hAnsi="Times New Roman"/>
          <w:b w:val="false"/>
          <w:i w:val="false"/>
          <w:color w:val="000000"/>
          <w:sz w:val="22"/>
        </w:rPr>
        <w:t>A dentist shall ensure that any advertisements related to the availability of antianxiety premedication or minimal sedation clearly reflect the level of sedation provided and are not misleading.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650—29.3</w:t>
      </w:r>
      <w:r>
        <w:rPr>
          <w:rFonts w:ascii="Times New Roman" w:hAnsi="Times New Roman"/>
          <w:b/>
          <w:i w:val="false"/>
          <w:color w:val="000000"/>
          <w:sz w:val="22"/>
        </w:rPr>
        <w:t xml:space="preserve">(153) </w:t>
      </w:r>
      <w:r>
        <w:rPr>
          <w:rFonts w:ascii="Times New Roman" w:hAnsi="Times New Roman"/>
          <w:b/>
          <w:i w:val="false"/>
          <w:color w:val="000000"/>
          <w:sz w:val="22"/>
        </w:rPr>
        <w:t xml:space="preserve">Nitrous oxide inhalation analgesia.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use nitrous oxide inhalation analgesia sedation on an outpatient basis for dental patients provided the dentist has completed training and complies with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adequate equipment with fail-safe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routine inspection, calibration, and maintenance on equipment performed every two years and maintains documentation of such and provides documentation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Ensures the patient is continually monitored by a patient monitor while receiving nitrous oxide inhalation analgesia.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29.3(2)</w:t>
      </w:r>
      <w:r>
        <w:rPr>
          <w:rFonts w:ascii="Times New Roman" w:hAnsi="Times New Roman"/>
          <w:b w:val="false"/>
          <w:i w:val="false"/>
          <w:color w:val="000000"/>
          <w:sz w:val="22"/>
        </w:rPr>
        <w:t> </w:t>
      </w:r>
      <w:r>
        <w:rPr>
          <w:rFonts w:ascii="Times New Roman" w:hAnsi="Times New Roman"/>
          <w:b w:val="false"/>
          <w:i w:val="false"/>
          <w:color w:val="000000"/>
          <w:sz w:val="22"/>
        </w:rPr>
        <w:t>A dentist shall provide direct supervision of the administration and monitoring of nitrous oxide and establish a written office protocol for taking vital signs, adjusting anesthetic concentrations, and addressing emergency situations that may arise. The dentist shall be responsible for dismissing the patient following completion of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29.3(3)</w:t>
      </w:r>
      <w:r>
        <w:rPr>
          <w:rFonts w:ascii="Times New Roman" w:hAnsi="Times New Roman"/>
          <w:b w:val="false"/>
          <w:i w:val="false"/>
          <w:color w:val="000000"/>
          <w:sz w:val="22"/>
        </w:rPr>
        <w:t> </w:t>
      </w:r>
      <w:r>
        <w:rPr>
          <w:rFonts w:ascii="Times New Roman" w:hAnsi="Times New Roman"/>
          <w:b w:val="false"/>
          <w:i w:val="false"/>
          <w:color w:val="000000"/>
          <w:sz w:val="22"/>
        </w:rPr>
        <w:t>A dental hygienist may administer and monitor nitrous oxide inhalation analgesia provided the services have been prescribed by a dentist and the hygienist has completed training while a student in an accredited school of dental hygiene or a board-approved course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29.3(4)</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dental assistant may monitor a patient who is under nitrous oxide after the dentist has induced a patient and established the maintenance level, provided the dental assistant has completed a board-approved expanded function course. A dental assistant may make adjustments to decrease the nitrous oxide concentration while monitoring the patient or may turn off oxygen delivery at the completion of the dental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29.3(5)</w:t>
      </w:r>
      <w:r>
        <w:rPr>
          <w:rFonts w:ascii="Times New Roman" w:hAnsi="Times New Roman"/>
          <w:b w:val="false"/>
          <w:i w:val="false"/>
          <w:color w:val="000000"/>
          <w:sz w:val="22"/>
        </w:rPr>
        <w:t> </w:t>
      </w:r>
      <w:r>
        <w:rPr>
          <w:rFonts w:ascii="Times New Roman" w:hAnsi="Times New Roman"/>
          <w:b w:val="false"/>
          <w:i w:val="false"/>
          <w:color w:val="000000"/>
          <w:sz w:val="22"/>
        </w:rPr>
        <w:t>Record keeping. The patient chart must include the concentration administered and duration of administration, as well as any vital signs taken.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650—29.4</w:t>
      </w:r>
      <w:r>
        <w:rPr>
          <w:rFonts w:ascii="Times New Roman" w:hAnsi="Times New Roman"/>
          <w:b/>
          <w:i w:val="false"/>
          <w:color w:val="000000"/>
          <w:sz w:val="22"/>
        </w:rPr>
        <w:t xml:space="preserve">(153) </w:t>
      </w:r>
      <w:r>
        <w:rPr>
          <w:rFonts w:ascii="Times New Roman" w:hAnsi="Times New Roman"/>
          <w:b/>
          <w:i w:val="false"/>
          <w:color w:val="000000"/>
          <w:sz w:val="22"/>
        </w:rPr>
        <w:t xml:space="preserve">Minimal sedation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w:t>
      </w:r>
      <w:r>
        <w:rPr>
          <w:rFonts w:ascii="Times New Roman" w:hAnsi="Times New Roman"/>
          <w:b w:val="false"/>
          <w:i w:val="false"/>
          <w:color w:val="000000"/>
          <w:sz w:val="22"/>
        </w:rPr>
        <w:t> </w:t>
      </w:r>
      <w:r>
        <w:rPr>
          <w:rFonts w:ascii="Times New Roman" w:hAnsi="Times New Roman"/>
          <w:b w:val="false"/>
          <w:i w:val="false"/>
          <w:color w:val="000000"/>
          <w:sz w:val="22"/>
        </w:rPr>
        <w:t>A dentist shall evaluate a patient prior to the start of any sedative procedure. In healthy or medically stable patients (ASA I, II), the dentist should review the patient’s current medical history and medication use. For a patient with significant medical considerations (ASA III, IV), a dentist may need to consult with the patient’s primary care provider or consulting medical specialist. A dentist shall obtain informed consent from the patient or the patient’s parent or legal guardian prior to providing minimal sedation.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29.4(2)</w:t>
      </w:r>
      <w:r>
        <w:rPr>
          <w:rFonts w:ascii="Times New Roman" w:hAnsi="Times New Roman"/>
          <w:b w:val="false"/>
          <w:i w:val="false"/>
          <w:color w:val="000000"/>
          <w:sz w:val="22"/>
        </w:rPr>
        <w:t> </w:t>
      </w:r>
      <w:r>
        <w:rPr>
          <w:rFonts w:ascii="Times New Roman" w:hAnsi="Times New Roman"/>
          <w:b w:val="false"/>
          <w:i w:val="false"/>
          <w:color w:val="000000"/>
          <w:sz w:val="22"/>
        </w:rPr>
        <w:t>Record keeping. A time-oriented anesthesia record must be maintained and must contain the names of all drugs administered, including local anesthetics and nitrous oxide, dosages, time administered, and monitored physiological parameters, including oxygenation, ventilation, and circulation.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29.4(3)</w:t>
      </w:r>
      <w:r>
        <w:rPr>
          <w:rFonts w:ascii="Times New Roman" w:hAnsi="Times New Roman"/>
          <w:b w:val="false"/>
          <w:i w:val="false"/>
          <w:color w:val="000000"/>
          <w:sz w:val="22"/>
        </w:rPr>
        <w:t> </w:t>
      </w:r>
      <w:r>
        <w:rPr>
          <w:rFonts w:ascii="Times New Roman" w:hAnsi="Times New Roman"/>
          <w:b w:val="false"/>
          <w:i w:val="false"/>
          <w:color w:val="000000"/>
          <w:sz w:val="22"/>
        </w:rPr>
        <w:t>Minimal sedation for ASA I or II nonpediatric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prescribe or administer a single medication for minimal sedation via the enteral route that does not exceed the MRD for unmonitored home use. A dentist may administer a supplemental dose of the same drug provided the total aggregate dose does not exceed 1.5 times the MRD on the day of treatment. The dentist shall not administer a supplemental dose until the clinical half-life of the initial dose has passed.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administer a single medication for minimal sedation via the enteral route that does not exceed the MRD for monitored use on the day of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dentist may utilize nitrous oxide inhalation analgesia in combination with a single enteral drug.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29.4(4)</w:t>
      </w:r>
      <w:r>
        <w:rPr>
          <w:rFonts w:ascii="Times New Roman" w:hAnsi="Times New Roman"/>
          <w:b w:val="false"/>
          <w:i w:val="false"/>
          <w:color w:val="000000"/>
          <w:sz w:val="22"/>
        </w:rPr>
        <w:t> </w:t>
      </w:r>
      <w:r>
        <w:rPr>
          <w:rFonts w:ascii="Times New Roman" w:hAnsi="Times New Roman"/>
          <w:b w:val="false"/>
          <w:i w:val="false"/>
          <w:color w:val="000000"/>
          <w:sz w:val="22"/>
        </w:rPr>
        <w:t>Minimal sedation for ASA III, ASA IV or pediatric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dentist may prescribe or administer a single medication for minimal sedation via the enteral route for ASA III or IV patients or pediatric patients that does not exceed the MRD for unmonitored home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administer a single medication for minimal sedation via the enteral route that does not exceed the MRD for monitored use on the day of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dentist may administer nitrous oxide inhalation analgesia for minimal sedation of ASA III or IV patients or pediatric patients provided the concentration does not exceed 50 percent and is not used in combination with any other drug.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650—29.5</w:t>
      </w:r>
      <w:r>
        <w:rPr>
          <w:rFonts w:ascii="Times New Roman" w:hAnsi="Times New Roman"/>
          <w:b/>
          <w:i w:val="false"/>
          <w:color w:val="000000"/>
          <w:sz w:val="22"/>
        </w:rPr>
        <w:t xml:space="preserve">(153) </w:t>
      </w:r>
      <w:r>
        <w:rPr>
          <w:rFonts w:ascii="Times New Roman" w:hAnsi="Times New Roman"/>
          <w:b/>
          <w:i w:val="false"/>
          <w:color w:val="000000"/>
          <w:sz w:val="22"/>
        </w:rPr>
        <w:t xml:space="preserve">Shared standards for moderate sedation, deep sedation and general anesthesia.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29.5(1)</w:t>
      </w:r>
      <w:r>
        <w:rPr>
          <w:rFonts w:ascii="Times New Roman" w:hAnsi="Times New Roman"/>
          <w:b w:val="false"/>
          <w:i w:val="false"/>
          <w:color w:val="000000"/>
          <w:sz w:val="22"/>
        </w:rPr>
        <w:t> </w:t>
      </w:r>
      <w:r>
        <w:rPr>
          <w:rFonts w:ascii="Times New Roman" w:hAnsi="Times New Roman"/>
          <w:b w:val="false"/>
          <w:i w:val="false"/>
          <w:color w:val="000000"/>
          <w:sz w:val="22"/>
        </w:rPr>
        <w:t>Prior to administering moderate sedation, deep sedation or general anesthesia, a dentist must obtain a current moderate sedation permit or general anesthesia permit pursuant to rule 650—29.11(153).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29.5(2)</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administering moderate sedation, deep sedation or general anesthesia must maintain current ACLS certification. A dentist administering moderate sedation to pediatric patients may maintain current PALS certification in lieu of current ACLS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29.5(3)</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shall evaluate a patient prior to the start of any sedative procedure. A dentist should review a patient’s medical history, medication(s) and NPO (nothing by mouth) status. For a patient with significant medical considerations (ASA III, IV), a dentist may need to consult with the patient’s primary care provider or consulting medical specialist. The dentist should consult the body mass index as part of the preprocedural workup.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29.5(4)</w:t>
      </w:r>
      <w:r>
        <w:rPr>
          <w:rFonts w:ascii="Times New Roman" w:hAnsi="Times New Roman"/>
          <w:b w:val="false"/>
          <w:i w:val="false"/>
          <w:color w:val="000000"/>
          <w:sz w:val="22"/>
        </w:rPr>
        <w:t> </w:t>
      </w:r>
      <w:r>
        <w:rPr>
          <w:rFonts w:ascii="Times New Roman" w:hAnsi="Times New Roman"/>
          <w:b w:val="false"/>
          <w:i w:val="false"/>
          <w:color w:val="000000"/>
          <w:sz w:val="22"/>
        </w:rPr>
        <w:t>A dentist who administers sedation or anesthesia shall ensure that each facility where sedation services are provided is appropriately staffed to reasonably handle emergencies incident to the administration of sedation. A patient monitor shall be present in the treatment room and continually monitor the patient until the patient returns to a level of minimal sedation.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29.5(5)</w:t>
      </w:r>
      <w:r>
        <w:rPr>
          <w:rFonts w:ascii="Times New Roman" w:hAnsi="Times New Roman"/>
          <w:b w:val="false"/>
          <w:i w:val="false"/>
          <w:color w:val="000000"/>
          <w:sz w:val="22"/>
        </w:rPr>
        <w:t> </w:t>
      </w:r>
      <w:r>
        <w:rPr>
          <w:rFonts w:ascii="Times New Roman" w:hAnsi="Times New Roman"/>
          <w:b w:val="false"/>
          <w:i w:val="false"/>
          <w:color w:val="000000"/>
          <w:sz w:val="22"/>
        </w:rPr>
        <w:t>The dentist must provide postoperative verbal and written instructions to the patient and caregiver prior to discharging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29.5(6)</w:t>
      </w:r>
      <w:r>
        <w:rPr>
          <w:rFonts w:ascii="Times New Roman" w:hAnsi="Times New Roman"/>
          <w:b w:val="false"/>
          <w:i w:val="false"/>
          <w:color w:val="000000"/>
          <w:sz w:val="22"/>
        </w:rPr>
        <w:t> </w:t>
      </w:r>
      <w:r>
        <w:rPr>
          <w:rFonts w:ascii="Times New Roman" w:hAnsi="Times New Roman"/>
          <w:b w:val="false"/>
          <w:i w:val="false"/>
          <w:color w:val="000000"/>
          <w:sz w:val="22"/>
        </w:rPr>
        <w:t>The dentist must not leave the facility until the patient meets the criteria for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29.5(7)</w:t>
      </w:r>
      <w:r>
        <w:rPr>
          <w:rFonts w:ascii="Times New Roman" w:hAnsi="Times New Roman"/>
          <w:b w:val="false"/>
          <w:i w:val="false"/>
          <w:color w:val="000000"/>
          <w:sz w:val="22"/>
        </w:rPr>
        <w:t> </w:t>
      </w:r>
      <w:r>
        <w:rPr>
          <w:rFonts w:ascii="Times New Roman" w:hAnsi="Times New Roman"/>
          <w:b w:val="false"/>
          <w:i w:val="false"/>
          <w:color w:val="000000"/>
          <w:sz w:val="22"/>
        </w:rPr>
        <w:t>The dentist or another designated permit holder or licensed sedation provider must be available for postoperative aftercare for a minimum of 48 hours following the administration of sedation.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29.5(8)</w:t>
      </w:r>
      <w:r>
        <w:rPr>
          <w:rFonts w:ascii="Times New Roman" w:hAnsi="Times New Roman"/>
          <w:b w:val="false"/>
          <w:i w:val="false"/>
          <w:color w:val="000000"/>
          <w:sz w:val="22"/>
        </w:rPr>
        <w:t> </w:t>
      </w:r>
      <w:r>
        <w:rPr>
          <w:rFonts w:ascii="Times New Roman" w:hAnsi="Times New Roman"/>
          <w:b w:val="false"/>
          <w:i w:val="false"/>
          <w:color w:val="000000"/>
          <w:sz w:val="22"/>
        </w:rPr>
        <w:t>The dentist must establish emergency protocols which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dentist must establish a protocol for immediate access to backup emergency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patient monitor shall employ initial life-saving measures in the event of an emergency and shall activate the EMS system for life-threatening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dentist who utilizes an immobilization device must avoid chest or airway obstruction when applying the device and shall allow a hand or foot to remain exposed;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recovery room for a pediatric patient must include a functioning suction apparatus as well as the ability to provide &gt;90% oxygen and positive-pressure ventilation, along with age- and size-appropriate rescue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29.5(9)</w:t>
      </w:r>
      <w:r>
        <w:rPr>
          <w:rFonts w:ascii="Times New Roman" w:hAnsi="Times New Roman"/>
          <w:b w:val="false"/>
          <w:i w:val="false"/>
          <w:color w:val="000000"/>
          <w:sz w:val="22"/>
        </w:rPr>
        <w:t> </w:t>
      </w:r>
      <w:r>
        <w:rPr>
          <w:rFonts w:ascii="Times New Roman" w:hAnsi="Times New Roman"/>
          <w:b w:val="false"/>
          <w:i w:val="false"/>
          <w:color w:val="000000"/>
          <w:sz w:val="22"/>
        </w:rPr>
        <w:t>Record keeping. A time-oriented anesthesia record must include preoperative and postoperative vital signs, drugs administered, dosage administered, anesthesia time in minutes, and monitors used. Pulse oximetry, heart rate, respiratory rate, and blood pressure must be recorded continually until the patient is fully ambulatory. The chart should contain the name of the person to whom the patient was discharged.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650—29.6</w:t>
      </w:r>
      <w:r>
        <w:rPr>
          <w:rFonts w:ascii="Times New Roman" w:hAnsi="Times New Roman"/>
          <w:b/>
          <w:i w:val="false"/>
          <w:color w:val="000000"/>
          <w:sz w:val="22"/>
        </w:rPr>
        <w:t xml:space="preserve">(153) </w:t>
      </w:r>
      <w:r>
        <w:rPr>
          <w:rFonts w:ascii="Times New Roman" w:hAnsi="Times New Roman"/>
          <w:b/>
          <w:i w:val="false"/>
          <w:color w:val="000000"/>
          <w:sz w:val="22"/>
        </w:rPr>
        <w:t xml:space="preserve">Moderate sedation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29.6(1)</w:t>
      </w:r>
      <w:r>
        <w:rPr>
          <w:rFonts w:ascii="Times New Roman" w:hAnsi="Times New Roman"/>
          <w:b w:val="false"/>
          <w:i w:val="false"/>
          <w:color w:val="000000"/>
          <w:sz w:val="22"/>
        </w:rPr>
        <w:t> </w:t>
      </w:r>
      <w:r>
        <w:rPr>
          <w:rFonts w:ascii="Times New Roman" w:hAnsi="Times New Roman"/>
          <w:b w:val="false"/>
          <w:i w:val="false"/>
          <w:color w:val="000000"/>
          <w:sz w:val="22"/>
        </w:rPr>
        <w:t>Moderate sedation for ASA I or II nonpediatric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dentist may prescribe or administer a single enteral drug in excess of the MRD on the day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prescribe or administer a combination of more than one enteral drug.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administer a medication for moderate sedation via the parenteral route.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administer a medication for moderate sedation via the parenteral route in incremental doses.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dentist shall ensure the drug(s) or techniques, or both, carry a margin of safety wide enough to render unintended loss of consciousness unlikely.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administer nitrous oxide with more than one enteral drug.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29.6(2)</w:t>
      </w:r>
      <w:r>
        <w:rPr>
          <w:rFonts w:ascii="Times New Roman" w:hAnsi="Times New Roman"/>
          <w:b w:val="false"/>
          <w:i w:val="false"/>
          <w:color w:val="000000"/>
          <w:sz w:val="22"/>
        </w:rPr>
        <w:t> </w:t>
      </w:r>
      <w:r>
        <w:rPr>
          <w:rFonts w:ascii="Times New Roman" w:hAnsi="Times New Roman"/>
          <w:b w:val="false"/>
          <w:i w:val="false"/>
          <w:color w:val="000000"/>
          <w:sz w:val="22"/>
        </w:rPr>
        <w:t>Moderate sedation for ASA III, ASA IV or pediatric patients. A dentist who does not meet the requirements of paragraph 29.11(3)</w:t>
      </w:r>
      <w:r>
        <w:rPr>
          <w:rFonts w:ascii="Times New Roman" w:hAnsi="Times New Roman"/>
          <w:b w:val="false"/>
          <w:i/>
          <w:color w:val="000000"/>
          <w:sz w:val="22"/>
        </w:rPr>
        <w:t>“c”</w:t>
      </w:r>
      <w:r>
        <w:rPr>
          <w:rFonts w:ascii="Times New Roman" w:hAnsi="Times New Roman"/>
          <w:b w:val="false"/>
          <w:i w:val="false"/>
          <w:color w:val="000000"/>
          <w:sz w:val="22"/>
        </w:rPr>
        <w:t xml:space="preserve"> is prohibited from administering moderate sedation to pediatric or ASA III or IV patients. The following constitutes moderate sedation: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use of one or more enteral drugs in combination with nitrous 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administration of any intravenous drug.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29.6(3)</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administering moderate sedation in a facility shall have at least one patient monitor observe the patient while under moderate sedation. The patient monitor shall be capable of administering emergency support and shall complete one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three hours of on-site training in airway management that provides the knowledge and skills necessary for a patient monitor to competently assist with emergencies including, but not limited to, recognizing apnea and airway obstruction;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Current ACLS or PALS certification;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DAANCE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29.6(4)</w:t>
      </w:r>
      <w:r>
        <w:rPr>
          <w:rFonts w:ascii="Times New Roman" w:hAnsi="Times New Roman"/>
          <w:b w:val="false"/>
          <w:i w:val="false"/>
          <w:color w:val="000000"/>
          <w:sz w:val="22"/>
        </w:rPr>
        <w:t> </w:t>
      </w:r>
      <w:r>
        <w:rPr>
          <w:rFonts w:ascii="Times New Roman" w:hAnsi="Times New Roman"/>
          <w:b w:val="false"/>
          <w:i w:val="false"/>
          <w:color w:val="000000"/>
          <w:sz w:val="22"/>
        </w:rPr>
        <w:t>Use of capnography or pretracheal/precordial stethoscope is required for moderate sedation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moderate sedation permit holders shall use capnography to monitor end-tidal carbon dioxide unless the use of capnography is precluded or invalidated by the nature of the patient, procedure or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cases where the use of capnography is precluded or invalidated for the reasons listed previously, a pretracheal or precordial stethoscope must be used to continually monitor the auscultation of breath sounds at all facilities where licensed sedation providers provide sedation.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650—29.7</w:t>
      </w:r>
      <w:r>
        <w:rPr>
          <w:rFonts w:ascii="Times New Roman" w:hAnsi="Times New Roman"/>
          <w:b/>
          <w:i w:val="false"/>
          <w:color w:val="000000"/>
          <w:sz w:val="22"/>
        </w:rPr>
        <w:t xml:space="preserve">(153) </w:t>
      </w:r>
      <w:r>
        <w:rPr>
          <w:rFonts w:ascii="Times New Roman" w:hAnsi="Times New Roman"/>
          <w:b/>
          <w:i w:val="false"/>
          <w:color w:val="000000"/>
          <w:sz w:val="22"/>
        </w:rPr>
        <w:t xml:space="preserve">Deep sedation or general anesthesia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29.7(1)</w:t>
      </w:r>
      <w:r>
        <w:rPr>
          <w:rFonts w:ascii="Times New Roman" w:hAnsi="Times New Roman"/>
          <w:b w:val="false"/>
          <w:i w:val="false"/>
          <w:color w:val="000000"/>
          <w:sz w:val="22"/>
        </w:rPr>
        <w:t> </w:t>
      </w:r>
      <w:r>
        <w:rPr>
          <w:rFonts w:ascii="Times New Roman" w:hAnsi="Times New Roman"/>
          <w:b w:val="false"/>
          <w:i w:val="false"/>
          <w:color w:val="000000"/>
          <w:sz w:val="22"/>
        </w:rPr>
        <w:t>The administration of anesthetic sedative agents intended for deep sedation or general anesthesia, including but not limited to Propofol, Ketamine and Dilaudid, shall constitute deep sedation or general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29.7(2)</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shall have at least two patient monitors observe the patient while the patient is under deep sedation or general anesthesia. The patient monitors who observe patients under deep sedation or general anesthesia shall be capable of administering emergency support and shall have completed one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ACLS or PALS certification;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Current DAANCE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29.7(3)</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shall use capnography and a pretracheal/precordial stethoscope.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29.7(4)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dentist has a recovery area separate from the operatory, the recovery area must have oxygen and suction equipment.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650—29.8</w:t>
      </w:r>
      <w:r>
        <w:rPr>
          <w:rFonts w:ascii="Times New Roman" w:hAnsi="Times New Roman"/>
          <w:b/>
          <w:i w:val="false"/>
          <w:color w:val="000000"/>
          <w:sz w:val="22"/>
        </w:rPr>
        <w:t xml:space="preserve">(153) </w:t>
      </w:r>
      <w:r>
        <w:rPr>
          <w:rFonts w:ascii="Times New Roman" w:hAnsi="Times New Roman"/>
          <w:b/>
          <w:i w:val="false"/>
          <w:color w:val="000000"/>
          <w:sz w:val="22"/>
        </w:rPr>
        <w:t xml:space="preserve">Facility and equipment requirements for moderate sedation, deep sedation or general anesthesia.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29.8(1)</w:t>
      </w:r>
      <w:r>
        <w:rPr>
          <w:rFonts w:ascii="Times New Roman" w:hAnsi="Times New Roman"/>
          <w:b w:val="false"/>
          <w:i w:val="false"/>
          <w:color w:val="000000"/>
          <w:sz w:val="22"/>
        </w:rPr>
        <w:t> </w:t>
      </w:r>
      <w:r>
        <w:rPr>
          <w:rFonts w:ascii="Times New Roman" w:hAnsi="Times New Roman"/>
          <w:b w:val="false"/>
          <w:i w:val="false"/>
          <w:color w:val="000000"/>
          <w:sz w:val="22"/>
        </w:rPr>
        <w:t>Change of address or addition of facility location(s). A permit holder shall notify the board office in writing within 60 days of a change in location or the addition of a sedation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29.8(2)</w:t>
      </w:r>
      <w:r>
        <w:rPr>
          <w:rFonts w:ascii="Times New Roman" w:hAnsi="Times New Roman"/>
          <w:b w:val="false"/>
          <w:i w:val="false"/>
          <w:color w:val="000000"/>
          <w:sz w:val="22"/>
        </w:rPr>
        <w:t> </w:t>
      </w:r>
      <w:r>
        <w:rPr>
          <w:rFonts w:ascii="Times New Roman" w:hAnsi="Times New Roman"/>
          <w:b w:val="false"/>
          <w:i w:val="false"/>
          <w:color w:val="000000"/>
          <w:sz w:val="22"/>
        </w:rPr>
        <w:t>Facilities shall be permanently equipped. A dentist who administers moderate sedation, deep sedation or general anesthesia in a facility is required to be trained in and maintain, at a minimum, the following equipment to be properly equipped: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Electrocardiogram (EKG) monitor;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Positive pressure oxygen;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Laryngoscope and blades;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Endotracheal tubes;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Magill forceps;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Oral airways;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Stethoscope;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Blood pressure monitoring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Pulse oximeter;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drugs;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Defibrillator;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Capnography machine to monitor end-tidal carbon dioxide;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Pretracheal or precordial stethoscope;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Any additional equipment necessary to establish intravascular or intraosseous access, which shall be available until the patient meets discharge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29.8(3)</w:t>
      </w:r>
      <w:r>
        <w:rPr>
          <w:rFonts w:ascii="Times New Roman" w:hAnsi="Times New Roman"/>
          <w:b w:val="false"/>
          <w:i w:val="false"/>
          <w:color w:val="000000"/>
          <w:sz w:val="22"/>
        </w:rPr>
        <w:t> </w:t>
      </w:r>
      <w:r>
        <w:rPr>
          <w:rFonts w:ascii="Times New Roman" w:hAnsi="Times New Roman"/>
          <w:b w:val="false"/>
          <w:i w:val="false"/>
          <w:color w:val="000000"/>
          <w:sz w:val="22"/>
        </w:rPr>
        <w:t>The board or designated agents of the board may conduct facility inspections. The actual costs associated with the on-site evaluation of the facility shall be the primary responsibility of the licensee. The cost to the licensee shall not exceed the fee specified in 650—Chapter 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650—29.9</w:t>
      </w:r>
      <w:r>
        <w:rPr>
          <w:rFonts w:ascii="Times New Roman" w:hAnsi="Times New Roman"/>
          <w:b/>
          <w:i w:val="false"/>
          <w:color w:val="000000"/>
          <w:sz w:val="22"/>
        </w:rPr>
        <w:t xml:space="preserve">(153) </w:t>
      </w:r>
      <w:r>
        <w:rPr>
          <w:rFonts w:ascii="Times New Roman" w:hAnsi="Times New Roman"/>
          <w:b/>
          <w:i w:val="false"/>
          <w:color w:val="000000"/>
          <w:sz w:val="22"/>
        </w:rPr>
        <w:t xml:space="preserve">Use of another licensed sedation provider or permit holder.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29.9(1)</w:t>
      </w:r>
      <w:r>
        <w:rPr>
          <w:rFonts w:ascii="Times New Roman" w:hAnsi="Times New Roman"/>
          <w:b w:val="false"/>
          <w:i w:val="false"/>
          <w:color w:val="000000"/>
          <w:sz w:val="22"/>
        </w:rPr>
        <w:t> </w:t>
      </w:r>
      <w:r>
        <w:rPr>
          <w:rFonts w:ascii="Times New Roman" w:hAnsi="Times New Roman"/>
          <w:b w:val="false"/>
          <w:i w:val="false"/>
          <w:color w:val="000000"/>
          <w:sz w:val="22"/>
        </w:rPr>
        <w:t>A dentist may only use the services of a licensed sedation provider or another permit holder to administer moderate sedation, deep sedation, or general anesthesia in a dental facility if the dentist holds a current moderate sedation or general anesthesia permit. A permit holder who does not meet the training requirement in paragraph 29.11(3)</w:t>
      </w:r>
      <w:r>
        <w:rPr>
          <w:rFonts w:ascii="Times New Roman" w:hAnsi="Times New Roman"/>
          <w:b w:val="false"/>
          <w:i/>
          <w:color w:val="000000"/>
          <w:sz w:val="22"/>
        </w:rPr>
        <w:t>“c”</w:t>
      </w:r>
      <w:r>
        <w:rPr>
          <w:rFonts w:ascii="Times New Roman" w:hAnsi="Times New Roman"/>
          <w:b w:val="false"/>
          <w:i w:val="false"/>
          <w:color w:val="000000"/>
          <w:sz w:val="22"/>
        </w:rPr>
        <w:t xml:space="preserve"> to administer moderate sedation to pediatric or ASA III or IV patients may use a licensed sedation provider or another qualified permit holder to administer moderate sedation to pediatric or ASA III or IV patients. A dentist who does not hold a sedation permit is prohibited from using a licensed sedation provider or permit holder to provide moderate sedation, deep sedation or general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29.9(2)</w:t>
      </w:r>
      <w:r>
        <w:rPr>
          <w:rFonts w:ascii="Times New Roman" w:hAnsi="Times New Roman"/>
          <w:b w:val="false"/>
          <w:i w:val="false"/>
          <w:color w:val="000000"/>
          <w:sz w:val="22"/>
        </w:rPr>
        <w:t> </w:t>
      </w:r>
      <w:r>
        <w:rPr>
          <w:rFonts w:ascii="Times New Roman" w:hAnsi="Times New Roman"/>
          <w:b w:val="false"/>
          <w:i w:val="false"/>
          <w:color w:val="000000"/>
          <w:sz w:val="22"/>
        </w:rPr>
        <w:t>The dentist must remain present in the treatment room for the duration of any dental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29.9(3)</w:t>
      </w:r>
      <w:r>
        <w:rPr>
          <w:rFonts w:ascii="Times New Roman" w:hAnsi="Times New Roman"/>
          <w:b w:val="false"/>
          <w:i w:val="false"/>
          <w:color w:val="000000"/>
          <w:sz w:val="22"/>
        </w:rPr>
        <w:t> </w:t>
      </w:r>
      <w:r>
        <w:rPr>
          <w:rFonts w:ascii="Times New Roman" w:hAnsi="Times New Roman"/>
          <w:b w:val="false"/>
          <w:i w:val="false"/>
          <w:color w:val="000000"/>
          <w:sz w:val="22"/>
        </w:rPr>
        <w:t>When a licensed sedation provider or another permit holder is used to administer moderate sedation, deep sedation or general anesthesia, that provider constitutes one patient monitor for the purpose of complying with subrule 29.6(3) or 29.7(2).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29.9(4)</w:t>
      </w:r>
      <w:r>
        <w:rPr>
          <w:rFonts w:ascii="Times New Roman" w:hAnsi="Times New Roman"/>
          <w:b w:val="false"/>
          <w:i w:val="false"/>
          <w:color w:val="000000"/>
          <w:sz w:val="22"/>
        </w:rPr>
        <w:t> </w:t>
      </w:r>
      <w:r>
        <w:rPr>
          <w:rFonts w:ascii="Times New Roman" w:hAnsi="Times New Roman"/>
          <w:b w:val="false"/>
          <w:i w:val="false"/>
          <w:color w:val="000000"/>
          <w:sz w:val="22"/>
        </w:rPr>
        <w:t>A permit holder who has a licensed sedation provider or another permit holder administer moderate sedation, deep sedation or general anesthesia services must maintain a permanently and properly equipped facility pursuant to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29.9(5)</w:t>
      </w:r>
      <w:r>
        <w:rPr>
          <w:rFonts w:ascii="Times New Roman" w:hAnsi="Times New Roman"/>
          <w:b w:val="false"/>
          <w:i w:val="false"/>
          <w:color w:val="000000"/>
          <w:sz w:val="22"/>
        </w:rPr>
        <w:t> </w:t>
      </w:r>
      <w:r>
        <w:rPr>
          <w:rFonts w:ascii="Times New Roman" w:hAnsi="Times New Roman"/>
          <w:b w:val="false"/>
          <w:i w:val="false"/>
          <w:color w:val="000000"/>
          <w:sz w:val="22"/>
        </w:rPr>
        <w:t>A permit holder shall assess the need and the patient suitability for sedation services. A permit holder shall not interfere with any independent assessment performed by a licensed sedation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650—29.10</w:t>
      </w:r>
      <w:r>
        <w:rPr>
          <w:rFonts w:ascii="Times New Roman" w:hAnsi="Times New Roman"/>
          <w:b/>
          <w:i w:val="false"/>
          <w:color w:val="000000"/>
          <w:sz w:val="22"/>
        </w:rPr>
        <w:t xml:space="preserve">(153) </w:t>
      </w:r>
      <w:r>
        <w:rPr>
          <w:rFonts w:ascii="Times New Roman" w:hAnsi="Times New Roman"/>
          <w:b/>
          <w:i w:val="false"/>
          <w:color w:val="000000"/>
          <w:sz w:val="22"/>
        </w:rPr>
        <w:t xml:space="preserve">Reporting of adverse occurrences related to sedation or nitrous oxide.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29.10(1)</w:t>
      </w:r>
      <w:r>
        <w:rPr>
          <w:rFonts w:ascii="Times New Roman" w:hAnsi="Times New Roman"/>
          <w:b w:val="false"/>
          <w:i w:val="false"/>
          <w:color w:val="000000"/>
          <w:sz w:val="22"/>
        </w:rPr>
        <w:t> </w:t>
      </w:r>
      <w:r>
        <w:rPr>
          <w:rFonts w:ascii="Times New Roman" w:hAnsi="Times New Roman"/>
          <w:b w:val="false"/>
          <w:i w:val="false"/>
          <w:color w:val="000000"/>
          <w:sz w:val="22"/>
        </w:rPr>
        <w:t>All licensed dentists must submit a report to the board office within a period of seven days of any mortality related to sedation or nitrous oxide or any other incident related to sedation or nitrous oxide which results in the patient receiving inpatient treatment at a hospital or clinic. The report shall include a complete copy of the patient record and include responses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dental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preoperative physical condition of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 of drugs and dosage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in detail, of techniques utilized in administering the drugs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Description of adverse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Description, in detail, of symptoms of any complications, to include but not be limited to onset, and type of symptoms in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instituted on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Response of the patient to the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the patient’s condition on termination of any procedures undertaken.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29.10(2)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 adverse occurrence, when the occurrence is related to the use of sedation or nitrous oxide, may result in disciplinary action.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650—29.11</w:t>
      </w:r>
      <w:r>
        <w:rPr>
          <w:rFonts w:ascii="Times New Roman" w:hAnsi="Times New Roman"/>
          <w:b/>
          <w:i w:val="false"/>
          <w:color w:val="000000"/>
          <w:sz w:val="22"/>
        </w:rPr>
        <w:t xml:space="preserve">(153) </w:t>
      </w:r>
      <w:r>
        <w:rPr>
          <w:rFonts w:ascii="Times New Roman" w:hAnsi="Times New Roman"/>
          <w:b/>
          <w:i w:val="false"/>
          <w:color w:val="000000"/>
          <w:sz w:val="22"/>
        </w:rPr>
        <w:t xml:space="preserve">Requirements for issuance of a moderate sedation or general anesthesia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29.11(1)</w:t>
      </w:r>
      <w:r>
        <w:rPr>
          <w:rFonts w:ascii="Times New Roman" w:hAnsi="Times New Roman"/>
          <w:b w:val="false"/>
          <w:i w:val="false"/>
          <w:color w:val="000000"/>
          <w:sz w:val="22"/>
        </w:rPr>
        <w:t> </w:t>
      </w:r>
      <w:r>
        <w:rPr>
          <w:rFonts w:ascii="Times New Roman" w:hAnsi="Times New Roman"/>
          <w:b w:val="false"/>
          <w:i w:val="false"/>
          <w:color w:val="000000"/>
          <w:sz w:val="22"/>
        </w:rPr>
        <w:t xml:space="preserve">No dentist shall administer moderate sedation, deep sedation or general anesthesia for dental patients unless the dentist possesses a current permit issued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29.11(2)</w:t>
      </w:r>
      <w:r>
        <w:rPr>
          <w:rFonts w:ascii="Times New Roman" w:hAnsi="Times New Roman"/>
          <w:b w:val="false"/>
          <w:i w:val="false"/>
          <w:color w:val="000000"/>
          <w:sz w:val="22"/>
        </w:rPr>
        <w:t> </w:t>
      </w:r>
      <w:r>
        <w:rPr>
          <w:rFonts w:ascii="Times New Roman" w:hAnsi="Times New Roman"/>
          <w:b w:val="false"/>
          <w:i w:val="false"/>
          <w:color w:val="000000"/>
          <w:sz w:val="22"/>
        </w:rPr>
        <w:t>A dentist who intends to obtain a sedation permit must submit a completed application and pay the fee specified in 650—Chapter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29.11(3)</w:t>
      </w:r>
      <w:r>
        <w:rPr>
          <w:rFonts w:ascii="Times New Roman" w:hAnsi="Times New Roman"/>
          <w:b w:val="false"/>
          <w:i w:val="false"/>
          <w:color w:val="000000"/>
          <w:sz w:val="22"/>
        </w:rPr>
        <w:t> </w:t>
      </w:r>
      <w:r>
        <w:rPr>
          <w:rFonts w:ascii="Times New Roman" w:hAnsi="Times New Roman"/>
          <w:b w:val="false"/>
          <w:i w:val="false"/>
          <w:color w:val="000000"/>
          <w:sz w:val="22"/>
        </w:rPr>
        <w:t>To qualify for a moderate sedation permit, the applicant shall have successfully completed the following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training program, approved by the board, that consists of a minimum of 60 hours of instruction and management of at least 20 patients, or an accredited residency program that includes formal training and clinical experience in moderate sedation.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that includes rescuing patients from a deeper level of sedation than intended, including managing the airway, intravascular or intraosseous access, and reversal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dentist who intends to utilize moderate sedation on pediatric or ASA III or IV patients: an accredited residency program that includes formal training in anesthesia and clinical experience in managing pediatric or ASA III or IV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29.11(4)</w:t>
      </w:r>
      <w:r>
        <w:rPr>
          <w:rFonts w:ascii="Times New Roman" w:hAnsi="Times New Roman"/>
          <w:b w:val="false"/>
          <w:i w:val="false"/>
          <w:color w:val="000000"/>
          <w:sz w:val="22"/>
        </w:rPr>
        <w:t> </w:t>
      </w:r>
      <w:r>
        <w:rPr>
          <w:rFonts w:ascii="Times New Roman" w:hAnsi="Times New Roman"/>
          <w:b w:val="false"/>
          <w:i w:val="false"/>
          <w:color w:val="000000"/>
          <w:sz w:val="22"/>
        </w:rPr>
        <w:t>To qualify for a general anesthesia permit, the applicant shall have successfully completed the following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advanced education program accredited by the Commission on Dental Accreditation that provides training in deep sedation and general anesthesia.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one year of advanced training in anesthesiology and related academic subjects beyond the undergraduate dental school level, in a training program approved by the ACC.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Formal training in airway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Current ACLS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29.11(5)</w:t>
      </w:r>
      <w:r>
        <w:rPr>
          <w:rFonts w:ascii="Times New Roman" w:hAnsi="Times New Roman"/>
          <w:b w:val="false"/>
          <w:i w:val="false"/>
          <w:color w:val="000000"/>
          <w:sz w:val="22"/>
        </w:rPr>
        <w:t> </w:t>
      </w:r>
      <w:r>
        <w:rPr>
          <w:rFonts w:ascii="Times New Roman" w:hAnsi="Times New Roman"/>
          <w:b w:val="false"/>
          <w:i w:val="false"/>
          <w:color w:val="000000"/>
          <w:sz w:val="22"/>
        </w:rPr>
        <w:t>Prior to issuance of a new permit, all facilities where the applicant intends to provide sedation services must have passed inspection by the board or designated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29.11(6)</w:t>
      </w:r>
      <w:r>
        <w:rPr>
          <w:rFonts w:ascii="Times New Roman" w:hAnsi="Times New Roman"/>
          <w:b w:val="false"/>
          <w:i w:val="false"/>
          <w:color w:val="000000"/>
          <w:sz w:val="22"/>
        </w:rPr>
        <w:t> </w:t>
      </w:r>
      <w:r>
        <w:rPr>
          <w:rFonts w:ascii="Times New Roman" w:hAnsi="Times New Roman"/>
          <w:b w:val="false"/>
          <w:i w:val="false"/>
          <w:color w:val="000000"/>
          <w:sz w:val="22"/>
        </w:rPr>
        <w:t>The applicant may be required to complete a peer review evaluation, if requested by the ACC, prior to issuance of a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650—29.12</w:t>
      </w:r>
      <w:r>
        <w:rPr>
          <w:rFonts w:ascii="Times New Roman" w:hAnsi="Times New Roman"/>
          <w:b/>
          <w:i w:val="false"/>
          <w:color w:val="000000"/>
          <w:sz w:val="22"/>
        </w:rPr>
        <w:t xml:space="preserve">(153) </w:t>
      </w:r>
      <w:r>
        <w:rPr>
          <w:rFonts w:ascii="Times New Roman" w:hAnsi="Times New Roman"/>
          <w:b/>
          <w:i w:val="false"/>
          <w:color w:val="000000"/>
          <w:sz w:val="22"/>
        </w:rPr>
        <w:t xml:space="preserve">ACC.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29.12(1)</w:t>
      </w:r>
      <w:r>
        <w:rPr>
          <w:rFonts w:ascii="Times New Roman" w:hAnsi="Times New Roman"/>
          <w:b w:val="false"/>
          <w:i w:val="false"/>
          <w:color w:val="000000"/>
          <w:sz w:val="22"/>
        </w:rPr>
        <w:t> </w:t>
      </w:r>
      <w:r>
        <w:rPr>
          <w:rFonts w:ascii="Times New Roman" w:hAnsi="Times New Roman"/>
          <w:b w:val="false"/>
          <w:i w:val="false"/>
          <w:color w:val="000000"/>
          <w:sz w:val="22"/>
        </w:rPr>
        <w:t>The ACC shall be chaired by a member of the board and shall include at least six additional members who are licensed to practice dentistry in Iowa. At least four members of the ACC shall hold deep sedation/general anesthesia or moderate sedation permits issued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29.12(2)</w:t>
      </w:r>
      <w:r>
        <w:rPr>
          <w:rFonts w:ascii="Times New Roman" w:hAnsi="Times New Roman"/>
          <w:b w:val="false"/>
          <w:i w:val="false"/>
          <w:color w:val="000000"/>
          <w:sz w:val="22"/>
        </w:rPr>
        <w:t> </w:t>
      </w:r>
      <w:r>
        <w:rPr>
          <w:rFonts w:ascii="Times New Roman" w:hAnsi="Times New Roman"/>
          <w:b w:val="false"/>
          <w:i w:val="false"/>
          <w:color w:val="000000"/>
          <w:sz w:val="22"/>
        </w:rPr>
        <w:t>The ACC shall perform the following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all permit applications and take action as authorized.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Perform peer reviews as needed and report the results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duties as delegated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650—29.13</w:t>
      </w:r>
      <w:r>
        <w:rPr>
          <w:rFonts w:ascii="Times New Roman" w:hAnsi="Times New Roman"/>
          <w:b/>
          <w:i w:val="false"/>
          <w:color w:val="000000"/>
          <w:sz w:val="22"/>
        </w:rPr>
        <w:t xml:space="preserve">(153) </w:t>
      </w:r>
      <w:r>
        <w:rPr>
          <w:rFonts w:ascii="Times New Roman" w:hAnsi="Times New Roman"/>
          <w:b/>
          <w:i w:val="false"/>
          <w:color w:val="000000"/>
          <w:sz w:val="22"/>
        </w:rPr>
        <w:t xml:space="preserve">Review of permit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29.13(1)</w:t>
      </w:r>
      <w:r>
        <w:rPr>
          <w:rFonts w:ascii="Times New Roman" w:hAnsi="Times New Roman"/>
          <w:b w:val="false"/>
          <w:i w:val="false"/>
          <w:color w:val="000000"/>
          <w:sz w:val="22"/>
        </w:rPr>
        <w:t> </w:t>
      </w:r>
      <w:r>
        <w:rPr>
          <w:rFonts w:ascii="Times New Roman" w:hAnsi="Times New Roman"/>
          <w:b w:val="false"/>
          <w:i/>
          <w:color w:val="000000"/>
          <w:sz w:val="22"/>
        </w:rPr>
        <w:t xml:space="preserve">Referral to the ACC. </w:t>
      </w:r>
      <w:r>
        <w:rPr>
          <w:rFonts w:ascii="Times New Roman" w:hAnsi="Times New Roman"/>
          <w:b w:val="false"/>
          <w:i w:val="false"/>
          <w:color w:val="000000"/>
          <w:sz w:val="22"/>
        </w:rPr>
        <w:t>All applications will be referred to the ACC for review at its next scheduled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29.13(2)</w:t>
      </w:r>
      <w:r>
        <w:rPr>
          <w:rFonts w:ascii="Times New Roman" w:hAnsi="Times New Roman"/>
          <w:b w:val="false"/>
          <w:i w:val="false"/>
          <w:color w:val="000000"/>
          <w:sz w:val="22"/>
        </w:rPr>
        <w:t> </w:t>
      </w:r>
      <w:r>
        <w:rPr>
          <w:rFonts w:ascii="Times New Roman" w:hAnsi="Times New Roman"/>
          <w:b w:val="false"/>
          <w:i/>
          <w:color w:val="000000"/>
          <w:sz w:val="22"/>
        </w:rPr>
        <w:t xml:space="preserve">Review by the ACC. </w:t>
      </w:r>
      <w:r>
        <w:rPr>
          <w:rFonts w:ascii="Times New Roman" w:hAnsi="Times New Roman"/>
          <w:b w:val="false"/>
          <w:i w:val="false"/>
          <w:color w:val="000000"/>
          <w:sz w:val="22"/>
        </w:rPr>
        <w:t>Following review and consideration of an application, the ACC may take any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Approve issuance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Approve issuance of the permit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Recommend denial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 the permit application to the board for review and consideration with or without recommendation;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Request a peer review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29.13(3)</w:t>
      </w:r>
      <w:r>
        <w:rPr>
          <w:rFonts w:ascii="Times New Roman" w:hAnsi="Times New Roman"/>
          <w:b w:val="false"/>
          <w:i w:val="false"/>
          <w:color w:val="000000"/>
          <w:sz w:val="22"/>
        </w:rPr>
        <w:t> </w:t>
      </w:r>
      <w:r>
        <w:rPr>
          <w:rFonts w:ascii="Times New Roman" w:hAnsi="Times New Roman"/>
          <w:b w:val="false"/>
          <w:i/>
          <w:color w:val="000000"/>
          <w:sz w:val="22"/>
        </w:rPr>
        <w:t xml:space="preserve">Review by board. </w:t>
      </w:r>
      <w:r>
        <w:rPr>
          <w:rFonts w:ascii="Times New Roman" w:hAnsi="Times New Roman"/>
          <w:b w:val="false"/>
          <w:i w:val="false"/>
          <w:color w:val="000000"/>
          <w:sz w:val="22"/>
        </w:rPr>
        <w:t>The board shall consider applications and recommendations referred by the ACC. The board may take any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Grant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Grant the permit under certain terms and conditions or with certain restrictions;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Deny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29.13(4)</w:t>
      </w:r>
      <w:r>
        <w:rPr>
          <w:rFonts w:ascii="Times New Roman" w:hAnsi="Times New Roman"/>
          <w:b w:val="false"/>
          <w:i w:val="false"/>
          <w:color w:val="000000"/>
          <w:sz w:val="22"/>
        </w:rPr>
        <w:t> </w:t>
      </w:r>
      <w:r>
        <w:rPr>
          <w:rFonts w:ascii="Times New Roman" w:hAnsi="Times New Roman"/>
          <w:b w:val="false"/>
          <w:i/>
          <w:color w:val="000000"/>
          <w:sz w:val="22"/>
        </w:rPr>
        <w:t xml:space="preserve">Appeal process for denials. </w:t>
      </w:r>
      <w:r>
        <w:rPr>
          <w:rFonts w:ascii="Times New Roman" w:hAnsi="Times New Roman"/>
          <w:b w:val="false"/>
          <w:i w:val="false"/>
          <w:color w:val="000000"/>
          <w:sz w:val="22"/>
        </w:rPr>
        <w:t>If a permit application is denied, an applicant may file an appeal of the final decision using the process described in rule 650—11.10(147).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650—29.14</w:t>
      </w:r>
      <w:r>
        <w:rPr>
          <w:rFonts w:ascii="Times New Roman" w:hAnsi="Times New Roman"/>
          <w:b/>
          <w:i w:val="false"/>
          <w:color w:val="000000"/>
          <w:sz w:val="22"/>
        </w:rPr>
        <w:t xml:space="preserve">(153) </w:t>
      </w:r>
      <w:r>
        <w:rPr>
          <w:rFonts w:ascii="Times New Roman" w:hAnsi="Times New Roman"/>
          <w:b/>
          <w:i w:val="false"/>
          <w:color w:val="000000"/>
          <w:sz w:val="22"/>
        </w:rPr>
        <w:t xml:space="preserve">Renewal. </w:t>
      </w:r>
      <w:r>
        <w:rPr>
          <w:rFonts w:ascii="Times New Roman" w:hAnsi="Times New Roman"/>
          <w:b w:val="false"/>
          <w:i w:val="false"/>
          <w:color w:val="000000"/>
          <w:sz w:val="22"/>
        </w:rPr>
        <w:t>A permit to administer deep sedation/general anesthesia or moderate sedation shall be renewed biennially at the time of license renewal. Permits expire August 31 of every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29.14(1)</w:t>
      </w:r>
      <w:r>
        <w:rPr>
          <w:rFonts w:ascii="Times New Roman" w:hAnsi="Times New Roman"/>
          <w:b w:val="false"/>
          <w:i w:val="false"/>
          <w:color w:val="000000"/>
          <w:sz w:val="22"/>
        </w:rPr>
        <w:t> </w:t>
      </w:r>
      <w:r>
        <w:rPr>
          <w:rFonts w:ascii="Times New Roman" w:hAnsi="Times New Roman"/>
          <w:b w:val="false"/>
          <w:i w:val="false"/>
          <w:color w:val="000000"/>
          <w:sz w:val="22"/>
        </w:rPr>
        <w:t>To renew a permit, a licensee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renewal of current ACLS certification or of current PALS certification if the permit holder provides sedation services for pediatric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six hours of continuing education in the area of sedation. These hours may also be submitted as part of license renewal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appropriate fee for renewal as specified in 650—Chapter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29.14(2)</w:t>
      </w:r>
      <w:r>
        <w:rPr>
          <w:rFonts w:ascii="Times New Roman" w:hAnsi="Times New Roman"/>
          <w:b w:val="false"/>
          <w:i w:val="false"/>
          <w:color w:val="000000"/>
          <w:sz w:val="22"/>
        </w:rPr>
        <w:t> </w:t>
      </w:r>
      <w:r>
        <w:rPr>
          <w:rFonts w:ascii="Times New Roman" w:hAnsi="Times New Roman"/>
          <w:b w:val="false"/>
          <w:i w:val="false"/>
          <w:color w:val="000000"/>
          <w:sz w:val="22"/>
        </w:rPr>
        <w:t>Failure to renew the permit prior to November 1 following its expiration shall cause the permit to lapse and become invalid for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29.14(3)</w:t>
      </w:r>
      <w:r>
        <w:rPr>
          <w:rFonts w:ascii="Times New Roman" w:hAnsi="Times New Roman"/>
          <w:b w:val="false"/>
          <w:i w:val="false"/>
          <w:color w:val="000000"/>
          <w:sz w:val="22"/>
        </w:rPr>
        <w:t> </w:t>
      </w:r>
      <w:r>
        <w:rPr>
          <w:rFonts w:ascii="Times New Roman" w:hAnsi="Times New Roman"/>
          <w:b w:val="false"/>
          <w:i w:val="false"/>
          <w:color w:val="000000"/>
          <w:sz w:val="22"/>
        </w:rPr>
        <w:t>A permit that has been lapsed may be reinstated upon submission of a new application for a permit in compliance with the provisions of this chapter and payment of the application fee as specified in 650—Chapter 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650—29.15</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Grounds for nonrenewal. </w:t>
      </w:r>
      <w:r>
        <w:rPr>
          <w:rFonts w:ascii="Times New Roman" w:hAnsi="Times New Roman"/>
          <w:b w:val="false"/>
          <w:i w:val="false"/>
          <w:color w:val="000000"/>
          <w:sz w:val="22"/>
        </w:rPr>
        <w:t>A request to renew a permit may be denied 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29.15(1)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proper notice and hearing, for a violation of these rules or Iowa Code chapter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during the term of the last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29.15(2)</w:t>
      </w:r>
      <w:r>
        <w:rPr>
          <w:rFonts w:ascii="Times New Roman" w:hAnsi="Times New Roman"/>
          <w:b w:val="false"/>
          <w:i w:val="false"/>
          <w:color w:val="000000"/>
          <w:sz w:val="22"/>
        </w:rPr>
        <w:t> </w:t>
      </w:r>
      <w:r>
        <w:rPr>
          <w:rFonts w:ascii="Times New Roman" w:hAnsi="Times New Roman"/>
          <w:b w:val="false"/>
          <w:i w:val="false"/>
          <w:color w:val="000000"/>
          <w:sz w:val="22"/>
        </w:rPr>
        <w:t>Failure to pay required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29.15(3)</w:t>
      </w:r>
      <w:r>
        <w:rPr>
          <w:rFonts w:ascii="Times New Roman" w:hAnsi="Times New Roman"/>
          <w:b w:val="false"/>
          <w:i w:val="false"/>
          <w:color w:val="000000"/>
          <w:sz w:val="22"/>
        </w:rPr>
        <w:t> </w:t>
      </w:r>
      <w:r>
        <w:rPr>
          <w:rFonts w:ascii="Times New Roman" w:hAnsi="Times New Roman"/>
          <w:b w:val="false"/>
          <w:i w:val="false"/>
          <w:color w:val="000000"/>
          <w:sz w:val="22"/>
        </w:rPr>
        <w:t>Failure to obtain required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29.15(4)</w:t>
      </w:r>
      <w:r>
        <w:rPr>
          <w:rFonts w:ascii="Times New Roman" w:hAnsi="Times New Roman"/>
          <w:b w:val="false"/>
          <w:i w:val="false"/>
          <w:color w:val="000000"/>
          <w:sz w:val="22"/>
        </w:rPr>
        <w:t> </w:t>
      </w:r>
      <w:r>
        <w:rPr>
          <w:rFonts w:ascii="Times New Roman" w:hAnsi="Times New Roman"/>
          <w:b w:val="false"/>
          <w:i w:val="false"/>
          <w:color w:val="000000"/>
          <w:sz w:val="22"/>
        </w:rPr>
        <w:t>Failure to provide documentation of current ACLS or PALS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29.15(5)</w:t>
      </w:r>
      <w:r>
        <w:rPr>
          <w:rFonts w:ascii="Times New Roman" w:hAnsi="Times New Roman"/>
          <w:b w:val="false"/>
          <w:i w:val="false"/>
          <w:color w:val="000000"/>
          <w:sz w:val="22"/>
        </w:rPr>
        <w:t> </w:t>
      </w:r>
      <w:r>
        <w:rPr>
          <w:rFonts w:ascii="Times New Roman" w:hAnsi="Times New Roman"/>
          <w:b w:val="false"/>
          <w:i w:val="false"/>
          <w:color w:val="000000"/>
          <w:sz w:val="22"/>
        </w:rPr>
        <w:t>Failure to provide documentation of maintaining a properly equipped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29.15(6)</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a certificate of noncompliance from the child support recovery unit of the department of human services in accordance with </w:t>
      </w:r>
      <w:hyperlink r:id="rId9">
        <w:r>
          <w:rPr>
            <w:rStyle w:val="Hyperlink"/>
            <w:rFonts w:ascii="Times New Roman" w:hAnsi="Times New Roman"/>
            <w:b w:val="false"/>
            <w:i w:val="false"/>
            <w:color w:val="000000"/>
            <w:sz w:val="22"/>
          </w:rPr>
          <w:t>650—Chapter 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 xml:space="preserve">; </w:t>
      </w:r>
      <w:r>
        <w:rPr>
          <w:rFonts w:ascii="Times New Roman" w:hAnsi="Times New Roman"/>
          <w:b/>
          <w:i w:val="false"/>
          <w:color w:val="000000"/>
          <w:sz w:val="16"/>
        </w:rPr>
        <w:t>ARC 4747C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650—29.16</w:t>
      </w:r>
      <w:r>
        <w:rPr>
          <w:rFonts w:ascii="Times New Roman" w:hAnsi="Times New Roman"/>
          <w:b/>
          <w:i w:val="false"/>
          <w:color w:val="000000"/>
          <w:sz w:val="22"/>
        </w:rPr>
        <w:t xml:space="preserve">(153) </w:t>
      </w:r>
      <w:r>
        <w:rPr>
          <w:rFonts w:ascii="Times New Roman" w:hAnsi="Times New Roman"/>
          <w:b/>
          <w:i w:val="false"/>
          <w:color w:val="000000"/>
          <w:sz w:val="22"/>
        </w:rPr>
        <w:t xml:space="preserve">Noncompliance. </w:t>
      </w:r>
      <w:r>
        <w:rPr>
          <w:rFonts w:ascii="Times New Roman" w:hAnsi="Times New Roman"/>
          <w:b w:val="false"/>
          <w:i w:val="false"/>
          <w:color w:val="000000"/>
          <w:sz w:val="22"/>
        </w:rPr>
        <w:t>Violations of the provisions of this chapter may result in revocation or suspension of the dentist’s permit or other disciplinary measures as deemed appropriate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153.13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153.33B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5/16/86, Notice 3/26/86—published 6/4/86, effective 7/9/86]</w:t>
      </w:r>
    </w:p>
    <w:p>
      <w:pPr>
        <w:spacing w:before="0" w:after="0"/>
        <w:ind w:left="120"/>
        <w:jc w:val="center"/>
      </w:pPr>
      <w:r>
        <w:rPr>
          <w:rFonts w:ascii="Times New Roman" w:hAnsi="Times New Roman"/>
          <w:b w:val="false"/>
          <w:i w:val="false"/>
          <w:color w:val="000000"/>
          <w:sz w:val="21"/>
        </w:rPr>
        <w:t>[Filed 1/23/87, Notice 12/17/86—published 2/11/87, effective 3/18/87]</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3/17/89, Notice 1/25/89—published 4/5/89, effective 5/10/89]</w:t>
      </w:r>
    </w:p>
    <w:p>
      <w:pPr>
        <w:spacing w:before="0" w:after="0"/>
        <w:ind w:left="120"/>
        <w:jc w:val="center"/>
      </w:pPr>
      <w:r>
        <w:rPr>
          <w:rFonts w:ascii="Times New Roman" w:hAnsi="Times New Roman"/>
          <w:b w:val="false"/>
          <w:i w:val="false"/>
          <w:color w:val="000000"/>
          <w:sz w:val="21"/>
        </w:rPr>
        <w:t>[Filed 1/29/92, Notice 11/13/91—published 2/19/92, effective 3/25/92]</w:t>
      </w:r>
    </w:p>
    <w:p>
      <w:pPr>
        <w:spacing w:before="0" w:after="0"/>
        <w:ind w:left="120"/>
        <w:jc w:val="center"/>
      </w:pPr>
      <w:r>
        <w:rPr>
          <w:rFonts w:ascii="Times New Roman" w:hAnsi="Times New Roman"/>
          <w:b w:val="false"/>
          <w:i w:val="false"/>
          <w:color w:val="000000"/>
          <w:sz w:val="21"/>
        </w:rPr>
        <w:t>[Filed 10/17/97, Notice 8/13/97—published 11/5/97, effective 12/10/97]</w:t>
      </w:r>
    </w:p>
    <w:p>
      <w:pPr>
        <w:spacing w:before="0" w:after="0"/>
        <w:ind w:left="120"/>
        <w:jc w:val="center"/>
      </w:pPr>
      <w:r>
        <w:rPr>
          <w:rFonts w:ascii="Times New Roman" w:hAnsi="Times New Roman"/>
          <w:b w:val="false"/>
          <w:i w:val="false"/>
          <w:color w:val="000000"/>
          <w:sz w:val="21"/>
        </w:rPr>
        <w:t>[Filed 5/1/98, Notice 2/11/98—published 5/20/98, effective 6/24/98</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7/24/98—published 8/12/98, effective 7/24/98]</w:t>
      </w:r>
    </w:p>
    <w:p>
      <w:pPr>
        <w:spacing w:before="0" w:after="0"/>
        <w:ind w:left="120"/>
        <w:jc w:val="center"/>
      </w:pPr>
      <w:r>
        <w:rPr>
          <w:rFonts w:ascii="Times New Roman" w:hAnsi="Times New Roman"/>
          <w:b w:val="false"/>
          <w:i w:val="false"/>
          <w:color w:val="000000"/>
          <w:sz w:val="21"/>
        </w:rPr>
        <w:t>[Filed 7/23/99, Notice 5/19/99—published 8/11/99, effective 9/15/99</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1/21/00, Notice 12/15/99—published 2/9/00, effective 3/15/00]</w:t>
      </w:r>
    </w:p>
    <w:p>
      <w:pPr>
        <w:spacing w:before="0" w:after="0"/>
        <w:ind w:left="120"/>
        <w:jc w:val="center"/>
      </w:pPr>
      <w:r>
        <w:rPr>
          <w:rFonts w:ascii="Times New Roman" w:hAnsi="Times New Roman"/>
          <w:b w:val="false"/>
          <w:i w:val="false"/>
          <w:color w:val="000000"/>
          <w:sz w:val="21"/>
        </w:rPr>
        <w:t>[Filed 1/19/01, Notice 11/15/00—published 2/7/01, effective 3/14/01]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3/30/01, Notice 2/7/01—published 4/18/01, effective 5/23/01]</w:t>
      </w:r>
    </w:p>
    <w:p>
      <w:pPr>
        <w:spacing w:before="0" w:after="0"/>
        <w:ind w:left="120"/>
        <w:jc w:val="center"/>
      </w:pPr>
      <w:r>
        <w:rPr>
          <w:rFonts w:ascii="Times New Roman" w:hAnsi="Times New Roman"/>
          <w:b w:val="false"/>
          <w:i w:val="false"/>
          <w:color w:val="000000"/>
          <w:sz w:val="21"/>
        </w:rPr>
        <w:t>[Filed 1/16/04, Notice 9/17/03—published 2/4/04, effective 3/10/04]</w:t>
      </w:r>
    </w:p>
    <w:p>
      <w:pPr>
        <w:spacing w:before="0" w:after="0"/>
        <w:ind w:left="120"/>
        <w:jc w:val="center"/>
      </w:pPr>
      <w:r>
        <w:rPr>
          <w:rFonts w:ascii="Times New Roman" w:hAnsi="Times New Roman"/>
          <w:b w:val="false"/>
          <w:i w:val="false"/>
          <w:color w:val="000000"/>
          <w:sz w:val="21"/>
        </w:rPr>
        <w:t>[Filed 1/27/06, Notice 9/28/05—published 2/15/06, effective 3/22/06]</w:t>
      </w:r>
    </w:p>
    <w:p>
      <w:pPr>
        <w:spacing w:before="0" w:after="0"/>
        <w:ind w:left="120"/>
        <w:jc w:val="center"/>
      </w:pPr>
      <w:r>
        <w:rPr>
          <w:rFonts w:ascii="Times New Roman" w:hAnsi="Times New Roman"/>
          <w:b w:val="false"/>
          <w:i w:val="false"/>
          <w:color w:val="000000"/>
          <w:sz w:val="21"/>
        </w:rPr>
        <w:t>[Filed 2/5/07, Notice 9/27/06—published 2/28/07, effective 4/4/07]</w:t>
      </w:r>
    </w:p>
    <w:p>
      <w:pPr>
        <w:spacing w:before="0" w:after="0"/>
        <w:ind w:left="120"/>
        <w:jc w:val="center"/>
      </w:pPr>
      <w:r>
        <w:rPr>
          <w:rFonts w:ascii="Times New Roman" w:hAnsi="Times New Roman"/>
          <w:b w:val="false"/>
          <w:i w:val="false"/>
          <w:color w:val="000000"/>
          <w:sz w:val="21"/>
        </w:rPr>
        <w:t>[Filed 2/5/07, Notice 11/22/06—published 2/28/07, effective 4/4/07]</w:t>
      </w:r>
    </w:p>
    <w:p>
      <w:pPr>
        <w:spacing w:before="0" w:after="0"/>
        <w:ind w:left="120"/>
        <w:jc w:val="center"/>
      </w:pPr>
      <w:r>
        <w:rPr>
          <w:rFonts w:ascii="Times New Roman" w:hAnsi="Times New Roman"/>
          <w:b w:val="false"/>
          <w:i w:val="false"/>
          <w:color w:val="000000"/>
          <w:sz w:val="21"/>
        </w:rPr>
        <w:t>[Filed ARC 8369B</w:t>
      </w:r>
      <w:r>
        <w:rPr>
          <w:rFonts w:ascii="Times New Roman" w:hAnsi="Times New Roman"/>
          <w:b w:val="false"/>
          <w:i w:val="false"/>
          <w:color w:val="000000"/>
          <w:sz w:val="21"/>
        </w:rPr>
        <w:t xml:space="preserve"> (Notice ARC 8044B, IAB 8/12/09)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8614B</w:t>
      </w:r>
      <w:r>
        <w:rPr>
          <w:rFonts w:ascii="Times New Roman" w:hAnsi="Times New Roman"/>
          <w:b w:val="false"/>
          <w:i w:val="false"/>
          <w:color w:val="000000"/>
          <w:sz w:val="21"/>
        </w:rPr>
        <w:t xml:space="preserve"> (Notice ARC 8370B, IAB 12/16/09)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0265C</w:t>
      </w:r>
      <w:r>
        <w:rPr>
          <w:rFonts w:ascii="Times New Roman" w:hAnsi="Times New Roman"/>
          <w:b w:val="false"/>
          <w:i w:val="false"/>
          <w:color w:val="000000"/>
          <w:sz w:val="21"/>
        </w:rPr>
        <w:t xml:space="preserve"> (Notice ARC 0128C, IAB 5/16/12)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Emergency After Notice ARC 1194C</w:t>
      </w:r>
      <w:r>
        <w:rPr>
          <w:rFonts w:ascii="Times New Roman" w:hAnsi="Times New Roman"/>
          <w:b w:val="false"/>
          <w:i w:val="false"/>
          <w:color w:val="000000"/>
          <w:sz w:val="21"/>
        </w:rPr>
        <w:t xml:space="preserve"> (Notice ARC 1008C, IAB 9/4/13)</w:t>
      </w:r>
      <w:r>
        <w:rPr>
          <w:rFonts w:ascii="Times New Roman" w:hAnsi="Times New Roman"/>
          <w:b w:val="false"/>
          <w:i w:val="false"/>
          <w:color w:val="000000"/>
          <w:sz w:val="21"/>
        </w:rPr>
        <w:t>, IAB 11/27/13, effective 11/4/13]</w:t>
      </w:r>
    </w:p>
    <w:p>
      <w:pPr>
        <w:spacing w:before="0" w:after="0"/>
        <w:ind w:left="120"/>
        <w:jc w:val="center"/>
      </w:pPr>
      <w:r>
        <w:rPr>
          <w:rFonts w:ascii="Times New Roman" w:hAnsi="Times New Roman"/>
          <w:b w:val="false"/>
          <w:i w:val="false"/>
          <w:color w:val="000000"/>
          <w:sz w:val="21"/>
        </w:rPr>
        <w:t>[Filed ARC 1810C</w:t>
      </w:r>
      <w:r>
        <w:rPr>
          <w:rFonts w:ascii="Times New Roman" w:hAnsi="Times New Roman"/>
          <w:b w:val="false"/>
          <w:i w:val="false"/>
          <w:color w:val="000000"/>
          <w:sz w:val="21"/>
        </w:rPr>
        <w:t xml:space="preserve"> (Notice ARC 1658C, IAB 10/1/14)</w:t>
      </w:r>
      <w:r>
        <w:rPr>
          <w:rFonts w:ascii="Times New Roman" w:hAnsi="Times New Roman"/>
          <w:b w:val="false"/>
          <w:i w:val="false"/>
          <w:color w:val="000000"/>
          <w:sz w:val="21"/>
        </w:rPr>
        <w:t>, IAB 1/7/15, effective 2/11/15]</w:t>
      </w:r>
    </w:p>
    <w:p>
      <w:pPr>
        <w:spacing w:before="0" w:after="0"/>
        <w:ind w:left="120"/>
        <w:jc w:val="center"/>
      </w:pPr>
      <w:r>
        <w:rPr>
          <w:rFonts w:ascii="Times New Roman" w:hAnsi="Times New Roman"/>
          <w:b w:val="false"/>
          <w:i w:val="false"/>
          <w:color w:val="000000"/>
          <w:sz w:val="21"/>
        </w:rPr>
        <w:t>[Filed ARC 3491C</w:t>
      </w:r>
      <w:r>
        <w:rPr>
          <w:rFonts w:ascii="Times New Roman" w:hAnsi="Times New Roman"/>
          <w:b w:val="false"/>
          <w:i w:val="false"/>
          <w:color w:val="000000"/>
          <w:sz w:val="21"/>
        </w:rPr>
        <w:t xml:space="preserve"> (Notice ARC 3261C, IAB 8/16/17)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4556C</w:t>
      </w:r>
      <w:r>
        <w:rPr>
          <w:rFonts w:ascii="Times New Roman" w:hAnsi="Times New Roman"/>
          <w:b w:val="false"/>
          <w:i w:val="false"/>
          <w:color w:val="000000"/>
          <w:sz w:val="21"/>
        </w:rPr>
        <w:t xml:space="preserve"> (Notice ARC 4358C, IAB 3/27/19)</w:t>
      </w:r>
      <w:r>
        <w:rPr>
          <w:rFonts w:ascii="Times New Roman" w:hAnsi="Times New Roman"/>
          <w:b w:val="false"/>
          <w:i w:val="false"/>
          <w:color w:val="000000"/>
          <w:sz w:val="21"/>
        </w:rPr>
        <w:t>, IAB 7/17/19, effective 8/21/19]</w:t>
      </w:r>
    </w:p>
    <w:p>
      <w:pPr>
        <w:spacing w:before="0" w:after="0"/>
        <w:ind w:left="120"/>
        <w:jc w:val="center"/>
      </w:pPr>
      <w:r>
        <w:rPr>
          <w:rFonts w:ascii="Times New Roman" w:hAnsi="Times New Roman"/>
          <w:b w:val="false"/>
          <w:i w:val="false"/>
          <w:color w:val="000000"/>
          <w:sz w:val="21"/>
        </w:rPr>
        <w:t>[Filed ARC 4747C</w:t>
      </w:r>
      <w:r>
        <w:rPr>
          <w:rFonts w:ascii="Times New Roman" w:hAnsi="Times New Roman"/>
          <w:b w:val="false"/>
          <w:i w:val="false"/>
          <w:color w:val="000000"/>
          <w:sz w:val="21"/>
        </w:rPr>
        <w:t xml:space="preserve"> (Notice ARC 4526C, IAB 7/3/19)</w:t>
      </w:r>
      <w:r>
        <w:rPr>
          <w:rFonts w:ascii="Times New Roman" w:hAnsi="Times New Roman"/>
          <w:b w:val="false"/>
          <w:i w:val="false"/>
          <w:color w:val="000000"/>
          <w:sz w:val="21"/>
        </w:rPr>
        <w:t>, IAB 11/6/19, effective 12/11/19]</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29.6(4) to 29.6(6) delayed 70 days by the Administrative Rules Review Committee at its meeting held June 9, 1998.</w:t>
      </w:r>
    </w:p>
    <w:p>
      <w:pPr>
        <w:pBdr>
          <w:bottom w:space="2"/>
        </w:pBdr>
        <w:spacing w:before="0" w:after="0"/>
        <w:ind w:left="120"/>
        <w:jc w:val="both"/>
      </w:pPr>
      <w:r>
        <w:rPr>
          <w:rFonts w:ascii="Times New Roman" w:hAnsi="Times New Roman"/>
          <w:b w:val="false"/>
          <w:i w:val="false"/>
          <w:color w:val="000000"/>
          <w:sz w:val="22"/>
        </w:rPr>
        <w:t>Effective date of 29.6(4) to 29.6(6) delayed until the end of the 2000 Session of the General Assembly by the Administrative Rules Review Committee at its meeting held September 15, 1999. Subrules 29.6(4) and 29.6(5) were rescinded IAB 2/9/00, effective 3/15/00; delay on subrule 29.6(6) lifted by the Administrative Rules Review Committee at its meeting held January 4, 2000, effective January 5, 2000.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14.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53.pdf" Type="http://schemas.openxmlformats.org/officeDocument/2006/relationships/hyperlink" Id="rId7"/>
    <Relationship TargetMode="External" Target="https://www.legis.iowa.gov/docs/ico/chapter/272C.pdf" Type="http://schemas.openxmlformats.org/officeDocument/2006/relationships/hyperlink" Id="rId8"/>
    <Relationship TargetMode="External" Target="https://www.legis.iowa.gov/docs/iac/chapter/650.33.pdf" Type="http://schemas.openxmlformats.org/officeDocument/2006/relationships/hyperlink" Id="rId9"/>
    <Relationship TargetMode="External" Target="https://www.legis.iowa.gov/docs/ico/chapter/153.13.pdf" Type="http://schemas.openxmlformats.org/officeDocument/2006/relationships/hyperlink" Id="rId10"/>
    <Relationship TargetMode="External" Target="https://www.legis.iowa.gov/docs/ico/chapter/153.33.pdf" Type="http://schemas.openxmlformats.org/officeDocument/2006/relationships/hyperlink" Id="rId11"/>
    <Relationship TargetMode="External" Target="https://www.legis.iowa.gov/docs/ico/chapter/153.33B.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