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w:t>
      </w:r>
    </w:p>
    <w:p>
      <w:pPr>
        <w:spacing w:before="0" w:after="0"/>
        <w:ind w:left="120"/>
        <w:jc w:val="center"/>
      </w:pPr>
      <w:r>
        <w:rPr>
          <w:rFonts w:ascii="Times New Roman" w:hAnsi="Times New Roman"/>
          <w:b w:val="false"/>
          <w:i w:val="false"/>
          <w:color w:val="000000"/>
          <w:sz w:val="21"/>
        </w:rPr>
        <w:t>ADVERTISING</w:t>
      </w:r>
    </w:p>
    <w:p>
      <w:pPr>
        <w:spacing w:before="0" w:after="0"/>
        <w:ind w:left="120"/>
        <w:jc w:val="center"/>
      </w:pPr>
      <w:r>
        <w:rPr>
          <w:rFonts w:ascii="Times New Roman" w:hAnsi="Times New Roman"/>
          <w:b w:val="false"/>
          <w:i w:val="false"/>
          <w:color w:val="000000"/>
          <w:sz w:val="14"/>
        </w:rPr>
        <w:t>[Prior to 5/18/88, Dental Examiners, Board of [320]]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650—26.1</w:t>
      </w:r>
      <w:r>
        <w:rPr>
          <w:rFonts w:ascii="Times New Roman" w:hAnsi="Times New Roman"/>
          <w:b/>
          <w:i w:val="false"/>
          <w:color w:val="000000"/>
          <w:sz w:val="22"/>
        </w:rPr>
        <w:t xml:space="preserve">(153) </w:t>
      </w:r>
      <w:r>
        <w:rPr>
          <w:rFonts w:ascii="Times New Roman" w:hAnsi="Times New Roman"/>
          <w:b/>
          <w:i w:val="false"/>
          <w:color w:val="000000"/>
          <w:sz w:val="22"/>
        </w:rPr>
        <w:t xml:space="preserve">General. </w:t>
      </w:r>
      <w:r>
        <w:rPr>
          <w:rFonts w:ascii="Times New Roman" w:hAnsi="Times New Roman"/>
          <w:b w:val="false"/>
          <w:i w:val="false"/>
          <w:color w:val="000000"/>
          <w:sz w:val="22"/>
        </w:rPr>
        <w:t>Communications by inclusion or omission to the public must be accurate. They must not convey false, untrue, deceptive, or misleading information through statements, testimonials, photographs, graphics or other means. Communications must not appeal to an individual’s anxiety in an excessive or unfair way; and they must not create unjustified expectations of results. If communications refer to benefits or other attributes of dental procedures or products that involve significant risks, realistic assessments of the safety and efficacy of those procedures or products must also be included, as well as the availability of alternatives and, where necessary to avoid deception, descriptions or assessments of the benefits or other attributes of those alternatives. Communications must not misrepresent a dentist’s credentials, training, experience or ability, and must not contain material claims of superiority that cannot be substantiated.</w:t>
      </w:r>
    </w:p>
    <w:p>
      <w:pPr>
        <w:spacing w:before="0" w:after="0"/>
        <w:ind w:left="120"/>
        <w:jc w:val="both"/>
      </w:pPr>
      <w:r>
        <w:rPr>
          <w:rFonts w:ascii="Times New Roman" w:hAnsi="Times New Roman"/>
          <w:b w:val="false"/>
          <w:i w:val="false"/>
          <w:color w:val="000000"/>
          <w:sz w:val="22"/>
        </w:rPr>
        <w:t>There are several areas that the board believes to be susceptible to deceptive or misleading statements. While the board does not intend to discourage dentists from engaging in any form of truthful, nondeceptive advertising, dentists engaging in the type of advertising listed below shall take special care to ensure that their ads are consistent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w:t>
      </w:r>
      <w:r>
        <w:rPr>
          <w:rFonts w:ascii="Times New Roman" w:hAnsi="Times New Roman"/>
          <w:b w:val="false"/>
          <w:i w:val="false"/>
          <w:color w:val="000000"/>
          <w:sz w:val="22"/>
        </w:rPr>
        <w:t> </w:t>
      </w:r>
      <w:r>
        <w:rPr>
          <w:rFonts w:ascii="Times New Roman" w:hAnsi="Times New Roman"/>
          <w:b w:val="false"/>
          <w:i w:val="false"/>
          <w:color w:val="000000"/>
          <w:sz w:val="22"/>
        </w:rPr>
        <w:t>Claims that the service performed or the materials used are professionally superior to that which is ordinarily performed or used or that convey the message that one licensee is better than another when superiority of service or materials cannot be substantiated.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26.1(2)</w:t>
      </w:r>
      <w:r>
        <w:rPr>
          <w:rFonts w:ascii="Times New Roman" w:hAnsi="Times New Roman"/>
          <w:b w:val="false"/>
          <w:i w:val="false"/>
          <w:color w:val="000000"/>
          <w:sz w:val="22"/>
        </w:rPr>
        <w:t> </w:t>
      </w:r>
      <w:r>
        <w:rPr>
          <w:rFonts w:ascii="Times New Roman" w:hAnsi="Times New Roman"/>
          <w:b w:val="false"/>
          <w:i w:val="false"/>
          <w:color w:val="000000"/>
          <w:sz w:val="22"/>
        </w:rPr>
        <w:t>The use of an unearned or nonhealth degree in general announcements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w:t>
      </w:r>
      <w:r>
        <w:rPr>
          <w:rFonts w:ascii="Times New Roman" w:hAnsi="Times New Roman"/>
          <w:b w:val="false"/>
          <w:i w:val="false"/>
          <w:color w:val="000000"/>
          <w:sz w:val="22"/>
        </w:rPr>
        <w:t> </w:t>
      </w:r>
      <w:r>
        <w:rPr>
          <w:rFonts w:ascii="Times New Roman" w:hAnsi="Times New Roman"/>
          <w:b w:val="false"/>
          <w:i w:val="false"/>
          <w:color w:val="000000"/>
          <w:sz w:val="22"/>
        </w:rPr>
        <w:t>The use of attainment of an honorary fellowship in an advertisement. An honorary fellowship does not include an award based on merit, study or research. However, the attainment of the fellowship status may be indicated in scientific papers, curriculum vitae, third party payment forms, and letterhead and stationery which is not used for the direct solicitation of 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26.1(4)</w:t>
      </w:r>
      <w:r>
        <w:rPr>
          <w:rFonts w:ascii="Times New Roman" w:hAnsi="Times New Roman"/>
          <w:b w:val="false"/>
          <w:i w:val="false"/>
          <w:color w:val="000000"/>
          <w:sz w:val="22"/>
        </w:rPr>
        <w:t> </w:t>
      </w:r>
      <w:r>
        <w:rPr>
          <w:rFonts w:ascii="Times New Roman" w:hAnsi="Times New Roman"/>
          <w:b w:val="false"/>
          <w:i w:val="false"/>
          <w:color w:val="000000"/>
          <w:sz w:val="22"/>
        </w:rPr>
        <w:t>Promotion of a professional service which the dentist knows or should know is beyond the dentist’s ability to perform.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26.1(5)</w:t>
      </w:r>
      <w:r>
        <w:rPr>
          <w:rFonts w:ascii="Times New Roman" w:hAnsi="Times New Roman"/>
          <w:b w:val="false"/>
          <w:i w:val="false"/>
          <w:color w:val="000000"/>
          <w:sz w:val="22"/>
        </w:rPr>
        <w:t> </w:t>
      </w:r>
      <w:r>
        <w:rPr>
          <w:rFonts w:ascii="Times New Roman" w:hAnsi="Times New Roman"/>
          <w:b w:val="false"/>
          <w:i w:val="false"/>
          <w:color w:val="000000"/>
          <w:sz w:val="22"/>
        </w:rPr>
        <w:t>Techniques of communication which intimidate, exert undue pressure or undue influence over a prospective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26.1(6)</w:t>
      </w:r>
      <w:r>
        <w:rPr>
          <w:rFonts w:ascii="Times New Roman" w:hAnsi="Times New Roman"/>
          <w:b w:val="false"/>
          <w:i w:val="false"/>
          <w:color w:val="000000"/>
          <w:sz w:val="22"/>
        </w:rPr>
        <w:t> </w:t>
      </w:r>
      <w:r>
        <w:rPr>
          <w:rFonts w:ascii="Times New Roman" w:hAnsi="Times New Roman"/>
          <w:b w:val="false"/>
          <w:i w:val="false"/>
          <w:color w:val="000000"/>
          <w:sz w:val="22"/>
        </w:rPr>
        <w:t>The use of any personal testimonial attesting to a quality of competence of a service or treatment offered by a licensee that is not reasonably verifiable.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26.1(7)</w:t>
      </w:r>
      <w:r>
        <w:rPr>
          <w:rFonts w:ascii="Times New Roman" w:hAnsi="Times New Roman"/>
          <w:b w:val="false"/>
          <w:i w:val="false"/>
          <w:color w:val="000000"/>
          <w:sz w:val="22"/>
        </w:rPr>
        <w:t> </w:t>
      </w:r>
      <w:r>
        <w:rPr>
          <w:rFonts w:ascii="Times New Roman" w:hAnsi="Times New Roman"/>
          <w:b w:val="false"/>
          <w:i w:val="false"/>
          <w:color w:val="000000"/>
          <w:sz w:val="22"/>
        </w:rPr>
        <w:t>Utilizing any statistical data or other information based on past performance or predication of future success, which creates an unjustified expectation about results that the dentist can achieve.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26.1(8)</w:t>
      </w:r>
      <w:r>
        <w:rPr>
          <w:rFonts w:ascii="Times New Roman" w:hAnsi="Times New Roman"/>
          <w:b w:val="false"/>
          <w:i w:val="false"/>
          <w:color w:val="000000"/>
          <w:sz w:val="22"/>
        </w:rPr>
        <w:t> </w:t>
      </w:r>
      <w:r>
        <w:rPr>
          <w:rFonts w:ascii="Times New Roman" w:hAnsi="Times New Roman"/>
          <w:b w:val="false"/>
          <w:i w:val="false"/>
          <w:color w:val="000000"/>
          <w:sz w:val="22"/>
        </w:rPr>
        <w:t>The communication of personally identifiable facts, data, or information about a patient without first obtaining patient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26.1(9)</w:t>
      </w:r>
      <w:r>
        <w:rPr>
          <w:rFonts w:ascii="Times New Roman" w:hAnsi="Times New Roman"/>
          <w:b w:val="false"/>
          <w:i w:val="false"/>
          <w:color w:val="000000"/>
          <w:sz w:val="22"/>
        </w:rPr>
        <w:t> </w:t>
      </w:r>
      <w:r>
        <w:rPr>
          <w:rFonts w:ascii="Times New Roman" w:hAnsi="Times New Roman"/>
          <w:b w:val="false"/>
          <w:i w:val="false"/>
          <w:color w:val="000000"/>
          <w:sz w:val="22"/>
        </w:rPr>
        <w:t>Any misrepresentation of a material fact.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26.1(10)</w:t>
      </w:r>
      <w:r>
        <w:rPr>
          <w:rFonts w:ascii="Times New Roman" w:hAnsi="Times New Roman"/>
          <w:b w:val="false"/>
          <w:i w:val="false"/>
          <w:color w:val="000000"/>
          <w:sz w:val="22"/>
        </w:rPr>
        <w:t> </w:t>
      </w:r>
      <w:r>
        <w:rPr>
          <w:rFonts w:ascii="Times New Roman" w:hAnsi="Times New Roman"/>
          <w:b w:val="false"/>
          <w:i w:val="false"/>
          <w:color w:val="000000"/>
          <w:sz w:val="22"/>
        </w:rPr>
        <w:t>The knowing suppression, omission or concealment of any material fact or law without which the communication would be deceptive.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26.1(11)</w:t>
      </w:r>
      <w:r>
        <w:rPr>
          <w:rFonts w:ascii="Times New Roman" w:hAnsi="Times New Roman"/>
          <w:b w:val="false"/>
          <w:i w:val="false"/>
          <w:color w:val="000000"/>
          <w:sz w:val="22"/>
        </w:rPr>
        <w:t> </w:t>
      </w:r>
      <w:r>
        <w:rPr>
          <w:rFonts w:ascii="Times New Roman" w:hAnsi="Times New Roman"/>
          <w:b w:val="false"/>
          <w:i w:val="false"/>
          <w:color w:val="000000"/>
          <w:sz w:val="22"/>
        </w:rPr>
        <w:t>Any communication which creates an unjustified expectation concerning the potential result of any dental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26.1(12)</w:t>
      </w:r>
      <w:r>
        <w:rPr>
          <w:rFonts w:ascii="Times New Roman" w:hAnsi="Times New Roman"/>
          <w:b w:val="false"/>
          <w:i w:val="false"/>
          <w:color w:val="000000"/>
          <w:sz w:val="22"/>
        </w:rPr>
        <w:t> </w:t>
      </w:r>
      <w:r>
        <w:rPr>
          <w:rFonts w:ascii="Times New Roman" w:hAnsi="Times New Roman"/>
          <w:b w:val="false"/>
          <w:i w:val="false"/>
          <w:color w:val="000000"/>
          <w:sz w:val="22"/>
        </w:rPr>
        <w:t>Where the circumstances indicate “bait and switch” advertising, the board may require the advertiser to furnish to the board data or other evidence pertaining to those sales at the advertised price as well as other sales. Where the circumstances indicate deceptive advertising, the board will initiate an investigation or disciplinary action as warranted.</w:t>
      </w:r>
    </w:p>
    <w:p>
      <w:pPr>
        <w:spacing w:before="0" w:after="0"/>
        <w:ind w:left="120"/>
        <w:jc w:val="both"/>
      </w:pPr>
      <w:r>
        <w:rPr>
          <w:rFonts w:ascii="Times New Roman" w:hAnsi="Times New Roman"/>
          <w:b/>
          <w:i w:val="false"/>
          <w:color w:val="000000"/>
          <w:sz w:val="22"/>
        </w:rPr>
        <w:t>650—26.2</w:t>
      </w:r>
      <w:r>
        <w:rPr>
          <w:rFonts w:ascii="Times New Roman" w:hAnsi="Times New Roman"/>
          <w:b/>
          <w:i w:val="false"/>
          <w:color w:val="000000"/>
          <w:sz w:val="22"/>
        </w:rPr>
        <w:t xml:space="preserve">(153) </w:t>
      </w:r>
      <w:r>
        <w:rPr>
          <w:rFonts w:ascii="Times New Roman" w:hAnsi="Times New Roman"/>
          <w:b/>
          <w:i w:val="false"/>
          <w:color w:val="000000"/>
          <w:sz w:val="22"/>
        </w:rPr>
        <w:t xml:space="preserve">Requirements. </w:t>
      </w:r>
      <w:r>
        <w:rPr>
          <w:rFonts w:ascii="Times New Roman" w:hAnsi="Times New Roman"/>
          <w:b w:val="false"/>
          <w:i w:val="false"/>
          <w:color w:val="000000"/>
          <w:sz w:val="22"/>
        </w:rPr>
        <w:t>The board may require a dentist to substantiate the truthfulness of any assertion or representation of material fact set forth in an advertisement.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26.2(1)</w:t>
      </w:r>
      <w:r>
        <w:rPr>
          <w:rFonts w:ascii="Times New Roman" w:hAnsi="Times New Roman"/>
          <w:b w:val="false"/>
          <w:i w:val="false"/>
          <w:color w:val="000000"/>
          <w:sz w:val="22"/>
        </w:rPr>
        <w:t> </w:t>
      </w:r>
      <w:r>
        <w:rPr>
          <w:rFonts w:ascii="Times New Roman" w:hAnsi="Times New Roman"/>
          <w:b w:val="false"/>
          <w:i w:val="false"/>
          <w:color w:val="000000"/>
          <w:sz w:val="22"/>
        </w:rPr>
        <w:t>At the time an advertisement is placed, the dentist must possess and rely upon information which, when produced, would substantiate the truthfulness of any assertion, omission, or representation of material fact set forth in the advertisement.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failure to possess and rely upon the information required in subrule </w:t>
      </w:r>
      <w:hyperlink r:id="rId5">
        <w:r>
          <w:rPr>
            <w:rStyle w:val="Hyperlink"/>
            <w:rFonts w:ascii="Times New Roman" w:hAnsi="Times New Roman"/>
            <w:b w:val="false"/>
            <w:i w:val="false"/>
            <w:color w:val="000000"/>
            <w:sz w:val="22"/>
          </w:rPr>
          <w:t>26.2(1)</w:t>
        </w:r>
      </w:hyperlink>
      <w:r>
        <w:rPr>
          <w:rFonts w:ascii="Times New Roman" w:hAnsi="Times New Roman"/>
          <w:b w:val="false"/>
          <w:i w:val="false"/>
          <w:color w:val="000000"/>
          <w:sz w:val="22"/>
        </w:rPr>
        <w:t xml:space="preserve"> at the time the advertisement is placed shall be deemed professional misconduct.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26.2(3)</w:t>
      </w:r>
      <w:r>
        <w:rPr>
          <w:rFonts w:ascii="Times New Roman" w:hAnsi="Times New Roman"/>
          <w:b w:val="false"/>
          <w:i w:val="false"/>
          <w:color w:val="000000"/>
          <w:sz w:val="22"/>
        </w:rPr>
        <w:t> </w:t>
      </w:r>
      <w:r>
        <w:rPr>
          <w:rFonts w:ascii="Times New Roman" w:hAnsi="Times New Roman"/>
          <w:b w:val="false"/>
          <w:i w:val="false"/>
          <w:color w:val="000000"/>
          <w:sz w:val="22"/>
        </w:rPr>
        <w:t>The failure or refusal to provide the factual substantiation to support a representation or assertion when requested by the board shall be deemed professional misconduct.</w:t>
      </w:r>
    </w:p>
    <w:p>
      <w:pPr>
        <w:spacing w:before="210" w:after="0"/>
        <w:ind w:left="120"/>
        <w:jc w:val="both"/>
      </w:pPr>
      <w:r>
        <w:rPr>
          <w:rFonts w:ascii="Times New Roman" w:hAnsi="Times New Roman"/>
          <w:b/>
          <w:i w:val="false"/>
          <w:color w:val="000000"/>
          <w:sz w:val="22"/>
        </w:rPr>
        <w:t>650—26.3</w:t>
      </w:r>
      <w:r>
        <w:rPr>
          <w:rFonts w:ascii="Times New Roman" w:hAnsi="Times New Roman"/>
          <w:b/>
          <w:i w:val="false"/>
          <w:color w:val="000000"/>
          <w:sz w:val="22"/>
        </w:rPr>
        <w:t xml:space="preserve">(153) </w:t>
      </w:r>
      <w:r>
        <w:rPr>
          <w:rFonts w:ascii="Times New Roman" w:hAnsi="Times New Roman"/>
          <w:b/>
          <w:i w:val="false"/>
          <w:color w:val="000000"/>
          <w:sz w:val="22"/>
        </w:rPr>
        <w:t xml:space="preserve">Fees. </w:t>
      </w:r>
      <w:r>
        <w:rPr>
          <w:rFonts w:ascii="Times New Roman" w:hAnsi="Times New Roman"/>
          <w:b w:val="false"/>
          <w:i w:val="false"/>
          <w:color w:val="000000"/>
          <w:sz w:val="22"/>
        </w:rPr>
        <w:t>Advertising that states a fee must clearly define the professional service being offered in the advertisement. Advertised offers shall be presumed to include everything ordinarily required for such a service.</w:t>
      </w:r>
    </w:p>
    <w:p>
      <w:pPr>
        <w:spacing w:before="0" w:after="0"/>
        <w:ind w:left="120"/>
        <w:jc w:val="both"/>
      </w:pPr>
      <w:r>
        <w:rPr>
          <w:rFonts w:ascii="Times New Roman" w:hAnsi="Times New Roman"/>
          <w:b/>
          <w:i w:val="false"/>
          <w:color w:val="000000"/>
          <w:sz w:val="22"/>
        </w:rPr>
        <w:t>650—26.4</w:t>
      </w:r>
      <w:r>
        <w:rPr>
          <w:rFonts w:ascii="Times New Roman" w:hAnsi="Times New Roman"/>
          <w:b/>
          <w:i w:val="false"/>
          <w:color w:val="000000"/>
          <w:sz w:val="22"/>
        </w:rPr>
        <w:t xml:space="preserve">(153) </w:t>
      </w:r>
      <w:r>
        <w:rPr>
          <w:rFonts w:ascii="Times New Roman" w:hAnsi="Times New Roman"/>
          <w:b/>
          <w:i w:val="false"/>
          <w:color w:val="000000"/>
          <w:sz w:val="22"/>
        </w:rPr>
        <w:t xml:space="preserve">Public representation. </w:t>
      </w:r>
      <w:r>
        <w:rPr>
          <w:rFonts w:ascii="Times New Roman" w:hAnsi="Times New Roman"/>
          <w:b w:val="false"/>
          <w:i w:val="false"/>
          <w:color w:val="000000"/>
          <w:sz w:val="22"/>
        </w:rPr>
        <w:t>All advertisements and public representations shall contain the name and address or telephone number of the practitioner who placed the 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w:t>
      </w:r>
      <w:r>
        <w:rPr>
          <w:rFonts w:ascii="Times New Roman" w:hAnsi="Times New Roman"/>
          <w:b w:val="false"/>
          <w:i w:val="false"/>
          <w:color w:val="000000"/>
          <w:sz w:val="22"/>
        </w:rPr>
        <w:t> </w:t>
      </w:r>
      <w:r>
        <w:rPr>
          <w:rFonts w:ascii="Times New Roman" w:hAnsi="Times New Roman"/>
          <w:b w:val="false"/>
          <w:i w:val="false"/>
          <w:color w:val="000000"/>
          <w:sz w:val="22"/>
        </w:rPr>
        <w:t>If one’s practice is referred to in the advertisement, the ad may state either “general/family practice” or “specialist,” “specializes,” or “specializing.” A dentist advertising or representing oneself as a specialist must comply with the other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26.4(2)</w:t>
      </w:r>
      <w:r>
        <w:rPr>
          <w:rFonts w:ascii="Times New Roman" w:hAnsi="Times New Roman"/>
          <w:b w:val="false"/>
          <w:i w:val="false"/>
          <w:color w:val="000000"/>
          <w:sz w:val="22"/>
        </w:rPr>
        <w:t> </w:t>
      </w:r>
      <w:r>
        <w:rPr>
          <w:rFonts w:ascii="Times New Roman" w:hAnsi="Times New Roman"/>
          <w:b w:val="false"/>
          <w:i w:val="false"/>
          <w:color w:val="000000"/>
          <w:sz w:val="22"/>
        </w:rPr>
        <w:t xml:space="preserve"> A dentist may advertise as a specialist if the dentist meets the standards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dentist wishing to advertise as a specialist must be a diplomate of, or board-eligible for, a national certifying board of a specialty recognized by the American Dental Association (ADA), or a diplomate of a board recognized by the American Board of Dental Specialties (ABDS);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indicated area of specialty must be board-approved. Board-approved ADA specialties are as follows: dental public health, endodontics, oral and maxillofacial pathology, oral and maxillofacial surgery, orofacial pain, orthodontics and dentofacial orthopedics, pediatric dentistry, periodontics, prosthodontics and oral and maxillofacial radiology. Board-approved ABDS specialties are as follows: oral implantology/implant dentistry, oral medicine, orofacial pain, and anesthesiology.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26.4(3)</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certifying board may apply for a new area of specialty to become board-approved by submitting information regarding the area of specialty, including an explanation of how the proposed specialty is within the scope of practice of dentistry in Iowa, and proof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proposed specialty is separate and distinct from any preexisting specialty recognized by the board or combination of board-recognized dental specialties;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specialty is a distinct and well-defined field which requires unique knowledge and skills beyond those commonly possessed by dental school graduates;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certifying board is an independent entity that is comprised of licensed dentists, whose membership is reflective of the proposed specialty, and that is incorporated and governed solely by the licensed dentists/board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certifying board has a permanent headquarters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certifying board has issued diplomate certificates to licensed dentists for at least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certifying board requires passing an oral and written examination based on psychometric principles that tests the applicant’s knowledge and skill in the proposed specialty;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certifying board requires all dentists who seek certification in the proposed specialty to have successfully completed a specified, objectively verifiable amount of post-DDS or -DMD education and experience that is appropriate for the proposed specialty area, as determined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certifying board’s website that includes online resources for the consumer to verify the certifying board’s certification requirements and a list of the names and addresses of the dentists who have been awarded certification by the board shall be made available for public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26.4(4)</w:t>
      </w:r>
      <w:r>
        <w:rPr>
          <w:rFonts w:ascii="Times New Roman" w:hAnsi="Times New Roman"/>
          <w:b w:val="false"/>
          <w:i w:val="false"/>
          <w:color w:val="000000"/>
          <w:sz w:val="22"/>
        </w:rPr>
        <w:t> </w:t>
      </w:r>
      <w:r>
        <w:rPr>
          <w:rFonts w:ascii="Times New Roman" w:hAnsi="Times New Roman"/>
          <w:b w:val="false"/>
          <w:i w:val="false"/>
          <w:color w:val="000000"/>
          <w:sz w:val="22"/>
        </w:rPr>
        <w:t>The use of the terms “specialist,” “specializes,” “orthodontist,” “oral and maxillofacial surgeon,” “oral and maxillofacial radiologist,” “periodontist,” “pediatric dentist,” “prosthodontist,” “endodontist,” “oral pathologist,” “public health dentist,” “dental anesthesiologist,” or other similar terms which imply that the dentist is a specialist may only be used by a licensed dentist meeting the requirements of this rule. A dentist who advertises as a specialist must avoid any implication that other dentists associated with the same practice are specialists unless the dentists also meet all of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26.4(5)</w:t>
      </w:r>
      <w:r>
        <w:rPr>
          <w:rFonts w:ascii="Times New Roman" w:hAnsi="Times New Roman"/>
          <w:b w:val="false"/>
          <w:i w:val="false"/>
          <w:color w:val="000000"/>
          <w:sz w:val="22"/>
        </w:rPr>
        <w:t> </w:t>
      </w:r>
      <w:r>
        <w:rPr>
          <w:rFonts w:ascii="Times New Roman" w:hAnsi="Times New Roman"/>
          <w:b w:val="false"/>
          <w:i w:val="false"/>
          <w:color w:val="000000"/>
          <w:sz w:val="22"/>
        </w:rPr>
        <w:t>The term “diplomate” or “board-certified” may only be used by a dentist who has successfully completed the qualifying examination of the appropriate certifying board of one or more of the specialties recognized by the ADA or the ABDS, or as otherwise permitted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26.4(6)</w:t>
      </w:r>
      <w:r>
        <w:rPr>
          <w:rFonts w:ascii="Times New Roman" w:hAnsi="Times New Roman"/>
          <w:b w:val="false"/>
          <w:i w:val="false"/>
          <w:color w:val="000000"/>
          <w:sz w:val="22"/>
        </w:rPr>
        <w:t> </w:t>
      </w:r>
      <w:r>
        <w:rPr>
          <w:rFonts w:ascii="Times New Roman" w:hAnsi="Times New Roman"/>
          <w:b w:val="false"/>
          <w:i w:val="false"/>
          <w:color w:val="000000"/>
          <w:sz w:val="22"/>
        </w:rPr>
        <w:t>A dentist advertising as a specialist pursuant to these rules shall include the name of the national certifying board and the name of the entity which recognizes the board in the advertisement.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26.4(7)</w:t>
      </w:r>
      <w:r>
        <w:rPr>
          <w:rFonts w:ascii="Times New Roman" w:hAnsi="Times New Roman"/>
          <w:b w:val="false"/>
          <w:i w:val="false"/>
          <w:color w:val="000000"/>
          <w:sz w:val="22"/>
        </w:rPr>
        <w:t> </w:t>
      </w:r>
      <w:r>
        <w:rPr>
          <w:rFonts w:ascii="Times New Roman" w:hAnsi="Times New Roman"/>
          <w:b w:val="false"/>
          <w:i w:val="false"/>
          <w:color w:val="000000"/>
          <w:sz w:val="22"/>
        </w:rPr>
        <w:t xml:space="preserve"> A dentist may advertise the areas in which the dentist practices, including, but not limited to, specialty services, using other descriptive terms such as “emphasis on ________________” or other similar terms, as long as all other provisions of these rules regarding advertising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4099C</w:t>
      </w:r>
      <w:r>
        <w:rPr>
          <w:rFonts w:ascii="Times New Roman" w:hAnsi="Times New Roman"/>
          <w:b w:val="false"/>
          <w:i w:val="false"/>
          <w:color w:val="000000"/>
          <w:sz w:val="16"/>
        </w:rPr>
        <w:t>, IAB 10/24/18, effective 11/28/18</w:t>
      </w:r>
      <w:r>
        <w:rPr>
          <w:rFonts w:ascii="Times New Roman" w:hAnsi="Times New Roman"/>
          <w:b w:val="false"/>
          <w:i w:val="false"/>
          <w:color w:val="000000"/>
          <w:sz w:val="16"/>
        </w:rPr>
        <w:t xml:space="preserve">; </w:t>
      </w:r>
      <w:r>
        <w:rPr>
          <w:rFonts w:ascii="Times New Roman" w:hAnsi="Times New Roman"/>
          <w:b/>
          <w:i w:val="false"/>
          <w:color w:val="000000"/>
          <w:sz w:val="16"/>
        </w:rPr>
        <w:t>ARC 6674C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650—26.5</w:t>
      </w:r>
      <w:r>
        <w:rPr>
          <w:rFonts w:ascii="Times New Roman" w:hAnsi="Times New Roman"/>
          <w:b/>
          <w:i w:val="false"/>
          <w:color w:val="000000"/>
          <w:sz w:val="22"/>
        </w:rPr>
        <w:t xml:space="preserve">(153) </w:t>
      </w:r>
      <w:r>
        <w:rPr>
          <w:rFonts w:ascii="Times New Roman" w:hAnsi="Times New Roman"/>
          <w:b/>
          <w:i w:val="false"/>
          <w:color w:val="000000"/>
          <w:sz w:val="22"/>
        </w:rPr>
        <w:t xml:space="preserve">Responsibility. </w:t>
      </w:r>
      <w:r>
        <w:rPr>
          <w:rFonts w:ascii="Times New Roman" w:hAnsi="Times New Roman"/>
          <w:b w:val="false"/>
          <w:i w:val="false"/>
          <w:color w:val="000000"/>
          <w:sz w:val="22"/>
        </w:rPr>
        <w:t>Each professional who is a principal partner, officer, or licensed professional employee, acting as an agent of the firm or entity identified in the advertisement, is jointly and severally responsible for the form and content of any advertisement offering services or materials.</w:t>
      </w:r>
    </w:p>
    <w:p>
      <w:pPr>
        <w:spacing w:before="210" w:after="0"/>
        <w:ind w:left="120"/>
        <w:jc w:val="both"/>
      </w:pPr>
      <w:r>
        <w:rPr>
          <w:rFonts w:ascii="Times New Roman" w:hAnsi="Times New Roman"/>
          <w:b/>
          <w:i w:val="false"/>
          <w:color w:val="000000"/>
          <w:sz w:val="22"/>
        </w:rPr>
        <w:t>650—26.6</w:t>
      </w:r>
      <w:r>
        <w:rPr>
          <w:rFonts w:ascii="Times New Roman" w:hAnsi="Times New Roman"/>
          <w:b/>
          <w:i w:val="false"/>
          <w:color w:val="000000"/>
          <w:sz w:val="22"/>
        </w:rPr>
        <w:t xml:space="preserve">(153) </w:t>
      </w:r>
      <w:r>
        <w:rPr>
          <w:rFonts w:ascii="Times New Roman" w:hAnsi="Times New Roman"/>
          <w:b/>
          <w:i w:val="false"/>
          <w:color w:val="000000"/>
          <w:sz w:val="22"/>
        </w:rPr>
        <w:t xml:space="preserve">Advertisement records. </w:t>
      </w:r>
      <w:r>
        <w:rPr>
          <w:rFonts w:ascii="Times New Roman" w:hAnsi="Times New Roman"/>
          <w:b w:val="false"/>
          <w:i w:val="false"/>
          <w:color w:val="000000"/>
          <w:sz w:val="22"/>
        </w:rPr>
        <w:t>A recording of every advertisement communicated by electronic media, and a copy of every advertisement communicated by print media indicating the date and place of the advertisement shall be retained by the dentist for a period of two years and be made available for review upon request by the board or its designee.</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6">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153.34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4/9/79, Notice 10/4/78—published 5/2/79, effective 6/6/79</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6/5/79—published 6/27/79, effective 6/5/79]</w:t>
      </w:r>
    </w:p>
    <w:p>
      <w:pPr>
        <w:spacing w:before="0" w:after="0"/>
        <w:ind w:left="120"/>
        <w:jc w:val="center"/>
      </w:pPr>
      <w:r>
        <w:rPr>
          <w:rFonts w:ascii="Times New Roman" w:hAnsi="Times New Roman"/>
          <w:b w:val="false"/>
          <w:i w:val="false"/>
          <w:color w:val="000000"/>
          <w:sz w:val="21"/>
        </w:rPr>
        <w:t>[Filed 10/11/79, Notice 6/27/79—published 10/31/79, effective 12/5/79]</w:t>
      </w:r>
    </w:p>
    <w:p>
      <w:pPr>
        <w:spacing w:before="0" w:after="0"/>
        <w:ind w:left="120"/>
        <w:jc w:val="center"/>
      </w:pPr>
      <w:r>
        <w:rPr>
          <w:rFonts w:ascii="Times New Roman" w:hAnsi="Times New Roman"/>
          <w:b w:val="false"/>
          <w:i w:val="false"/>
          <w:color w:val="000000"/>
          <w:sz w:val="21"/>
        </w:rPr>
        <w:t>[Filed emergency 11/30/84—published 12/19/84, effective 11/30/84]</w:t>
      </w:r>
    </w:p>
    <w:p>
      <w:pPr>
        <w:spacing w:before="0" w:after="0"/>
        <w:ind w:left="120"/>
        <w:jc w:val="center"/>
      </w:pPr>
      <w:r>
        <w:rPr>
          <w:rFonts w:ascii="Times New Roman" w:hAnsi="Times New Roman"/>
          <w:b w:val="false"/>
          <w:i w:val="false"/>
          <w:color w:val="000000"/>
          <w:sz w:val="21"/>
        </w:rPr>
        <w:t>[Filed 12/12/85, Notice 9/11/85—published 1/1/86, effective 2/5/86]</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1/19/01, Notice 11/15/00—published 2/7/01, effective 3/14/01]</w:t>
      </w:r>
    </w:p>
    <w:p>
      <w:pPr>
        <w:spacing w:before="0" w:after="0"/>
        <w:ind w:left="120"/>
        <w:jc w:val="center"/>
      </w:pPr>
      <w:r>
        <w:rPr>
          <w:rFonts w:ascii="Times New Roman" w:hAnsi="Times New Roman"/>
          <w:b w:val="false"/>
          <w:i w:val="false"/>
          <w:color w:val="000000"/>
          <w:sz w:val="21"/>
        </w:rPr>
        <w:t>[Filed ARC 4099C</w:t>
      </w:r>
      <w:r>
        <w:rPr>
          <w:rFonts w:ascii="Times New Roman" w:hAnsi="Times New Roman"/>
          <w:b w:val="false"/>
          <w:i w:val="false"/>
          <w:color w:val="000000"/>
          <w:sz w:val="21"/>
        </w:rPr>
        <w:t xml:space="preserve"> (Notice ARC 3901C, IAB 7/18/18)</w:t>
      </w:r>
      <w:r>
        <w:rPr>
          <w:rFonts w:ascii="Times New Roman" w:hAnsi="Times New Roman"/>
          <w:b w:val="false"/>
          <w:i w:val="false"/>
          <w:color w:val="000000"/>
          <w:sz w:val="21"/>
        </w:rPr>
        <w:t>, IAB 10/24/18, effective 11/28/18]</w:t>
      </w:r>
    </w:p>
    <w:p>
      <w:pPr>
        <w:spacing w:before="0" w:after="0"/>
        <w:ind w:left="120"/>
        <w:jc w:val="center"/>
      </w:pPr>
      <w:r>
        <w:rPr>
          <w:rFonts w:ascii="Times New Roman" w:hAnsi="Times New Roman"/>
          <w:b w:val="false"/>
          <w:i w:val="false"/>
          <w:color w:val="000000"/>
          <w:sz w:val="21"/>
        </w:rPr>
        <w:t>[Filed ARC 6674C</w:t>
      </w:r>
      <w:r>
        <w:rPr>
          <w:rFonts w:ascii="Times New Roman" w:hAnsi="Times New Roman"/>
          <w:b w:val="false"/>
          <w:i w:val="false"/>
          <w:color w:val="000000"/>
          <w:sz w:val="21"/>
        </w:rPr>
        <w:t xml:space="preserve"> (Notice ARC 6513C, IAB 9/7/22)</w:t>
      </w:r>
      <w:r>
        <w:rPr>
          <w:rFonts w:ascii="Times New Roman" w:hAnsi="Times New Roman"/>
          <w:b w:val="false"/>
          <w:i w:val="false"/>
          <w:color w:val="000000"/>
          <w:sz w:val="21"/>
        </w:rPr>
        <w:t>, IAB 11/16/22, effective 12/21/22]</w:t>
      </w:r>
    </w:p>
    <w:p>
      <w:pPr>
        <w:pBdr>
          <w:bottom w:space="2"/>
        </w:pBdr>
        <w:spacing w:before="0" w:after="0"/>
        <w:ind w:left="120"/>
        <w:jc w:val="both"/>
      </w:pPr>
      <w:r>
        <w:rPr>
          <w:rFonts w:ascii="Times New Roman" w:hAnsi="Times New Roman"/>
          <w:b w:val="false"/>
          <w:i w:val="false"/>
          <w:color w:val="000000"/>
          <w:sz w:val="22"/>
        </w:rPr>
        <w:t>Effective date of Chapter 26 delayed by the Administrative Rules Review Committee 70 days.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0.26.2.pdf" Type="http://schemas.openxmlformats.org/officeDocument/2006/relationships/hyperlink" Id="rId5"/>
    <Relationship TargetMode="External" Target="https://www.legis.iowa.gov/docs/ico/chapter/153.33.pdf" Type="http://schemas.openxmlformats.org/officeDocument/2006/relationships/hyperlink" Id="rId6"/>
    <Relationship TargetMode="External" Target="https://www.legis.iowa.gov/docs/ico/chapter/153.34.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