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DENTAL LABORATORY TECHNICIAN</w:t>
      </w:r>
    </w:p>
    <w:p>
      <w:pPr>
        <w:spacing w:before="0" w:after="0"/>
        <w:ind w:left="120"/>
        <w:jc w:val="center"/>
      </w:pPr>
      <w:r>
        <w:rPr>
          <w:rFonts w:ascii="Times New Roman" w:hAnsi="Times New Roman"/>
          <w:b w:val="false"/>
          <w:i w:val="false"/>
          <w:color w:val="000000"/>
          <w:sz w:val="14"/>
        </w:rPr>
        <w:t>[Prior to 5/18/88, Dental Examiners, Board of[320]]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650—21.1</w:t>
      </w:r>
      <w:r>
        <w:rPr>
          <w:rFonts w:ascii="Times New Roman" w:hAnsi="Times New Roman"/>
          <w:b/>
          <w:i w:val="false"/>
          <w:color w:val="000000"/>
          <w:sz w:val="22"/>
        </w:rPr>
        <w:t xml:space="preserve">(153)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“Dental laboratory technician” as used in these rules shall include a person other than a licensed dentist who fabricates, constructs, makes, or repairs oral prosthetic appliances solely and exclusively for a licensed dentist and under the dentist’s supervision or direction. A dental laboratory technician who performs any of the duties of a dental assistant, as defined in </w:t>
      </w:r>
      <w:hyperlink r:id="rId5">
        <w:r>
          <w:rPr>
            <w:rStyle w:val="Hyperlink"/>
            <w:rFonts w:ascii="Times New Roman" w:hAnsi="Times New Roman"/>
            <w:b w:val="false"/>
            <w:i w:val="false"/>
            <w:color w:val="000000"/>
            <w:sz w:val="22"/>
          </w:rPr>
          <w:t>650—20.2</w:t>
        </w:r>
      </w:hyperlink>
      <w:r>
        <w:rPr>
          <w:rFonts w:ascii="Times New Roman" w:hAnsi="Times New Roman"/>
          <w:b w:val="false"/>
          <w:i w:val="false"/>
          <w:color w:val="000000"/>
          <w:sz w:val="22"/>
        </w:rPr>
        <w:t>(153), must be registered with the board as a dental assistant.</w:t>
      </w:r>
    </w:p>
    <w:p>
      <w:pPr>
        <w:spacing w:before="210" w:after="0"/>
        <w:ind w:left="120"/>
        <w:jc w:val="both"/>
      </w:pPr>
      <w:r>
        <w:rPr>
          <w:rFonts w:ascii="Times New Roman" w:hAnsi="Times New Roman"/>
          <w:b/>
          <w:i w:val="false"/>
          <w:color w:val="000000"/>
          <w:sz w:val="22"/>
        </w:rPr>
        <w:t>650—21.2</w:t>
      </w:r>
      <w:r>
        <w:rPr>
          <w:rFonts w:ascii="Times New Roman" w:hAnsi="Times New Roman"/>
          <w:b/>
          <w:i w:val="false"/>
          <w:color w:val="000000"/>
          <w:sz w:val="22"/>
        </w:rPr>
        <w:t xml:space="preserve">(153) </w:t>
      </w:r>
      <w:r>
        <w:rPr>
          <w:rFonts w:ascii="Times New Roman" w:hAnsi="Times New Roman"/>
          <w:b/>
          <w:i w:val="false"/>
          <w:color w:val="000000"/>
          <w:sz w:val="22"/>
        </w:rPr>
        <w:t xml:space="preserve">Unlawful practice by dental laboratory technician. </w:t>
      </w:r>
      <w:r>
        <w:rPr>
          <w:rFonts w:ascii="Times New Roman" w:hAnsi="Times New Roman"/>
          <w:b w:val="false"/>
          <w:i w:val="false"/>
          <w:color w:val="000000"/>
          <w:sz w:val="22"/>
        </w:rPr>
        <w:t>Any dental laboratory technician who assists a dentist in practicing dentistry in any capacity other than as an employee or independent contractor, or who directly or indirectly procures a licensed dentist to act as nominal owner, proprietor or director of a dental office as a guise or subterfuge to enable such dental laboratory technician to engage directly or indirectly in the practice of dentistry, or who renders dental service directly or indirectly on or for members of the public other than as an employee or independent contractor for an employing dentist shall be deemed to be practicing dentistry without a license.</w:t>
      </w:r>
    </w:p>
    <w:p>
      <w:pPr>
        <w:spacing w:before="210" w:after="0"/>
        <w:ind w:left="120"/>
        <w:jc w:val="both"/>
      </w:pPr>
      <w:r>
        <w:rPr>
          <w:rFonts w:ascii="Times New Roman" w:hAnsi="Times New Roman"/>
          <w:b/>
          <w:i w:val="false"/>
          <w:color w:val="000000"/>
          <w:sz w:val="22"/>
        </w:rPr>
        <w:t>650—21.3</w:t>
      </w:r>
      <w:r>
        <w:rPr>
          <w:rFonts w:ascii="Times New Roman" w:hAnsi="Times New Roman"/>
          <w:b/>
          <w:i w:val="false"/>
          <w:color w:val="000000"/>
          <w:sz w:val="22"/>
        </w:rPr>
        <w:t xml:space="preserve">(153) </w:t>
      </w:r>
      <w:r>
        <w:rPr>
          <w:rFonts w:ascii="Times New Roman" w:hAnsi="Times New Roman"/>
          <w:b/>
          <w:i w:val="false"/>
          <w:color w:val="000000"/>
          <w:sz w:val="22"/>
        </w:rPr>
        <w:t xml:space="preserve">Advertising and soliciting dental services prohibited. </w:t>
      </w:r>
      <w:r>
        <w:rPr>
          <w:rFonts w:ascii="Times New Roman" w:hAnsi="Times New Roman"/>
          <w:b w:val="false"/>
          <w:i w:val="false"/>
          <w:color w:val="000000"/>
          <w:sz w:val="22"/>
        </w:rPr>
        <w:t>No dental laboratory or dental laboratory technician shall advertise, solicit, represent or hold themselves, or itself out in any manner to the general public that they or it will furnish, construct, repair or alter prosthetic, orthodontic or other appliances, with or without consideration, to be used as substitutes for or as part of natural teeth or associated structures or for the correction of malocclusions or deformities, or that they or it will render any other dental service.</w:t>
      </w:r>
    </w:p>
    <w:p>
      <w:pPr>
        <w:spacing w:before="0" w:after="0"/>
        <w:ind w:left="120"/>
        <w:jc w:val="left"/>
      </w:pPr>
      <w:r>
        <w:rPr>
          <w:rFonts w:ascii="Times New Roman" w:hAnsi="Times New Roman"/>
          <w:b w:val="false"/>
          <w:i w:val="false"/>
          <w:color w:val="000000"/>
          <w:sz w:val="22"/>
        </w:rPr>
        <w:t xml:space="preserve">This chapter is intended to implement Iowa Code sections </w:t>
      </w:r>
      <w:hyperlink r:id="rId6">
        <w:r>
          <w:rPr>
            <w:rStyle w:val="Hyperlink"/>
            <w:rFonts w:ascii="Times New Roman" w:hAnsi="Times New Roman"/>
            <w:b w:val="false"/>
            <w:i w:val="false"/>
            <w:color w:val="000000"/>
            <w:sz w:val="22"/>
          </w:rPr>
          <w:t>153.17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153.32(5)</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4/9/79, Notice 10/4/78—published 5/2/79, effective 6/6/79</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3/20/86, Notice 9/11/85—published 4/9/86, effective 5/14/86]</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10/23/00, Notice 8/9/00—published 11/15/00, effective 1/1/01]</w:t>
      </w:r>
    </w:p>
    <w:p>
      <w:pPr>
        <w:pBdr>
          <w:bottom w:space="2"/>
        </w:pBdr>
        <w:spacing w:before="0" w:after="0"/>
        <w:ind w:left="120"/>
        <w:jc w:val="both"/>
      </w:pPr>
      <w:r>
        <w:rPr>
          <w:rFonts w:ascii="Times New Roman" w:hAnsi="Times New Roman"/>
          <w:b w:val="false"/>
          <w:i w:val="false"/>
          <w:color w:val="000000"/>
          <w:sz w:val="22"/>
        </w:rPr>
        <w:t>At their meeting held May 21, 1979, the Administrative Rules Review Committee delayed the effective date of Chapter 21 for 70 days.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0.20.2.pdf" Type="http://schemas.openxmlformats.org/officeDocument/2006/relationships/hyperlink" Id="rId5"/>
    <Relationship TargetMode="External" Target="https://www.legis.iowa.gov/docs/ico/chapter/153.17.pdf" Type="http://schemas.openxmlformats.org/officeDocument/2006/relationships/hyperlink" Id="rId6"/>
    <Relationship TargetMode="External" Target="https://www.legis.iowa.gov/docs/ico/chapter/153.32.pdf" Type="http://schemas.openxmlformats.org/officeDocument/2006/relationships/hyperlink" Id="rId7"/>
    <Relationship TargetMode="External" Target="https://www.legis.iowa.gov/docs/ico/chapter/153.3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