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FEES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650—15.1</w:t>
      </w:r>
      <w:r>
        <w:rPr>
          <w:rFonts w:ascii="Times New Roman" w:hAnsi="Times New Roman"/>
          <w:b/>
          <w:i w:val="false"/>
          <w:color w:val="000000"/>
          <w:sz w:val="22"/>
        </w:rPr>
        <w:t xml:space="preserve">(147,153) </w:t>
      </w:r>
      <w:r>
        <w:rPr>
          <w:rFonts w:ascii="Times New Roman" w:hAnsi="Times New Roman"/>
          <w:b/>
          <w:i w:val="false"/>
          <w:color w:val="000000"/>
          <w:sz w:val="22"/>
        </w:rPr>
        <w:t xml:space="preserve">Establishment of fees. </w:t>
      </w:r>
      <w:r>
        <w:rPr>
          <w:rFonts w:ascii="Times New Roman" w:hAnsi="Times New Roman"/>
          <w:b w:val="false"/>
          <w:i w:val="false"/>
          <w:color w:val="000000"/>
          <w:sz w:val="22"/>
        </w:rPr>
        <w:t xml:space="preserve">The board is self-supporting through the collection of fees and does not receive an appropriation from the general fund. Pursuant to Iowa Code section </w:t>
      </w:r>
      <w:hyperlink r:id="rId5">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the board is to establish fees by rule based on the costs of sustaining the board and the actual costs of the services performed by the board. Under Iowa law, the board is required to annually prepare an estimate of projected revenues generated by the fees received and review projected expenses to ensure that there are sufficient funds to cover projected expenses.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0164C</w:t>
      </w:r>
      <w:r>
        <w:rPr>
          <w:rFonts w:ascii="Times New Roman" w:hAnsi="Times New Roman"/>
          <w:b w:val="false"/>
          <w:i w:val="false"/>
          <w:color w:val="000000"/>
          <w:sz w:val="16"/>
        </w:rPr>
        <w:t>, IAB 6/13/12, effective 5/21/12</w:t>
      </w:r>
      <w:r>
        <w:rPr>
          <w:rFonts w:ascii="Times New Roman" w:hAnsi="Times New Roman"/>
          <w:b w:val="false"/>
          <w:i w:val="false"/>
          <w:color w:val="000000"/>
          <w:sz w:val="16"/>
        </w:rPr>
        <w:t xml:space="preserve">; </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650—15.2</w:t>
      </w:r>
      <w:r>
        <w:rPr>
          <w:rFonts w:ascii="Times New Roman" w:hAnsi="Times New Roman"/>
          <w:b/>
          <w:i w:val="false"/>
          <w:color w:val="000000"/>
          <w:sz w:val="22"/>
        </w:rPr>
        <w:t xml:space="preserve">(147,153)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means the amount charged for the services described in this chapter. All fees are nonrefundable. Overpayment of the fee will result in return of the original request and payment, prior to processing, with a clarification of the total amount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charge” </w:t>
      </w:r>
      <w:r>
        <w:rPr>
          <w:rFonts w:ascii="Times New Roman" w:hAnsi="Times New Roman"/>
          <w:b w:val="false"/>
          <w:i w:val="false"/>
          <w:color w:val="000000"/>
          <w:sz w:val="22"/>
        </w:rPr>
        <w:t xml:space="preserve">means the amount charged for making a service available online and is in addition to the actual fee for a service itself. For example, a licensee who renews a license online will pay the license renewal fee and a service charge.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3490C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650—15.3</w:t>
      </w:r>
      <w:r>
        <w:rPr>
          <w:rFonts w:ascii="Times New Roman" w:hAnsi="Times New Roman"/>
          <w:b/>
          <w:i w:val="false"/>
          <w:color w:val="000000"/>
          <w:sz w:val="22"/>
        </w:rPr>
        <w:t xml:space="preserve">(153) </w:t>
      </w:r>
      <w:r>
        <w:rPr>
          <w:rFonts w:ascii="Times New Roman" w:hAnsi="Times New Roman"/>
          <w:b/>
          <w:i w:val="false"/>
          <w:color w:val="000000"/>
          <w:sz w:val="22"/>
        </w:rPr>
        <w:t xml:space="preserve">Examination fees. </w:t>
      </w:r>
      <w:r>
        <w:rPr>
          <w:rFonts w:ascii="Times New Roman" w:hAnsi="Times New Roman"/>
          <w:b w:val="false"/>
          <w:i w:val="false"/>
          <w:color w:val="000000"/>
          <w:sz w:val="22"/>
        </w:rPr>
        <w:t>All fees are nonrefundable. In addition to the fees specified in this rule, an applicant will pay a service charge for filing online.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color w:val="000000"/>
          <w:sz w:val="22"/>
        </w:rPr>
        <w:t xml:space="preserve">Portfolio dental examination fee. </w:t>
      </w:r>
      <w:r>
        <w:rPr>
          <w:rFonts w:ascii="Times New Roman" w:hAnsi="Times New Roman"/>
          <w:b w:val="false"/>
          <w:i w:val="false"/>
          <w:color w:val="000000"/>
          <w:sz w:val="22"/>
        </w:rPr>
        <w:t>The fee for dental examination on the basis of portfolio is $1500.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650—15.4</w:t>
      </w:r>
      <w:r>
        <w:rPr>
          <w:rFonts w:ascii="Times New Roman" w:hAnsi="Times New Roman"/>
          <w:b/>
          <w:i w:val="false"/>
          <w:color w:val="000000"/>
          <w:sz w:val="22"/>
        </w:rPr>
        <w:t xml:space="preserve">(153) </w:t>
      </w:r>
      <w:r>
        <w:rPr>
          <w:rFonts w:ascii="Times New Roman" w:hAnsi="Times New Roman"/>
          <w:b/>
          <w:i w:val="false"/>
          <w:color w:val="000000"/>
          <w:sz w:val="22"/>
        </w:rPr>
        <w:t xml:space="preserve">Application fees. </w:t>
      </w:r>
      <w:r>
        <w:rPr>
          <w:rFonts w:ascii="Times New Roman" w:hAnsi="Times New Roman"/>
          <w:b w:val="false"/>
          <w:i w:val="false"/>
          <w:color w:val="000000"/>
          <w:sz w:val="22"/>
        </w:rPr>
        <w:t>All fees are nonrefundable. In addition to the fees specified in this rule, an applicant will pay a service charge for filing online.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color w:val="000000"/>
          <w:sz w:val="22"/>
        </w:rPr>
        <w:t xml:space="preserve">Dental licensure on the basis of examination. </w:t>
      </w:r>
      <w:r>
        <w:rPr>
          <w:rFonts w:ascii="Times New Roman" w:hAnsi="Times New Roman"/>
          <w:b w:val="false"/>
          <w:i w:val="false"/>
          <w:color w:val="000000"/>
          <w:sz w:val="22"/>
        </w:rPr>
        <w:t>The fees for a dental license issued on the basis of examination include an application fee, a fee for evaluation of a fingerprint packet and criminal background check and, if the applicant is applying within three months or less of a biennial renewal due date,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The application fee for a license to practice dentistry is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Initial licensure period and renewal period. </w:t>
      </w:r>
      <w:r>
        <w:rPr>
          <w:rFonts w:ascii="Times New Roman" w:hAnsi="Times New Roman"/>
          <w:b w:val="false"/>
          <w:i w:val="false"/>
          <w:color w:val="000000"/>
          <w:sz w:val="22"/>
        </w:rPr>
        <w:t>If an applicant applies within three months or less of a biennial renewal due date, the applicant shall pay the renewal fee along with the licensure application fee. A license shall not be issued for a period less than three months or longer than two years and three months. Thereafter, a licensee shall pay the renewal fee as specified in rule 650—15.5(153).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Fingerprint packet and criminal history check. </w:t>
      </w:r>
      <w:r>
        <w:rPr>
          <w:rFonts w:ascii="Times New Roman" w:hAnsi="Times New Roman"/>
          <w:b w:val="false"/>
          <w:i w:val="false"/>
          <w:color w:val="000000"/>
          <w:sz w:val="22"/>
        </w:rPr>
        <w:t>The fee for evaluation of a fingerprint packet and criminal background check is as specified in subrule 15.8(4).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color w:val="000000"/>
          <w:sz w:val="22"/>
        </w:rPr>
        <w:t xml:space="preserve">Dental hygiene licensure on the basis of examination. </w:t>
      </w:r>
      <w:r>
        <w:rPr>
          <w:rFonts w:ascii="Times New Roman" w:hAnsi="Times New Roman"/>
          <w:b w:val="false"/>
          <w:i w:val="false"/>
          <w:color w:val="000000"/>
          <w:sz w:val="22"/>
        </w:rPr>
        <w:t>The fees for a dental hygiene license issued on the basis of examination include an application fee, an initial licensure fee, and a fee for evaluation of a fingerprint packet and criminal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The application fee for a license to practice dental hygiene is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Initial licensure period and renewal period. </w:t>
      </w:r>
      <w:r>
        <w:rPr>
          <w:rFonts w:ascii="Times New Roman" w:hAnsi="Times New Roman"/>
          <w:b w:val="false"/>
          <w:i w:val="false"/>
          <w:color w:val="000000"/>
          <w:sz w:val="22"/>
        </w:rPr>
        <w:t>If an applicant applies within three months or less of a biennial renewal due date, the applicant shall pay the renewal fee along with the licensure application fee. A license shall not be issued for a period less than three months or longer than two years and three months. Thereafter, a licensee shall pay the renewal fee as specified in rule 650—15.5(153).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Fingerprint packet and criminal history check. </w:t>
      </w:r>
      <w:r>
        <w:rPr>
          <w:rFonts w:ascii="Times New Roman" w:hAnsi="Times New Roman"/>
          <w:b w:val="false"/>
          <w:i w:val="false"/>
          <w:color w:val="000000"/>
          <w:sz w:val="22"/>
        </w:rPr>
        <w:t>The fee for evaluation of a fingerprint packet and criminal background check is as specified in subrule 15.8(4).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w:t>
      </w:r>
      <w:r>
        <w:rPr>
          <w:rFonts w:ascii="Times New Roman" w:hAnsi="Times New Roman"/>
          <w:b w:val="false"/>
          <w:i w:val="false"/>
          <w:color w:val="000000"/>
          <w:sz w:val="22"/>
        </w:rPr>
        <w:t> </w:t>
      </w:r>
      <w:r>
        <w:rPr>
          <w:rFonts w:ascii="Times New Roman" w:hAnsi="Times New Roman"/>
          <w:b w:val="false"/>
          <w:i/>
          <w:color w:val="000000"/>
          <w:sz w:val="22"/>
        </w:rPr>
        <w:t xml:space="preserve">Resident dental license. </w:t>
      </w:r>
      <w:r>
        <w:rPr>
          <w:rFonts w:ascii="Times New Roman" w:hAnsi="Times New Roman"/>
          <w:b w:val="false"/>
          <w:i w:val="false"/>
          <w:color w:val="000000"/>
          <w:sz w:val="22"/>
        </w:rPr>
        <w:t>The application fee for a resident dental license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w:t>
      </w:r>
      <w:r>
        <w:rPr>
          <w:rFonts w:ascii="Times New Roman" w:hAnsi="Times New Roman"/>
          <w:b w:val="false"/>
          <w:i w:val="false"/>
          <w:color w:val="000000"/>
          <w:sz w:val="22"/>
        </w:rPr>
        <w:t> </w:t>
      </w:r>
      <w:r>
        <w:rPr>
          <w:rFonts w:ascii="Times New Roman" w:hAnsi="Times New Roman"/>
          <w:b w:val="false"/>
          <w:i/>
          <w:color w:val="000000"/>
          <w:sz w:val="22"/>
        </w:rPr>
        <w:t xml:space="preserve">Faculty permit. </w:t>
      </w:r>
      <w:r>
        <w:rPr>
          <w:rFonts w:ascii="Times New Roman" w:hAnsi="Times New Roman"/>
          <w:b w:val="false"/>
          <w:i w:val="false"/>
          <w:color w:val="000000"/>
          <w:sz w:val="22"/>
        </w:rPr>
        <w:t>The application fee for a faculty permit is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w:t>
      </w:r>
      <w:r>
        <w:rPr>
          <w:rFonts w:ascii="Times New Roman" w:hAnsi="Times New Roman"/>
          <w:b w:val="false"/>
          <w:i w:val="false"/>
          <w:color w:val="000000"/>
          <w:sz w:val="22"/>
        </w:rPr>
        <w:t> </w:t>
      </w:r>
      <w:r>
        <w:rPr>
          <w:rFonts w:ascii="Times New Roman" w:hAnsi="Times New Roman"/>
          <w:b w:val="false"/>
          <w:i/>
          <w:color w:val="000000"/>
          <w:sz w:val="22"/>
        </w:rPr>
        <w:t xml:space="preserve">Dental licensure on the basis of credentials. </w:t>
      </w:r>
      <w:r>
        <w:rPr>
          <w:rFonts w:ascii="Times New Roman" w:hAnsi="Times New Roman"/>
          <w:b w:val="false"/>
          <w:i w:val="false"/>
          <w:color w:val="000000"/>
          <w:sz w:val="22"/>
        </w:rPr>
        <w:t>The fees for a dental license issued on the basis of credentials include an application fee, an initial licensure fee, and a fee for evaluation of a fingerprint packet and criminal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The application fee for a license to practice dentistry issued on the basis of credentials is $550.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Initial licensure period and renewal period. </w:t>
      </w:r>
      <w:r>
        <w:rPr>
          <w:rFonts w:ascii="Times New Roman" w:hAnsi="Times New Roman"/>
          <w:b w:val="false"/>
          <w:i w:val="false"/>
          <w:color w:val="000000"/>
          <w:sz w:val="22"/>
        </w:rPr>
        <w:t>If an applicant applies within three months or less of a biennial renewal due date, the applicant shall pay the renewal fee along with the licensure application fee. A license shall not be issued for a period less than three months or longer than two years and three months. Thereafter, a licensee shall pay the renewal fee as specified in rule 650—15.5(153).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Fingerprint packet and criminal history check. </w:t>
      </w:r>
      <w:r>
        <w:rPr>
          <w:rFonts w:ascii="Times New Roman" w:hAnsi="Times New Roman"/>
          <w:b w:val="false"/>
          <w:i w:val="false"/>
          <w:color w:val="000000"/>
          <w:sz w:val="22"/>
        </w:rPr>
        <w:t>The fee for evaluation of a fingerprint packet and criminal background check is as specified in subrule 15.8(4).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15.4(6)</w:t>
      </w:r>
      <w:r>
        <w:rPr>
          <w:rFonts w:ascii="Times New Roman" w:hAnsi="Times New Roman"/>
          <w:b w:val="false"/>
          <w:i w:val="false"/>
          <w:color w:val="000000"/>
          <w:sz w:val="22"/>
        </w:rPr>
        <w:t> </w:t>
      </w:r>
      <w:r>
        <w:rPr>
          <w:rFonts w:ascii="Times New Roman" w:hAnsi="Times New Roman"/>
          <w:b w:val="false"/>
          <w:i/>
          <w:color w:val="000000"/>
          <w:sz w:val="22"/>
        </w:rPr>
        <w:t xml:space="preserve">Dental hygiene licensure on the basis of credentials. </w:t>
      </w:r>
      <w:r>
        <w:rPr>
          <w:rFonts w:ascii="Times New Roman" w:hAnsi="Times New Roman"/>
          <w:b w:val="false"/>
          <w:i w:val="false"/>
          <w:color w:val="000000"/>
          <w:sz w:val="22"/>
        </w:rPr>
        <w:t>The fees for a dental hygiene license issued on the basis of credentials include an application fee, an initial licensure fee, and a fee for evaluation of a fingerprint packet and criminal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The application fee for a license to practice dental hygiene issued on the basis of credentials is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Initial licensure period and renewal period. </w:t>
      </w:r>
      <w:r>
        <w:rPr>
          <w:rFonts w:ascii="Times New Roman" w:hAnsi="Times New Roman"/>
          <w:b w:val="false"/>
          <w:i w:val="false"/>
          <w:color w:val="000000"/>
          <w:sz w:val="22"/>
        </w:rPr>
        <w:t>If an applicant applies within three months or less of a biennial renewal due date, the applicant shall pay the renewal fee along with the licensure application fee. A license shall not be issued for a period less than three months or longer than two years and three months. Thereafter, a licensee shall pay the renewal fee as specified in rule 650—15.5(153).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Fingerprint packet and criminal history check. </w:t>
      </w:r>
      <w:r>
        <w:rPr>
          <w:rFonts w:ascii="Times New Roman" w:hAnsi="Times New Roman"/>
          <w:b w:val="false"/>
          <w:i w:val="false"/>
          <w:color w:val="000000"/>
          <w:sz w:val="22"/>
        </w:rPr>
        <w:t>The fee for evaluation of a fingerprint packet and criminal background check is as specified in subrule 15.8(4).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15.4(7)</w:t>
      </w:r>
      <w:r>
        <w:rPr>
          <w:rFonts w:ascii="Times New Roman" w:hAnsi="Times New Roman"/>
          <w:b w:val="false"/>
          <w:i w:val="false"/>
          <w:color w:val="000000"/>
          <w:sz w:val="22"/>
        </w:rPr>
        <w:t> </w:t>
      </w:r>
      <w:r>
        <w:rPr>
          <w:rFonts w:ascii="Times New Roman" w:hAnsi="Times New Roman"/>
          <w:b w:val="false"/>
          <w:i/>
          <w:color w:val="000000"/>
          <w:sz w:val="22"/>
        </w:rPr>
        <w:t xml:space="preserve"> Reinstatement of a lapsed dental assistant registration. </w:t>
      </w:r>
      <w:r>
        <w:rPr>
          <w:rFonts w:ascii="Times New Roman" w:hAnsi="Times New Roman"/>
          <w:b w:val="false"/>
          <w:i w:val="false"/>
          <w:color w:val="000000"/>
          <w:sz w:val="22"/>
        </w:rPr>
        <w:t>The fee for a reinstatement application for a lapsed dental assistant registration is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15.4(8)</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 lapsed dental hygiene license. </w:t>
      </w:r>
      <w:r>
        <w:rPr>
          <w:rFonts w:ascii="Times New Roman" w:hAnsi="Times New Roman"/>
          <w:b w:val="false"/>
          <w:i w:val="false"/>
          <w:color w:val="000000"/>
          <w:sz w:val="22"/>
        </w:rPr>
        <w:t>The fee for a reinstatement application for a lapsed dental hygiene license is $100.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15.4(9)</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 lapsed dental license. </w:t>
      </w:r>
      <w:r>
        <w:rPr>
          <w:rFonts w:ascii="Times New Roman" w:hAnsi="Times New Roman"/>
          <w:b w:val="false"/>
          <w:i w:val="false"/>
          <w:color w:val="000000"/>
          <w:sz w:val="22"/>
        </w:rPr>
        <w:t>The fee for a reinstatement application for a lapsed dental license is $150.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15.4(10)</w:t>
      </w:r>
      <w:r>
        <w:rPr>
          <w:rFonts w:ascii="Times New Roman" w:hAnsi="Times New Roman"/>
          <w:b w:val="false"/>
          <w:i w:val="false"/>
          <w:color w:val="000000"/>
          <w:sz w:val="22"/>
        </w:rPr>
        <w:t> </w:t>
      </w:r>
      <w:r>
        <w:rPr>
          <w:rFonts w:ascii="Times New Roman" w:hAnsi="Times New Roman"/>
          <w:b w:val="false"/>
          <w:i/>
          <w:color w:val="000000"/>
          <w:sz w:val="22"/>
        </w:rPr>
        <w:t xml:space="preserve">General anesthesia permit application. </w:t>
      </w:r>
      <w:r>
        <w:rPr>
          <w:rFonts w:ascii="Times New Roman" w:hAnsi="Times New Roman"/>
          <w:b w:val="false"/>
          <w:i w:val="false"/>
          <w:color w:val="000000"/>
          <w:sz w:val="22"/>
        </w:rPr>
        <w:t>The application fee for a general anesthesia permit is $500.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15.4(11)</w:t>
      </w:r>
      <w:r>
        <w:rPr>
          <w:rFonts w:ascii="Times New Roman" w:hAnsi="Times New Roman"/>
          <w:b w:val="false"/>
          <w:i w:val="false"/>
          <w:color w:val="000000"/>
          <w:sz w:val="22"/>
        </w:rPr>
        <w:t> </w:t>
      </w:r>
      <w:r>
        <w:rPr>
          <w:rFonts w:ascii="Times New Roman" w:hAnsi="Times New Roman"/>
          <w:b w:val="false"/>
          <w:i/>
          <w:color w:val="000000"/>
          <w:sz w:val="22"/>
        </w:rPr>
        <w:t xml:space="preserve">Moderate sedation permit application. </w:t>
      </w:r>
      <w:r>
        <w:rPr>
          <w:rFonts w:ascii="Times New Roman" w:hAnsi="Times New Roman"/>
          <w:b w:val="false"/>
          <w:i w:val="false"/>
          <w:color w:val="000000"/>
          <w:sz w:val="22"/>
        </w:rPr>
        <w:t>The application fee for a moderate sedation permit is $500.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15.4(12)</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trainee application. </w:t>
      </w:r>
      <w:r>
        <w:rPr>
          <w:rFonts w:ascii="Times New Roman" w:hAnsi="Times New Roman"/>
          <w:b w:val="false"/>
          <w:i w:val="false"/>
          <w:color w:val="000000"/>
          <w:sz w:val="22"/>
        </w:rPr>
        <w:t>The fee for an application for registration as a dental assistant trainee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15.4(13)</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registration only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The application fee for dental assistant registration is $40.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Initial registration period and renewal period. </w:t>
      </w:r>
      <w:r>
        <w:rPr>
          <w:rFonts w:ascii="Times New Roman" w:hAnsi="Times New Roman"/>
          <w:b w:val="false"/>
          <w:i w:val="false"/>
          <w:color w:val="000000"/>
          <w:sz w:val="22"/>
        </w:rPr>
        <w:t>If an applicant applies within three months or less of a biennial renewal due date, the applicant shall pay the renewal fee along with the registration application fee. A dental assistant registration shall not be issued for a period less than three months or longer than two years and three months. Thereafter, a registrant shall pay the renewal fee as specified in rule 650—15.5(153).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15.4(14)</w:t>
      </w:r>
      <w:r>
        <w:rPr>
          <w:rFonts w:ascii="Times New Roman" w:hAnsi="Times New Roman"/>
          <w:b w:val="false"/>
          <w:i w:val="false"/>
          <w:color w:val="000000"/>
          <w:sz w:val="22"/>
        </w:rPr>
        <w:t> </w:t>
      </w:r>
      <w:r>
        <w:rPr>
          <w:rFonts w:ascii="Times New Roman" w:hAnsi="Times New Roman"/>
          <w:b w:val="false"/>
          <w:i/>
          <w:color w:val="000000"/>
          <w:sz w:val="22"/>
        </w:rPr>
        <w:t xml:space="preserve">Combined application—dental assistant registration and qualification in radiography.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The application fee for a combined application for both registration as a registered dental assistant and radiography qualification is $60.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Initial combined registration and radiography qualification period and renewal period. </w:t>
      </w:r>
      <w:r>
        <w:rPr>
          <w:rFonts w:ascii="Times New Roman" w:hAnsi="Times New Roman"/>
          <w:b w:val="false"/>
          <w:i w:val="false"/>
          <w:color w:val="000000"/>
          <w:sz w:val="22"/>
        </w:rPr>
        <w:t>If an applicant applies within three months or less of a biennial renewal due date, the applicant shall pay the renewal fee along with the combined registration/radiography qualification application fee. A dental assistant registration and radiography qualification shall not be issued for a period less than three months or longer than two years and three months. Thereafter, the applicant shall pay the renewal fee as specified in rule 650—15.5(153).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15.4(15)</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radiography qualification application fee. </w:t>
      </w:r>
      <w:r>
        <w:rPr>
          <w:rFonts w:ascii="Times New Roman" w:hAnsi="Times New Roman"/>
          <w:b w:val="false"/>
          <w:i w:val="false"/>
          <w:color w:val="000000"/>
          <w:sz w:val="22"/>
        </w:rPr>
        <w:t>The fee for an application for dental assistant radiography qualification is $40.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15.4(16)</w:t>
      </w:r>
      <w:r>
        <w:rPr>
          <w:rFonts w:ascii="Times New Roman" w:hAnsi="Times New Roman"/>
          <w:b w:val="false"/>
          <w:i w:val="false"/>
          <w:color w:val="000000"/>
          <w:sz w:val="22"/>
        </w:rPr>
        <w:t> </w:t>
      </w:r>
      <w:r>
        <w:rPr>
          <w:rFonts w:ascii="Times New Roman" w:hAnsi="Times New Roman"/>
          <w:b w:val="false"/>
          <w:i/>
          <w:color w:val="000000"/>
          <w:sz w:val="22"/>
        </w:rPr>
        <w:t xml:space="preserve">Temporary permit—urgent need or educational services. </w:t>
      </w:r>
      <w:r>
        <w:rPr>
          <w:rFonts w:ascii="Times New Roman" w:hAnsi="Times New Roman"/>
          <w:b w:val="false"/>
          <w:i w:val="false"/>
          <w:color w:val="000000"/>
          <w:sz w:val="22"/>
        </w:rPr>
        <w:t>The fee for an application for a temporary permit to serve an urgent need or provide educational services is $100 if an application is submitted online or $150 if submitted via paper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0618C</w:t>
      </w:r>
      <w:r>
        <w:rPr>
          <w:rFonts w:ascii="Times New Roman" w:hAnsi="Times New Roman"/>
          <w:b w:val="false"/>
          <w:i w:val="false"/>
          <w:color w:val="000000"/>
          <w:sz w:val="16"/>
        </w:rPr>
        <w:t>, IAB 3/6/13, effective 4/10/13</w:t>
      </w:r>
      <w:r>
        <w:rPr>
          <w:rFonts w:ascii="Times New Roman" w:hAnsi="Times New Roman"/>
          <w:b w:val="false"/>
          <w:i w:val="false"/>
          <w:color w:val="000000"/>
          <w:sz w:val="16"/>
        </w:rPr>
        <w:t xml:space="preserve">; </w:t>
      </w:r>
      <w:r>
        <w:rPr>
          <w:rFonts w:ascii="Times New Roman" w:hAnsi="Times New Roman"/>
          <w:b/>
          <w:i w:val="false"/>
          <w:color w:val="000000"/>
          <w:sz w:val="16"/>
        </w:rPr>
        <w:t>ARC 0984C</w:t>
      </w:r>
      <w:r>
        <w:rPr>
          <w:rFonts w:ascii="Times New Roman" w:hAnsi="Times New Roman"/>
          <w:b w:val="false"/>
          <w:i w:val="false"/>
          <w:color w:val="000000"/>
          <w:sz w:val="16"/>
        </w:rPr>
        <w:t>, IAB 9/4/13, effective 10/9/13</w:t>
      </w:r>
      <w:r>
        <w:rPr>
          <w:rFonts w:ascii="Times New Roman" w:hAnsi="Times New Roman"/>
          <w:b w:val="false"/>
          <w:i w:val="false"/>
          <w:color w:val="000000"/>
          <w:sz w:val="16"/>
        </w:rPr>
        <w:t xml:space="preserve">; </w:t>
      </w:r>
      <w:r>
        <w:rPr>
          <w:rFonts w:ascii="Times New Roman" w:hAnsi="Times New Roman"/>
          <w:b/>
          <w:i w:val="false"/>
          <w:color w:val="000000"/>
          <w:sz w:val="16"/>
        </w:rPr>
        <w:t>ARC 3490C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650—15.5</w:t>
      </w:r>
      <w:r>
        <w:rPr>
          <w:rFonts w:ascii="Times New Roman" w:hAnsi="Times New Roman"/>
          <w:b/>
          <w:i w:val="false"/>
          <w:color w:val="000000"/>
          <w:sz w:val="22"/>
        </w:rPr>
        <w:t xml:space="preserve">(153) </w:t>
      </w:r>
      <w:r>
        <w:rPr>
          <w:rFonts w:ascii="Times New Roman" w:hAnsi="Times New Roman"/>
          <w:b/>
          <w:i w:val="false"/>
          <w:color w:val="000000"/>
          <w:sz w:val="22"/>
        </w:rPr>
        <w:t xml:space="preserve">Renewal fees. </w:t>
      </w:r>
      <w:r>
        <w:rPr>
          <w:rFonts w:ascii="Times New Roman" w:hAnsi="Times New Roman"/>
          <w:b w:val="false"/>
          <w:i w:val="false"/>
          <w:color w:val="000000"/>
          <w:sz w:val="22"/>
        </w:rPr>
        <w:t>All fees are nonrefundable. Each two-year renewal period begins on September 1 and runs through August 31. Dental licenses, moderate sedation permits, and general anesthesia permits expire in even-numbered years. Dental hygiene licenses, local anesthesia permits, dental assistant registration and qualification in dental radiography expire in odd-numbered years. To avoid late fees, paper renewal applications must be postmarked on or received in the board office by August 31. To avoid late fees, online renewal applications must be time-stamped no later than 11:59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(CST) on August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Dental license renewal. </w:t>
      </w:r>
      <w:r>
        <w:rPr>
          <w:rFonts w:ascii="Times New Roman" w:hAnsi="Times New Roman"/>
          <w:b w:val="false"/>
          <w:i w:val="false"/>
          <w:color w:val="000000"/>
          <w:sz w:val="22"/>
        </w:rPr>
        <w:t>The fee for renewal of a license to practice dentistry for a biennial period is $315.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Dental hygiene license renewal. </w:t>
      </w:r>
      <w:r>
        <w:rPr>
          <w:rFonts w:ascii="Times New Roman" w:hAnsi="Times New Roman"/>
          <w:b w:val="false"/>
          <w:i w:val="false"/>
          <w:color w:val="000000"/>
          <w:sz w:val="22"/>
        </w:rPr>
        <w:t>The fee for renewal of a license to practice dental hygiene for a biennial period is $150.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General anesthesia permit renewal. </w:t>
      </w:r>
      <w:r>
        <w:rPr>
          <w:rFonts w:ascii="Times New Roman" w:hAnsi="Times New Roman"/>
          <w:b w:val="false"/>
          <w:i w:val="false"/>
          <w:color w:val="000000"/>
          <w:sz w:val="22"/>
        </w:rPr>
        <w:t>The fee for renewal of a general anesthesia permit is $125.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w:t>
      </w:r>
      <w:r>
        <w:rPr>
          <w:rFonts w:ascii="Times New Roman" w:hAnsi="Times New Roman"/>
          <w:b w:val="false"/>
          <w:i w:val="false"/>
          <w:color w:val="000000"/>
          <w:sz w:val="22"/>
        </w:rPr>
        <w:t> </w:t>
      </w:r>
      <w:r>
        <w:rPr>
          <w:rFonts w:ascii="Times New Roman" w:hAnsi="Times New Roman"/>
          <w:b w:val="false"/>
          <w:i/>
          <w:color w:val="000000"/>
          <w:sz w:val="22"/>
        </w:rPr>
        <w:t xml:space="preserve">Moderate sedation permit renewal. </w:t>
      </w:r>
      <w:r>
        <w:rPr>
          <w:rFonts w:ascii="Times New Roman" w:hAnsi="Times New Roman"/>
          <w:b w:val="false"/>
          <w:i w:val="false"/>
          <w:color w:val="000000"/>
          <w:sz w:val="22"/>
        </w:rPr>
        <w:t>The fee for renewal of a moderate sedation permit is $125.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w:t>
      </w:r>
      <w:r>
        <w:rPr>
          <w:rFonts w:ascii="Times New Roman" w:hAnsi="Times New Roman"/>
          <w:b w:val="false"/>
          <w:i w:val="false"/>
          <w:color w:val="000000"/>
          <w:sz w:val="22"/>
        </w:rPr>
        <w:t> </w:t>
      </w:r>
      <w:r>
        <w:rPr>
          <w:rFonts w:ascii="Times New Roman" w:hAnsi="Times New Roman"/>
          <w:b w:val="false"/>
          <w:i/>
          <w:color w:val="000000"/>
          <w:sz w:val="22"/>
        </w:rPr>
        <w:t xml:space="preserve">Local anesthesia permit renewal. </w:t>
      </w:r>
      <w:r>
        <w:rPr>
          <w:rFonts w:ascii="Times New Roman" w:hAnsi="Times New Roman"/>
          <w:b w:val="false"/>
          <w:i w:val="false"/>
          <w:color w:val="000000"/>
          <w:sz w:val="22"/>
        </w:rPr>
        <w:t>The fee for renewal of a permit to authorize a dental hygienist to administer local anesthesia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registration renewal. </w:t>
      </w:r>
      <w:r>
        <w:rPr>
          <w:rFonts w:ascii="Times New Roman" w:hAnsi="Times New Roman"/>
          <w:b w:val="false"/>
          <w:i w:val="false"/>
          <w:color w:val="000000"/>
          <w:sz w:val="22"/>
        </w:rPr>
        <w:t>The fee for renewal of registration as a registered dental assistant is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15.5(7)</w:t>
      </w:r>
      <w:r>
        <w:rPr>
          <w:rFonts w:ascii="Times New Roman" w:hAnsi="Times New Roman"/>
          <w:b w:val="false"/>
          <w:i w:val="false"/>
          <w:color w:val="000000"/>
          <w:sz w:val="22"/>
        </w:rPr>
        <w:t> </w:t>
      </w:r>
      <w:r>
        <w:rPr>
          <w:rFonts w:ascii="Times New Roman" w:hAnsi="Times New Roman"/>
          <w:b w:val="false"/>
          <w:i/>
          <w:color w:val="000000"/>
          <w:sz w:val="22"/>
        </w:rPr>
        <w:t xml:space="preserve">Combined renewal application—dental assistant registration and qualification in radiography. </w:t>
      </w:r>
      <w:r>
        <w:rPr>
          <w:rFonts w:ascii="Times New Roman" w:hAnsi="Times New Roman"/>
          <w:b w:val="false"/>
          <w:i w:val="false"/>
          <w:color w:val="000000"/>
          <w:sz w:val="22"/>
        </w:rPr>
        <w:t>The fee for a combined application to renew both a registration as a registered dental assistant and a radiography qualification is $115.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15.5(8)</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qualification in radiography renewal. </w:t>
      </w:r>
      <w:r>
        <w:rPr>
          <w:rFonts w:ascii="Times New Roman" w:hAnsi="Times New Roman"/>
          <w:b w:val="false"/>
          <w:i w:val="false"/>
          <w:color w:val="000000"/>
          <w:sz w:val="22"/>
        </w:rPr>
        <w:t>The fee for renewal of a certificate of qualification in dental radiography is $40.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15.5(9)</w:t>
      </w:r>
      <w:r>
        <w:rPr>
          <w:rFonts w:ascii="Times New Roman" w:hAnsi="Times New Roman"/>
          <w:b w:val="false"/>
          <w:i w:val="false"/>
          <w:color w:val="000000"/>
          <w:sz w:val="22"/>
        </w:rPr>
        <w:t> </w:t>
      </w:r>
      <w:r>
        <w:rPr>
          <w:rFonts w:ascii="Times New Roman" w:hAnsi="Times New Roman"/>
          <w:b w:val="false"/>
          <w:i/>
          <w:color w:val="000000"/>
          <w:sz w:val="22"/>
        </w:rPr>
        <w:t xml:space="preserve">Faculty permit renewal. </w:t>
      </w:r>
      <w:r>
        <w:rPr>
          <w:rFonts w:ascii="Times New Roman" w:hAnsi="Times New Roman"/>
          <w:b w:val="false"/>
          <w:i w:val="false"/>
          <w:color w:val="000000"/>
          <w:sz w:val="22"/>
        </w:rPr>
        <w:t>The fee for renewal of a faculty permit is $315.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15.5(10)</w:t>
      </w:r>
      <w:r>
        <w:rPr>
          <w:rFonts w:ascii="Times New Roman" w:hAnsi="Times New Roman"/>
          <w:b w:val="false"/>
          <w:i w:val="false"/>
          <w:color w:val="000000"/>
          <w:sz w:val="22"/>
        </w:rPr>
        <w:t> </w:t>
      </w:r>
      <w:r>
        <w:rPr>
          <w:rFonts w:ascii="Times New Roman" w:hAnsi="Times New Roman"/>
          <w:b w:val="false"/>
          <w:i/>
          <w:color w:val="000000"/>
          <w:sz w:val="22"/>
        </w:rPr>
        <w:t xml:space="preserve">Resident license renewal. </w:t>
      </w:r>
      <w:r>
        <w:rPr>
          <w:rFonts w:ascii="Times New Roman" w:hAnsi="Times New Roman"/>
          <w:b w:val="false"/>
          <w:i w:val="false"/>
          <w:color w:val="000000"/>
          <w:sz w:val="22"/>
        </w:rPr>
        <w:t>The fee for renewal or extension of a resident license is $40.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650—15.6</w:t>
      </w:r>
      <w:r>
        <w:rPr>
          <w:rFonts w:ascii="Times New Roman" w:hAnsi="Times New Roman"/>
          <w:b/>
          <w:i w:val="false"/>
          <w:color w:val="000000"/>
          <w:sz w:val="22"/>
        </w:rPr>
        <w:t xml:space="preserve">(153) </w:t>
      </w:r>
      <w:r>
        <w:rPr>
          <w:rFonts w:ascii="Times New Roman" w:hAnsi="Times New Roman"/>
          <w:b/>
          <w:i w:val="false"/>
          <w:color w:val="000000"/>
          <w:sz w:val="22"/>
        </w:rPr>
        <w:t xml:space="preserve">Late renewal fees. </w:t>
      </w:r>
      <w:r>
        <w:rPr>
          <w:rFonts w:ascii="Times New Roman" w:hAnsi="Times New Roman"/>
          <w:b w:val="false"/>
          <w:i w:val="false"/>
          <w:color w:val="000000"/>
          <w:sz w:val="22"/>
        </w:rPr>
        <w:t>All fees are nonrefundable. A licensee, registrant or permit holder who fails to renew a license, registration or permit following expiration is subject to late renewal fees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a license, registration or permit prior to September 1. </w:t>
      </w:r>
      <w:r>
        <w:rPr>
          <w:rFonts w:ascii="Times New Roman" w:hAnsi="Times New Roman"/>
          <w:b w:val="false"/>
          <w:i w:val="false"/>
          <w:color w:val="000000"/>
          <w:sz w:val="22"/>
        </w:rPr>
        <w:t>Failure by a licensee, registrant or permit holder to renew the license, registration or permit prior to September 1 following expiration shall result in the following late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Dental license or permit. </w:t>
      </w:r>
      <w:r>
        <w:rPr>
          <w:rFonts w:ascii="Times New Roman" w:hAnsi="Times New Roman"/>
          <w:b w:val="false"/>
          <w:i w:val="false"/>
          <w:color w:val="000000"/>
          <w:sz w:val="22"/>
        </w:rPr>
        <w:t>A late fee of $100 shall be assessed,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Dental hygiene license. </w:t>
      </w:r>
      <w:r>
        <w:rPr>
          <w:rFonts w:ascii="Times New Roman" w:hAnsi="Times New Roman"/>
          <w:b w:val="false"/>
          <w:i w:val="false"/>
          <w:color w:val="000000"/>
          <w:sz w:val="22"/>
        </w:rPr>
        <w:t>A late fee of $100 shall be assessed,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registration. </w:t>
      </w:r>
      <w:r>
        <w:rPr>
          <w:rFonts w:ascii="Times New Roman" w:hAnsi="Times New Roman"/>
          <w:b w:val="false"/>
          <w:i w:val="false"/>
          <w:color w:val="000000"/>
          <w:sz w:val="22"/>
        </w:rPr>
        <w:t>A late fee of $20 shall be assessed,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a license, registration or permit prior to October 1. </w:t>
      </w:r>
      <w:r>
        <w:rPr>
          <w:rFonts w:ascii="Times New Roman" w:hAnsi="Times New Roman"/>
          <w:b w:val="false"/>
          <w:i w:val="false"/>
          <w:color w:val="000000"/>
          <w:sz w:val="22"/>
        </w:rPr>
        <w:t>Failure by a licensee, registrant or permit holder to renew the license, registration or permit prior to October 1 following expiration shall result in the following late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Dental license or permit. </w:t>
      </w:r>
      <w:r>
        <w:rPr>
          <w:rFonts w:ascii="Times New Roman" w:hAnsi="Times New Roman"/>
          <w:b w:val="false"/>
          <w:i w:val="false"/>
          <w:color w:val="000000"/>
          <w:sz w:val="22"/>
        </w:rPr>
        <w:t>A late fee of $150 shall be assessed,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Dental hygiene license. </w:t>
      </w:r>
      <w:r>
        <w:rPr>
          <w:rFonts w:ascii="Times New Roman" w:hAnsi="Times New Roman"/>
          <w:b w:val="false"/>
          <w:i w:val="false"/>
          <w:color w:val="000000"/>
          <w:sz w:val="22"/>
        </w:rPr>
        <w:t>A late fee of $150 shall be assessed,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registration. </w:t>
      </w:r>
      <w:r>
        <w:rPr>
          <w:rFonts w:ascii="Times New Roman" w:hAnsi="Times New Roman"/>
          <w:b w:val="false"/>
          <w:i w:val="false"/>
          <w:color w:val="000000"/>
          <w:sz w:val="22"/>
        </w:rPr>
        <w:t>A late fee of $40 shall be assessed,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a license, registration or permit prior to November 1. </w:t>
      </w:r>
      <w:r>
        <w:rPr>
          <w:rFonts w:ascii="Times New Roman" w:hAnsi="Times New Roman"/>
          <w:b w:val="false"/>
          <w:i w:val="false"/>
          <w:color w:val="000000"/>
          <w:sz w:val="22"/>
        </w:rPr>
        <w:t>Failure by a licensee, registrant or permit holder to renew a license, registration or permit prior to November 1 following expiration shall cause the license, registration or permit to lapse and become invalid. A licensee, registrant or permit holder whose license, registration or permit has lapsed and become invalid is prohibited from the practice of dentistry, dental hygiene, or dental assisting until the license, registration or permit is reinstated.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650—15.7</w:t>
      </w:r>
      <w:r>
        <w:rPr>
          <w:rFonts w:ascii="Times New Roman" w:hAnsi="Times New Roman"/>
          <w:b/>
          <w:i w:val="false"/>
          <w:color w:val="000000"/>
          <w:sz w:val="22"/>
        </w:rPr>
        <w:t xml:space="preserve">(147,153) </w:t>
      </w:r>
      <w:r>
        <w:rPr>
          <w:rFonts w:ascii="Times New Roman" w:hAnsi="Times New Roman"/>
          <w:b/>
          <w:i w:val="false"/>
          <w:color w:val="000000"/>
          <w:sz w:val="22"/>
        </w:rPr>
        <w:t xml:space="preserve">Reinstatement fees. </w:t>
      </w:r>
      <w:r>
        <w:rPr>
          <w:rFonts w:ascii="Times New Roman" w:hAnsi="Times New Roman"/>
          <w:b w:val="false"/>
          <w:i w:val="false"/>
          <w:color w:val="000000"/>
          <w:sz w:val="22"/>
        </w:rPr>
        <w:t>If a license, registration or permit lapses, a licensee, registrant or permit holder may submit an application for reinstatement. Licensees, registrants or permit holders are subject to reinstatement fees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15.7(1)</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 dental license. </w:t>
      </w:r>
      <w:r>
        <w:rPr>
          <w:rFonts w:ascii="Times New Roman" w:hAnsi="Times New Roman"/>
          <w:b w:val="false"/>
          <w:i w:val="false"/>
          <w:color w:val="000000"/>
          <w:sz w:val="22"/>
        </w:rPr>
        <w:t xml:space="preserve">In addition to the reinstatement application fee specified in </w:t>
      </w:r>
      <w:hyperlink r:id="rId6">
        <w:r>
          <w:rPr>
            <w:rStyle w:val="Hyperlink"/>
            <w:rFonts w:ascii="Times New Roman" w:hAnsi="Times New Roman"/>
            <w:b w:val="false"/>
            <w:i w:val="false"/>
            <w:color w:val="000000"/>
            <w:sz w:val="22"/>
          </w:rPr>
          <w:t>subrule 15.4(9)</w:t>
        </w:r>
      </w:hyperlink>
      <w:r>
        <w:rPr>
          <w:rFonts w:ascii="Times New Roman" w:hAnsi="Times New Roman"/>
          <w:b w:val="false"/>
          <w:i w:val="false"/>
          <w:color w:val="000000"/>
          <w:sz w:val="22"/>
        </w:rPr>
        <w:t xml:space="preserve">, the applicant must pay a renewal fee as specified in </w:t>
      </w:r>
      <w:hyperlink r:id="rId7">
        <w:r>
          <w:rPr>
            <w:rStyle w:val="Hyperlink"/>
            <w:rFonts w:ascii="Times New Roman" w:hAnsi="Times New Roman"/>
            <w:b w:val="false"/>
            <w:i w:val="false"/>
            <w:color w:val="000000"/>
            <w:sz w:val="22"/>
          </w:rPr>
          <w:t>subrule 15.5(1)</w:t>
        </w:r>
      </w:hyperlink>
      <w:r>
        <w:rPr>
          <w:rFonts w:ascii="Times New Roman" w:hAnsi="Times New Roman"/>
          <w:b w:val="false"/>
          <w:i w:val="false"/>
          <w:color w:val="000000"/>
          <w:sz w:val="22"/>
        </w:rPr>
        <w:t xml:space="preserve"> and the fee for evaluation of a fingerprint packet and criminal background check as specified in </w:t>
      </w:r>
      <w:hyperlink r:id="rId8">
        <w:r>
          <w:rPr>
            <w:rStyle w:val="Hyperlink"/>
            <w:rFonts w:ascii="Times New Roman" w:hAnsi="Times New Roman"/>
            <w:b w:val="false"/>
            <w:i w:val="false"/>
            <w:color w:val="000000"/>
            <w:sz w:val="22"/>
          </w:rPr>
          <w:t>subrule 15.8(4)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 dental hygiene license. </w:t>
      </w:r>
      <w:r>
        <w:rPr>
          <w:rFonts w:ascii="Times New Roman" w:hAnsi="Times New Roman"/>
          <w:b w:val="false"/>
          <w:i w:val="false"/>
          <w:color w:val="000000"/>
          <w:sz w:val="22"/>
        </w:rPr>
        <w:t xml:space="preserve">In addition to the reinstatement application fee specified in </w:t>
      </w:r>
      <w:hyperlink r:id="rId9">
        <w:r>
          <w:rPr>
            <w:rStyle w:val="Hyperlink"/>
            <w:rFonts w:ascii="Times New Roman" w:hAnsi="Times New Roman"/>
            <w:b w:val="false"/>
            <w:i w:val="false"/>
            <w:color w:val="000000"/>
            <w:sz w:val="22"/>
          </w:rPr>
          <w:t>subrule 15.4(8)</w:t>
        </w:r>
      </w:hyperlink>
      <w:r>
        <w:rPr>
          <w:rFonts w:ascii="Times New Roman" w:hAnsi="Times New Roman"/>
          <w:b w:val="false"/>
          <w:i w:val="false"/>
          <w:color w:val="000000"/>
          <w:sz w:val="22"/>
        </w:rPr>
        <w:t xml:space="preserve">, the applicant must pay a renewal fee as specified in </w:t>
      </w:r>
      <w:hyperlink r:id="rId10">
        <w:r>
          <w:rPr>
            <w:rStyle w:val="Hyperlink"/>
            <w:rFonts w:ascii="Times New Roman" w:hAnsi="Times New Roman"/>
            <w:b w:val="false"/>
            <w:i w:val="false"/>
            <w:color w:val="000000"/>
            <w:sz w:val="22"/>
          </w:rPr>
          <w:t>subrule 15.5(2)</w:t>
        </w:r>
      </w:hyperlink>
      <w:r>
        <w:rPr>
          <w:rFonts w:ascii="Times New Roman" w:hAnsi="Times New Roman"/>
          <w:b w:val="false"/>
          <w:i w:val="false"/>
          <w:color w:val="000000"/>
          <w:sz w:val="22"/>
        </w:rPr>
        <w:t xml:space="preserve"> and the fee for evaluation of a fingerprint packet and criminal background check as specified in </w:t>
      </w:r>
      <w:hyperlink r:id="rId11">
        <w:r>
          <w:rPr>
            <w:rStyle w:val="Hyperlink"/>
            <w:rFonts w:ascii="Times New Roman" w:hAnsi="Times New Roman"/>
            <w:b w:val="false"/>
            <w:i w:val="false"/>
            <w:color w:val="000000"/>
            <w:sz w:val="22"/>
          </w:rPr>
          <w:t>subrule 15.8(4)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 dental assistant registration. </w:t>
      </w:r>
      <w:r>
        <w:rPr>
          <w:rFonts w:ascii="Times New Roman" w:hAnsi="Times New Roman"/>
          <w:b w:val="false"/>
          <w:i w:val="false"/>
          <w:color w:val="000000"/>
          <w:sz w:val="22"/>
        </w:rPr>
        <w:t xml:space="preserve">In addition to the reinstatement application fee specified in </w:t>
      </w:r>
      <w:hyperlink r:id="rId12">
        <w:r>
          <w:rPr>
            <w:rStyle w:val="Hyperlink"/>
            <w:rFonts w:ascii="Times New Roman" w:hAnsi="Times New Roman"/>
            <w:b w:val="false"/>
            <w:i w:val="false"/>
            <w:color w:val="000000"/>
            <w:sz w:val="22"/>
          </w:rPr>
          <w:t>subrule 15.4(7)</w:t>
        </w:r>
      </w:hyperlink>
      <w:r>
        <w:rPr>
          <w:rFonts w:ascii="Times New Roman" w:hAnsi="Times New Roman"/>
          <w:b w:val="false"/>
          <w:i w:val="false"/>
          <w:color w:val="000000"/>
          <w:sz w:val="22"/>
        </w:rPr>
        <w:t xml:space="preserve">, the applicant must pay a renewal fee as specified in </w:t>
      </w:r>
      <w:hyperlink r:id="rId13">
        <w:r>
          <w:rPr>
            <w:rStyle w:val="Hyperlink"/>
            <w:rFonts w:ascii="Times New Roman" w:hAnsi="Times New Roman"/>
            <w:b w:val="false"/>
            <w:i w:val="false"/>
            <w:color w:val="000000"/>
            <w:sz w:val="22"/>
          </w:rPr>
          <w:t>subrule 15.5(6)</w:t>
        </w:r>
      </w:hyperlink>
      <w:r>
        <w:rPr>
          <w:rFonts w:ascii="Times New Roman" w:hAnsi="Times New Roman"/>
          <w:b w:val="false"/>
          <w:i w:val="false"/>
          <w:color w:val="000000"/>
          <w:sz w:val="22"/>
        </w:rPr>
        <w:t xml:space="preserve"> to reinstate a registration as a registered dental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15.7(4)</w:t>
      </w:r>
      <w:r>
        <w:rPr>
          <w:rFonts w:ascii="Times New Roman" w:hAnsi="Times New Roman"/>
          <w:b w:val="false"/>
          <w:i w:val="false"/>
          <w:color w:val="000000"/>
          <w:sz w:val="22"/>
        </w:rPr>
        <w:t> </w:t>
      </w:r>
      <w:r>
        <w:rPr>
          <w:rFonts w:ascii="Times New Roman" w:hAnsi="Times New Roman"/>
          <w:b w:val="false"/>
          <w:i/>
          <w:color w:val="000000"/>
          <w:sz w:val="22"/>
        </w:rPr>
        <w:t xml:space="preserve">Combined reinstatement application—dental assistant registration and qualification in radiography. </w:t>
      </w:r>
      <w:r>
        <w:rPr>
          <w:rFonts w:ascii="Times New Roman" w:hAnsi="Times New Roman"/>
          <w:b w:val="false"/>
          <w:i w:val="false"/>
          <w:color w:val="000000"/>
          <w:sz w:val="22"/>
        </w:rPr>
        <w:t xml:space="preserve">In addition to the reinstatement application fee specified in </w:t>
      </w:r>
      <w:hyperlink r:id="rId14">
        <w:r>
          <w:rPr>
            <w:rStyle w:val="Hyperlink"/>
            <w:rFonts w:ascii="Times New Roman" w:hAnsi="Times New Roman"/>
            <w:b w:val="false"/>
            <w:i w:val="false"/>
            <w:color w:val="000000"/>
            <w:sz w:val="22"/>
          </w:rPr>
          <w:t>subrule 15.4(7)</w:t>
        </w:r>
      </w:hyperlink>
      <w:r>
        <w:rPr>
          <w:rFonts w:ascii="Times New Roman" w:hAnsi="Times New Roman"/>
          <w:b w:val="false"/>
          <w:i w:val="false"/>
          <w:color w:val="000000"/>
          <w:sz w:val="22"/>
        </w:rPr>
        <w:t xml:space="preserve">, the applicant must pay a renewal fee as specified in </w:t>
      </w:r>
      <w:hyperlink r:id="rId15">
        <w:r>
          <w:rPr>
            <w:rStyle w:val="Hyperlink"/>
            <w:rFonts w:ascii="Times New Roman" w:hAnsi="Times New Roman"/>
            <w:b w:val="false"/>
            <w:i w:val="false"/>
            <w:color w:val="000000"/>
            <w:sz w:val="22"/>
          </w:rPr>
          <w:t>subrule 15.5(7)</w:t>
        </w:r>
      </w:hyperlink>
      <w:r>
        <w:rPr>
          <w:rFonts w:ascii="Times New Roman" w:hAnsi="Times New Roman"/>
          <w:b w:val="false"/>
          <w:i w:val="false"/>
          <w:color w:val="000000"/>
          <w:sz w:val="22"/>
        </w:rPr>
        <w:t xml:space="preserve"> for a combined application to reinstate both a registration as a registered dental assistant and a radiography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15.7(5)</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qualification in radiography. </w:t>
      </w:r>
      <w:r>
        <w:rPr>
          <w:rFonts w:ascii="Times New Roman" w:hAnsi="Times New Roman"/>
          <w:b w:val="false"/>
          <w:i w:val="false"/>
          <w:color w:val="000000"/>
          <w:sz w:val="22"/>
        </w:rPr>
        <w:t xml:space="preserve">In addition to the reinstatement application fee of $40, the applicant must pay a renewal fee as specified in </w:t>
      </w:r>
      <w:hyperlink r:id="rId16">
        <w:r>
          <w:rPr>
            <w:rStyle w:val="Hyperlink"/>
            <w:rFonts w:ascii="Times New Roman" w:hAnsi="Times New Roman"/>
            <w:b w:val="false"/>
            <w:i w:val="false"/>
            <w:color w:val="000000"/>
            <w:sz w:val="22"/>
          </w:rPr>
          <w:t>subrule 15.5(8)</w:t>
        </w:r>
      </w:hyperlink>
      <w:r>
        <w:rPr>
          <w:rFonts w:ascii="Times New Roman" w:hAnsi="Times New Roman"/>
          <w:b w:val="false"/>
          <w:i w:val="false"/>
          <w:color w:val="000000"/>
          <w:sz w:val="22"/>
        </w:rPr>
        <w:t xml:space="preserve"> to reinstate a qualification in dental radiography without registration as a dental assistant.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3490C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650—15.8</w:t>
      </w:r>
      <w:r>
        <w:rPr>
          <w:rFonts w:ascii="Times New Roman" w:hAnsi="Times New Roman"/>
          <w:b/>
          <w:i w:val="false"/>
          <w:color w:val="000000"/>
          <w:sz w:val="22"/>
        </w:rPr>
        <w:t xml:space="preserve">(153) </w:t>
      </w:r>
      <w:r>
        <w:rPr>
          <w:rFonts w:ascii="Times New Roman" w:hAnsi="Times New Roman"/>
          <w:b/>
          <w:i w:val="false"/>
          <w:color w:val="000000"/>
          <w:sz w:val="22"/>
        </w:rPr>
        <w:t xml:space="preserve">Miscellaneous fees. </w:t>
      </w:r>
      <w:r>
        <w:rPr>
          <w:rFonts w:ascii="Times New Roman" w:hAnsi="Times New Roman"/>
          <w:b w:val="false"/>
          <w:i w:val="false"/>
          <w:color w:val="000000"/>
          <w:sz w:val="22"/>
        </w:rPr>
        <w:t xml:space="preserve">Payments made to the Iowa Dental Board, which shall be considered a repayment receipt as defined in Iowa Code section </w:t>
      </w:r>
      <w:hyperlink r:id="rId17">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shall be received in the board office prior to release of the requested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w:t>
      </w:r>
      <w:r>
        <w:rPr>
          <w:rFonts w:ascii="Times New Roman" w:hAnsi="Times New Roman"/>
          <w:b w:val="false"/>
          <w:i w:val="false"/>
          <w:color w:val="000000"/>
          <w:sz w:val="22"/>
        </w:rPr>
        <w:t> </w:t>
      </w:r>
      <w:r>
        <w:rPr>
          <w:rFonts w:ascii="Times New Roman" w:hAnsi="Times New Roman"/>
          <w:b w:val="false"/>
          <w:i/>
          <w:color w:val="000000"/>
          <w:sz w:val="22"/>
        </w:rPr>
        <w:t xml:space="preserve">Duplicates. </w:t>
      </w:r>
      <w:r>
        <w:rPr>
          <w:rFonts w:ascii="Times New Roman" w:hAnsi="Times New Roman"/>
          <w:b w:val="false"/>
          <w:i w:val="false"/>
          <w:color w:val="000000"/>
          <w:sz w:val="22"/>
        </w:rPr>
        <w:t>The fee for issuance of a hard-copy duplicate license, permit or registration certificate or current renewal is $25. Electronic copies are provided at no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15.8(2)</w:t>
      </w:r>
      <w:r>
        <w:rPr>
          <w:rFonts w:ascii="Times New Roman" w:hAnsi="Times New Roman"/>
          <w:b w:val="false"/>
          <w:i w:val="false"/>
          <w:color w:val="000000"/>
          <w:sz w:val="22"/>
        </w:rPr>
        <w:t> </w:t>
      </w:r>
      <w:r>
        <w:rPr>
          <w:rFonts w:ascii="Times New Roman" w:hAnsi="Times New Roman"/>
          <w:b w:val="false"/>
          <w:i/>
          <w:color w:val="000000"/>
          <w:sz w:val="22"/>
        </w:rPr>
        <w:t xml:space="preserve">Certification or verification. </w:t>
      </w:r>
      <w:r>
        <w:rPr>
          <w:rFonts w:ascii="Times New Roman" w:hAnsi="Times New Roman"/>
          <w:b w:val="false"/>
          <w:i w:val="false"/>
          <w:color w:val="000000"/>
          <w:sz w:val="22"/>
        </w:rPr>
        <w:t>The fee for a written certification or written verification of an Iowa license, permit or registration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w:t>
      </w:r>
      <w:r>
        <w:rPr>
          <w:rFonts w:ascii="Times New Roman" w:hAnsi="Times New Roman"/>
          <w:b w:val="false"/>
          <w:i w:val="false"/>
          <w:color w:val="000000"/>
          <w:sz w:val="22"/>
        </w:rPr>
        <w:t> </w:t>
      </w:r>
      <w:r>
        <w:rPr>
          <w:rFonts w:ascii="Times New Roman" w:hAnsi="Times New Roman"/>
          <w:b w:val="false"/>
          <w:i/>
          <w:color w:val="000000"/>
          <w:sz w:val="22"/>
        </w:rPr>
        <w:t xml:space="preserve">Trainee manual. </w:t>
      </w:r>
      <w:r>
        <w:rPr>
          <w:rFonts w:ascii="Times New Roman" w:hAnsi="Times New Roman"/>
          <w:b w:val="false"/>
          <w:i w:val="false"/>
          <w:color w:val="000000"/>
          <w:sz w:val="22"/>
        </w:rPr>
        <w:t>The fee for the dental assistant trainee manual is $70.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w:t>
      </w:r>
      <w:r>
        <w:rPr>
          <w:rFonts w:ascii="Times New Roman" w:hAnsi="Times New Roman"/>
          <w:b w:val="false"/>
          <w:i w:val="false"/>
          <w:color w:val="000000"/>
          <w:sz w:val="22"/>
        </w:rPr>
        <w:t> </w:t>
      </w:r>
      <w:r>
        <w:rPr>
          <w:rFonts w:ascii="Times New Roman" w:hAnsi="Times New Roman"/>
          <w:b w:val="false"/>
          <w:i/>
          <w:color w:val="000000"/>
          <w:sz w:val="22"/>
        </w:rPr>
        <w:t xml:space="preserve">Fingerprint packet and criminal history background check. </w:t>
      </w:r>
      <w:r>
        <w:rPr>
          <w:rFonts w:ascii="Times New Roman" w:hAnsi="Times New Roman"/>
          <w:b w:val="false"/>
          <w:i w:val="false"/>
          <w:color w:val="000000"/>
          <w:sz w:val="22"/>
        </w:rPr>
        <w:t>The fee for evaluation of a fingerprint packet and the criminal history background checks is $46.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15.8(5)</w:t>
      </w:r>
      <w:r>
        <w:rPr>
          <w:rFonts w:ascii="Times New Roman" w:hAnsi="Times New Roman"/>
          <w:b w:val="false"/>
          <w:i w:val="false"/>
          <w:color w:val="000000"/>
          <w:sz w:val="22"/>
        </w:rPr>
        <w:t> </w:t>
      </w:r>
      <w:r>
        <w:rPr>
          <w:rFonts w:ascii="Times New Roman" w:hAnsi="Times New Roman"/>
          <w:b w:val="false"/>
          <w:i/>
          <w:color w:val="000000"/>
          <w:sz w:val="22"/>
        </w:rPr>
        <w:t xml:space="preserve">IPRC monitoring. </w:t>
      </w:r>
      <w:r>
        <w:rPr>
          <w:rFonts w:ascii="Times New Roman" w:hAnsi="Times New Roman"/>
          <w:b w:val="false"/>
          <w:i w:val="false"/>
          <w:color w:val="000000"/>
          <w:sz w:val="22"/>
        </w:rPr>
        <w:t xml:space="preserve">The fee for monitoring for compliance with an IPRC agreement is $100 per quarter, unless otherwise stated in the Iowa practitioner program contract entered into pursuant to </w:t>
      </w:r>
      <w:hyperlink r:id="rId18">
        <w:r>
          <w:rPr>
            <w:rStyle w:val="Hyperlink"/>
            <w:rFonts w:ascii="Times New Roman" w:hAnsi="Times New Roman"/>
            <w:b w:val="false"/>
            <w:i w:val="false"/>
            <w:color w:val="000000"/>
            <w:sz w:val="22"/>
          </w:rPr>
          <w:t>650—Chapter 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w:t>
      </w:r>
      <w:r>
        <w:rPr>
          <w:rFonts w:ascii="Times New Roman" w:hAnsi="Times New Roman"/>
          <w:b w:val="false"/>
          <w:i w:val="false"/>
          <w:color w:val="000000"/>
          <w:sz w:val="22"/>
        </w:rPr>
        <w:t> </w:t>
      </w:r>
      <w:r>
        <w:rPr>
          <w:rFonts w:ascii="Times New Roman" w:hAnsi="Times New Roman"/>
          <w:b w:val="false"/>
          <w:i/>
          <w:color w:val="000000"/>
          <w:sz w:val="22"/>
        </w:rPr>
        <w:t xml:space="preserve">Monitoring for compliance with settlement agreements. </w:t>
      </w:r>
      <w:r>
        <w:rPr>
          <w:rFonts w:ascii="Times New Roman" w:hAnsi="Times New Roman"/>
          <w:b w:val="false"/>
          <w:i w:val="false"/>
          <w:color w:val="000000"/>
          <w:sz w:val="22"/>
        </w:rPr>
        <w:t xml:space="preserve">The fee for monitoring a licensee’s, registrant’s or permit holder’s compliance with a settlement agreement entered into pursuant to </w:t>
      </w:r>
      <w:hyperlink r:id="rId19">
        <w:r>
          <w:rPr>
            <w:rStyle w:val="Hyperlink"/>
            <w:rFonts w:ascii="Times New Roman" w:hAnsi="Times New Roman"/>
            <w:b w:val="false"/>
            <w:i w:val="false"/>
            <w:color w:val="000000"/>
            <w:sz w:val="22"/>
          </w:rPr>
          <w:t>650—subrule 51.19(9)</w:t>
        </w:r>
      </w:hyperlink>
      <w:r>
        <w:rPr>
          <w:rFonts w:ascii="Times New Roman" w:hAnsi="Times New Roman"/>
          <w:b w:val="false"/>
          <w:i w:val="false"/>
          <w:color w:val="000000"/>
          <w:sz w:val="22"/>
        </w:rPr>
        <w:t xml:space="preserve"> is $300 per quarter, unless otherwise stated in the settlement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15.8(7)</w:t>
      </w:r>
      <w:r>
        <w:rPr>
          <w:rFonts w:ascii="Times New Roman" w:hAnsi="Times New Roman"/>
          <w:b w:val="false"/>
          <w:i w:val="false"/>
          <w:color w:val="000000"/>
          <w:sz w:val="22"/>
        </w:rPr>
        <w:t> </w:t>
      </w:r>
      <w:r>
        <w:rPr>
          <w:rFonts w:ascii="Times New Roman" w:hAnsi="Times New Roman"/>
          <w:b w:val="false"/>
          <w:i/>
          <w:color w:val="000000"/>
          <w:sz w:val="22"/>
        </w:rPr>
        <w:t xml:space="preserve">Disciplinary hearings—fees and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 As used in this subrule in relation to fees related to a formal disciplinary action filed by the board against a licensee, registrant or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“Deposition” </w:t>
      </w:r>
      <w:r>
        <w:rPr>
          <w:rFonts w:ascii="Times New Roman" w:hAnsi="Times New Roman"/>
          <w:b w:val="false"/>
          <w:i w:val="false"/>
          <w:color w:val="000000"/>
          <w:sz w:val="22"/>
        </w:rPr>
        <w:t>means the testimony of a person pursuant to subpoena or at the request of the state of Iowa taken in a setting other than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“Expenses” </w:t>
      </w:r>
      <w:r>
        <w:rPr>
          <w:rFonts w:ascii="Times New Roman" w:hAnsi="Times New Roman"/>
          <w:b w:val="false"/>
          <w:i w:val="false"/>
          <w:color w:val="000000"/>
          <w:sz w:val="22"/>
        </w:rPr>
        <w:t xml:space="preserve">means costs incurred by persons appearing pursuant to subpoena or at the request of the state of Iowa for purposes of providing testimony on the part of the state of Iowa in a hearing or other official proceeding and shall include mileage reimbursement at the rate specified in Iowa Code section </w:t>
      </w:r>
      <w:hyperlink r:id="rId20">
        <w:r>
          <w:rPr>
            <w:rStyle w:val="Hyperlink"/>
            <w:rFonts w:ascii="Times New Roman" w:hAnsi="Times New Roman"/>
            <w:b w:val="false"/>
            <w:i w:val="false"/>
            <w:color w:val="000000"/>
            <w:sz w:val="22"/>
          </w:rPr>
          <w:t>70A.9</w:t>
        </w:r>
      </w:hyperlink>
      <w:r>
        <w:rPr>
          <w:rFonts w:ascii="Times New Roman" w:hAnsi="Times New Roman"/>
          <w:b w:val="false"/>
          <w:i w:val="false"/>
          <w:color w:val="000000"/>
          <w:sz w:val="22"/>
        </w:rPr>
        <w:t xml:space="preserve"> or, if commercial air or ground transportation is used, the actual cost of transportation to and from the proceeding. Also included are actual costs incurred for meals and necessary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examination fees” </w:t>
      </w:r>
      <w:r>
        <w:rPr>
          <w:rFonts w:ascii="Times New Roman" w:hAnsi="Times New Roman"/>
          <w:b w:val="false"/>
          <w:i w:val="false"/>
          <w:color w:val="000000"/>
          <w:sz w:val="22"/>
        </w:rPr>
        <w:t>means actual costs incurred by the board in a physical, mental, chemical abuse, or other impairment-related examination or evaluation of a licensee when the examination or evaluation is conducted pursuant to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“Transcript” </w:t>
      </w:r>
      <w:r>
        <w:rPr>
          <w:rFonts w:ascii="Times New Roman" w:hAnsi="Times New Roman"/>
          <w:b w:val="false"/>
          <w:i w:val="false"/>
          <w:color w:val="000000"/>
          <w:sz w:val="22"/>
        </w:rPr>
        <w:t>means a printed verbatim reproduction of everything said on the record during a hearing or other official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“Witness fees” </w:t>
      </w:r>
      <w:r>
        <w:rPr>
          <w:rFonts w:ascii="Times New Roman" w:hAnsi="Times New Roman"/>
          <w:b w:val="false"/>
          <w:i w:val="false"/>
          <w:color w:val="000000"/>
          <w:sz w:val="22"/>
        </w:rPr>
        <w:t xml:space="preserve">means compensation paid by the board to persons appearing pursuant to subpoena or at the request of the state of Iowa for purposes of providing testimony on the part of the state of Iowa. For the purposes of this rule, compensation shall be the same as outlined in Iowa Code section </w:t>
      </w:r>
      <w:hyperlink r:id="rId21">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xml:space="preserve"> as the case may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charge a fee not to exceed $75 for conducting a disciplinary hearing which results in disciplinary action taken against the licensee by the board. In addition to the fee, the board may recover from the licensee costs for the following procedures and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Court reporter and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Witness fees and expenses. The parties in a contested case shall be responsible for any witness fees and expenses incurred by witnesses appearing at the contested case hearing. In addition, the board may assess a licensee the witness fees and expenses incurred by witnesses called to testify on behalf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Depositions. Deposition costs for the purposes of allocating costs against a licensee include only those deposition costs incurred by the state of Iowa. The licensee is directly responsible for the payment of deposition costs incurred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examination fees incurred relating to a person licensed under Iowa Code chapter </w:t>
      </w:r>
      <w:hyperlink r:id="rId2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All costs of physical or mental examinations or substance abuse evaluations or drug screening or clinical competency evaluations ordered by the board pursuant to Iowa Code section </w:t>
      </w:r>
      <w:hyperlink r:id="rId24">
        <w:r>
          <w:rPr>
            <w:rStyle w:val="Hyperlink"/>
            <w:rFonts w:ascii="Times New Roman" w:hAnsi="Times New Roman"/>
            <w:b w:val="false"/>
            <w:i w:val="false"/>
            <w:color w:val="000000"/>
            <w:sz w:val="22"/>
          </w:rPr>
          <w:t>272C.9(1)</w:t>
        </w:r>
      </w:hyperlink>
      <w:r>
        <w:rPr>
          <w:rFonts w:ascii="Times New Roman" w:hAnsi="Times New Roman"/>
          <w:b w:val="false"/>
          <w:i w:val="false"/>
          <w:color w:val="000000"/>
          <w:sz w:val="22"/>
        </w:rPr>
        <w:t xml:space="preserve"> as part of an investigation or pending complaint or as a sanction following a contested case shall be paid directly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15.8(8)</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reimbursable costs. </w:t>
      </w:r>
      <w:r>
        <w:rPr>
          <w:rFonts w:ascii="Times New Roman" w:hAnsi="Times New Roman"/>
          <w:b w:val="false"/>
          <w:i w:val="false"/>
          <w:color w:val="000000"/>
          <w:sz w:val="22"/>
        </w:rPr>
        <w:t>The executive director or designee shall certify any reimbursable costs incurred by the board. The executive director shall calculate the specific costs, certify the cost calculated, and file the certification as part of the record in the contested case. A copy of the certification shall be served on the party responsible for payment of the certified costs at the time of the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15.8(9)</w:t>
      </w:r>
      <w:r>
        <w:rPr>
          <w:rFonts w:ascii="Times New Roman" w:hAnsi="Times New Roman"/>
          <w:b w:val="false"/>
          <w:i w:val="false"/>
          <w:color w:val="000000"/>
          <w:sz w:val="22"/>
        </w:rPr>
        <w:t> </w:t>
      </w:r>
      <w:r>
        <w:rPr>
          <w:rFonts w:ascii="Times New Roman" w:hAnsi="Times New Roman"/>
          <w:b w:val="false"/>
          <w:i/>
          <w:color w:val="000000"/>
          <w:sz w:val="22"/>
        </w:rPr>
        <w:t xml:space="preserve">Assessment of fees and costs. </w:t>
      </w:r>
      <w:r>
        <w:rPr>
          <w:rFonts w:ascii="Times New Roman" w:hAnsi="Times New Roman"/>
          <w:b w:val="false"/>
          <w:i w:val="false"/>
          <w:color w:val="000000"/>
          <w:sz w:val="22"/>
        </w:rPr>
        <w:t>A final decision of the board imposing disciplinary action against a licensee shall include the amount of any disciplinary hearing fee assessed, which shall not exceed $75. If the board also assesses reimbursable costs against the licensee, the board shall file a certification of reimbursable costs which includes a statement of costs delineating each category of costs and the amount assessed. Fees and costs that cannot be calculated at the time of the issuance of the board’s final disciplinary order may be invoiced to the licensee at a later time, provided the board’s final disciplinary order states that the fees and costs will be invoiced at a later date. The board shall specify the time period in which the fees and costs must be paid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15.8(10)</w:t>
      </w:r>
      <w:r>
        <w:rPr>
          <w:rFonts w:ascii="Times New Roman" w:hAnsi="Times New Roman"/>
          <w:b w:val="false"/>
          <w:i w:val="false"/>
          <w:color w:val="000000"/>
          <w:sz w:val="22"/>
        </w:rPr>
        <w:t> </w:t>
      </w:r>
      <w:r>
        <w:rPr>
          <w:rFonts w:ascii="Times New Roman" w:hAnsi="Times New Roman"/>
          <w:b w:val="false"/>
          <w:i/>
          <w:color w:val="000000"/>
          <w:sz w:val="22"/>
        </w:rPr>
        <w:t xml:space="preserve">Board treatment of collected fees, costs. </w:t>
      </w:r>
      <w:r>
        <w:rPr>
          <w:rFonts w:ascii="Times New Roman" w:hAnsi="Times New Roman"/>
          <w:b w:val="false"/>
          <w:i w:val="false"/>
          <w:color w:val="000000"/>
          <w:sz w:val="22"/>
        </w:rPr>
        <w:t xml:space="preserve">Fees and costs collected by the board shall be considered repayment receipts as defined in Iowa Code section </w:t>
      </w:r>
      <w:hyperlink r:id="rId25">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15.8(11)</w:t>
      </w:r>
      <w:r>
        <w:rPr>
          <w:rFonts w:ascii="Times New Roman" w:hAnsi="Times New Roman"/>
          <w:b w:val="false"/>
          <w:i w:val="false"/>
          <w:color w:val="000000"/>
          <w:sz w:val="22"/>
        </w:rPr>
        <w:t> </w:t>
      </w:r>
      <w:r>
        <w:rPr>
          <w:rFonts w:ascii="Times New Roman" w:hAnsi="Times New Roman"/>
          <w:b w:val="false"/>
          <w:i/>
          <w:color w:val="000000"/>
          <w:sz w:val="22"/>
        </w:rPr>
        <w:t xml:space="preserve">Failure to pay assessed fees, costs. </w:t>
      </w:r>
      <w:r>
        <w:rPr>
          <w:rFonts w:ascii="Times New Roman" w:hAnsi="Times New Roman"/>
          <w:b w:val="false"/>
          <w:i w:val="false"/>
          <w:color w:val="000000"/>
          <w:sz w:val="22"/>
        </w:rPr>
        <w:t>Failure of a licensee to pay the fees and costs assessed herein within the time period specified in the board’s final disciplinary order shall constitute a violation of an order of the board and shall be grounds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3490C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4676C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650—15.9</w:t>
      </w:r>
      <w:r>
        <w:rPr>
          <w:rFonts w:ascii="Times New Roman" w:hAnsi="Times New Roman"/>
          <w:b/>
          <w:i w:val="false"/>
          <w:color w:val="000000"/>
          <w:sz w:val="22"/>
        </w:rPr>
        <w:t xml:space="preserve">(153) </w:t>
      </w:r>
      <w:r>
        <w:rPr>
          <w:rFonts w:ascii="Times New Roman" w:hAnsi="Times New Roman"/>
          <w:b/>
          <w:i w:val="false"/>
          <w:color w:val="000000"/>
          <w:sz w:val="22"/>
        </w:rPr>
        <w:t xml:space="preserve">Continuing education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prior approval of activities. </w:t>
      </w:r>
      <w:r>
        <w:rPr>
          <w:rFonts w:ascii="Times New Roman" w:hAnsi="Times New Roman"/>
          <w:b w:val="false"/>
          <w:i w:val="false"/>
          <w:color w:val="000000"/>
          <w:sz w:val="22"/>
        </w:rPr>
        <w:t>The fee for an application for prior approval of a continuing education activity is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postapproval of activities. </w:t>
      </w:r>
      <w:r>
        <w:rPr>
          <w:rFonts w:ascii="Times New Roman" w:hAnsi="Times New Roman"/>
          <w:b w:val="false"/>
          <w:i w:val="false"/>
          <w:color w:val="000000"/>
          <w:sz w:val="22"/>
        </w:rPr>
        <w:t>The fee for an application for postapproval of a continuing education activity is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approved sponsor status. </w:t>
      </w:r>
      <w:r>
        <w:rPr>
          <w:rFonts w:ascii="Times New Roman" w:hAnsi="Times New Roman"/>
          <w:b w:val="false"/>
          <w:i w:val="false"/>
          <w:color w:val="000000"/>
          <w:sz w:val="22"/>
        </w:rPr>
        <w:t>The fee for an application to become an approved sponsor for a continuing education activity is $100. The biennial renewal fee is $100.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650—15.10</w:t>
      </w:r>
      <w:r>
        <w:rPr>
          <w:rFonts w:ascii="Times New Roman" w:hAnsi="Times New Roman"/>
          <w:b/>
          <w:i w:val="false"/>
          <w:color w:val="000000"/>
          <w:sz w:val="22"/>
        </w:rPr>
        <w:t xml:space="preserve">(153) </w:t>
      </w:r>
      <w:r>
        <w:rPr>
          <w:rFonts w:ascii="Times New Roman" w:hAnsi="Times New Roman"/>
          <w:b/>
          <w:i w:val="false"/>
          <w:color w:val="000000"/>
          <w:sz w:val="22"/>
        </w:rPr>
        <w:t xml:space="preserve">Facility inspection fee. </w:t>
      </w:r>
      <w:r>
        <w:rPr>
          <w:rFonts w:ascii="Times New Roman" w:hAnsi="Times New Roman"/>
          <w:b w:val="false"/>
          <w:i w:val="false"/>
          <w:color w:val="000000"/>
          <w:sz w:val="22"/>
        </w:rPr>
        <w:t xml:space="preserve">The actual costs for an on-site evaluation of a facility at which deep sedation/general anesthesia or moderate sedation is authorized pursuant to </w:t>
      </w:r>
      <w:hyperlink r:id="rId26">
        <w:r>
          <w:rPr>
            <w:rStyle w:val="Hyperlink"/>
            <w:rFonts w:ascii="Times New Roman" w:hAnsi="Times New Roman"/>
            <w:b w:val="false"/>
            <w:i w:val="false"/>
            <w:color w:val="000000"/>
            <w:sz w:val="22"/>
          </w:rPr>
          <w:t>650—Chapter 29</w:t>
        </w:r>
      </w:hyperlink>
      <w:r>
        <w:rPr>
          <w:rFonts w:ascii="Times New Roman" w:hAnsi="Times New Roman"/>
          <w:b w:val="false"/>
          <w:i w:val="false"/>
          <w:color w:val="000000"/>
          <w:sz w:val="22"/>
        </w:rPr>
        <w:t xml:space="preserve"> shall not exceed $500 per facility per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12/6/17, effective 9/12/12</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650—15.11</w:t>
      </w:r>
      <w:r>
        <w:rPr>
          <w:rFonts w:ascii="Times New Roman" w:hAnsi="Times New Roman"/>
          <w:b/>
          <w:i w:val="false"/>
          <w:color w:val="000000"/>
          <w:sz w:val="22"/>
        </w:rPr>
        <w:t xml:space="preserve">(22,147,153) </w:t>
      </w:r>
      <w:r>
        <w:rPr>
          <w:rFonts w:ascii="Times New Roman" w:hAnsi="Times New Roman"/>
          <w:b/>
          <w:i w:val="false"/>
          <w:color w:val="000000"/>
          <w:sz w:val="22"/>
        </w:rPr>
        <w:t xml:space="preserve">Public records. </w:t>
      </w:r>
      <w:r>
        <w:rPr>
          <w:rFonts w:ascii="Times New Roman" w:hAnsi="Times New Roman"/>
          <w:b w:val="false"/>
          <w:i w:val="false"/>
          <w:color w:val="000000"/>
          <w:sz w:val="22"/>
        </w:rPr>
        <w:t xml:space="preserve">Public records are available according to </w:t>
      </w:r>
      <w:hyperlink r:id="rId27">
        <w:r>
          <w:rPr>
            <w:rStyle w:val="Hyperlink"/>
            <w:rFonts w:ascii="Times New Roman" w:hAnsi="Times New Roman"/>
            <w:b w:val="false"/>
            <w:i w:val="false"/>
            <w:color w:val="000000"/>
            <w:sz w:val="22"/>
          </w:rPr>
          <w:t>650—Chapter 6</w:t>
        </w:r>
      </w:hyperlink>
      <w:r>
        <w:rPr>
          <w:rFonts w:ascii="Times New Roman" w:hAnsi="Times New Roman"/>
          <w:b w:val="false"/>
          <w:i w:val="false"/>
          <w:color w:val="000000"/>
          <w:sz w:val="22"/>
        </w:rPr>
        <w:t xml:space="preserve">, “Public Records and Fair Information Practices.” Payment made to the Iowa Dental Board, which shall be considered a repayment receipt as defined in Iowa Code section </w:t>
      </w:r>
      <w:hyperlink r:id="rId28">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shall be received in the board office prior to the release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15.11(1)</w:t>
      </w:r>
      <w:r>
        <w:rPr>
          <w:rFonts w:ascii="Times New Roman" w:hAnsi="Times New Roman"/>
          <w:b w:val="false"/>
          <w:i w:val="false"/>
          <w:color w:val="000000"/>
          <w:sz w:val="22"/>
        </w:rPr>
        <w:t> </w:t>
      </w:r>
      <w:r>
        <w:rPr>
          <w:rFonts w:ascii="Times New Roman" w:hAnsi="Times New Roman"/>
          <w:b w:val="false"/>
          <w:i w:val="false"/>
          <w:color w:val="000000"/>
          <w:sz w:val="22"/>
        </w:rPr>
        <w:t>Copies of public records shall be calculated at $.25 per page plus labor. A $16 per-hour fee shall be charged for labor in excess of one-half hour for searching and copying documents or retrieving and copying information stored electronically. No additional fee shall be charged for delivery of the records by mail or fax. A fax is an option if the requested records are fewer than 30 pages. The board office shall not require payment when the fees for the request would be less than $5 total.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15.11(2)</w:t>
      </w:r>
      <w:r>
        <w:rPr>
          <w:rFonts w:ascii="Times New Roman" w:hAnsi="Times New Roman"/>
          <w:b w:val="false"/>
          <w:i w:val="false"/>
          <w:color w:val="000000"/>
          <w:sz w:val="22"/>
        </w:rPr>
        <w:t> </w:t>
      </w:r>
      <w:r>
        <w:rPr>
          <w:rFonts w:ascii="Times New Roman" w:hAnsi="Times New Roman"/>
          <w:b w:val="false"/>
          <w:i w:val="false"/>
          <w:color w:val="000000"/>
          <w:sz w:val="22"/>
        </w:rPr>
        <w:t>Electronic copies of public records delivered by email shall be calculated at $.10 per page; the minimum charge shall be $5. A $16 per-hour fee shall be charged for labor in excess of one-half hour for searching and copying documents or retrieving and copying information stored electronically. The board office shall not require payment when the fee for the request would be less than $5 total.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15.11(3)</w:t>
      </w:r>
      <w:r>
        <w:rPr>
          <w:rFonts w:ascii="Times New Roman" w:hAnsi="Times New Roman"/>
          <w:b w:val="false"/>
          <w:i w:val="false"/>
          <w:color w:val="000000"/>
          <w:sz w:val="22"/>
        </w:rPr>
        <w:t> </w:t>
      </w:r>
      <w:r>
        <w:rPr>
          <w:rFonts w:ascii="Times New Roman" w:hAnsi="Times New Roman"/>
          <w:b w:val="false"/>
          <w:i w:val="false"/>
          <w:color w:val="000000"/>
          <w:sz w:val="22"/>
        </w:rPr>
        <w:t>Electronic files of statements of charges, final orders and consent agreements from each board meeting may be delivered via email, upon written request, at no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15.11(4)</w:t>
      </w:r>
      <w:r>
        <w:rPr>
          <w:rFonts w:ascii="Times New Roman" w:hAnsi="Times New Roman"/>
          <w:b w:val="false"/>
          <w:i w:val="false"/>
          <w:color w:val="000000"/>
          <w:sz w:val="22"/>
        </w:rPr>
        <w:t> </w:t>
      </w:r>
      <w:r>
        <w:rPr>
          <w:rFonts w:ascii="Times New Roman" w:hAnsi="Times New Roman"/>
          <w:b w:val="false"/>
          <w:i w:val="false"/>
          <w:color w:val="000000"/>
          <w:sz w:val="22"/>
        </w:rPr>
        <w:t>Printed copies of statements of charges, final orders and consent agreements from each board meeting shall be available for an annual subscription fee of $120.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3490C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650—15.12</w:t>
      </w:r>
      <w:r>
        <w:rPr>
          <w:rFonts w:ascii="Times New Roman" w:hAnsi="Times New Roman"/>
          <w:b/>
          <w:i w:val="false"/>
          <w:color w:val="000000"/>
          <w:sz w:val="22"/>
        </w:rPr>
        <w:t xml:space="preserve">(22,147,153) </w:t>
      </w:r>
      <w:r>
        <w:rPr>
          <w:rFonts w:ascii="Times New Roman" w:hAnsi="Times New Roman"/>
          <w:b/>
          <w:i w:val="false"/>
          <w:color w:val="000000"/>
          <w:sz w:val="22"/>
        </w:rPr>
        <w:t xml:space="preserve">Purchase of a mailing list or data list. </w:t>
      </w:r>
      <w:r>
        <w:rPr>
          <w:rFonts w:ascii="Times New Roman" w:hAnsi="Times New Roman"/>
          <w:b w:val="false"/>
          <w:i w:val="false"/>
          <w:color w:val="000000"/>
          <w:sz w:val="22"/>
        </w:rPr>
        <w:t xml:space="preserve">Payment made to the Iowa Dental Board, which shall be considered a repayment receipt as defined in Iowa Code section </w:t>
      </w:r>
      <w:hyperlink r:id="rId29">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shall be received in the board office prior to the release of a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15.12(1)</w:t>
      </w:r>
      <w:r>
        <w:rPr>
          <w:rFonts w:ascii="Times New Roman" w:hAnsi="Times New Roman"/>
          <w:b w:val="false"/>
          <w:i w:val="false"/>
          <w:color w:val="000000"/>
          <w:sz w:val="22"/>
        </w:rPr>
        <w:t> </w:t>
      </w:r>
      <w:r>
        <w:rPr>
          <w:rFonts w:ascii="Times New Roman" w:hAnsi="Times New Roman"/>
          <w:b w:val="false"/>
          <w:i/>
          <w:color w:val="000000"/>
          <w:sz w:val="22"/>
        </w:rPr>
        <w:t xml:space="preserve">Mailing list for dentists, hygienists or assistants. </w:t>
      </w:r>
      <w:r>
        <w:rPr>
          <w:rFonts w:ascii="Times New Roman" w:hAnsi="Times New Roman"/>
          <w:b w:val="false"/>
          <w:i w:val="false"/>
          <w:color w:val="000000"/>
          <w:sz w:val="22"/>
        </w:rPr>
        <w:t>The standard mailing list for all active licensees and registrants includes the full name, address, city, state, ZIP code, and Iowa county. The standard mailing list of dentists or dental hygienists includes resident licensees and faculty permit 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Printed mailing list, $65 per profession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Mailing list on disc or DVD, $45 per profession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Mailing list in an electronic file, $35 per profession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15.12(2)</w:t>
      </w:r>
      <w:r>
        <w:rPr>
          <w:rFonts w:ascii="Times New Roman" w:hAnsi="Times New Roman"/>
          <w:b w:val="false"/>
          <w:i w:val="false"/>
          <w:color w:val="000000"/>
          <w:sz w:val="22"/>
        </w:rPr>
        <w:t> </w:t>
      </w:r>
      <w:r>
        <w:rPr>
          <w:rFonts w:ascii="Times New Roman" w:hAnsi="Times New Roman"/>
          <w:b w:val="false"/>
          <w:i/>
          <w:color w:val="000000"/>
          <w:sz w:val="22"/>
        </w:rPr>
        <w:t xml:space="preserve">Data list for dentists, hygienists, or assistants. </w:t>
      </w:r>
      <w:r>
        <w:rPr>
          <w:rFonts w:ascii="Times New Roman" w:hAnsi="Times New Roman"/>
          <w:b w:val="false"/>
          <w:i w:val="false"/>
          <w:color w:val="000000"/>
          <w:sz w:val="22"/>
        </w:rPr>
        <w:t>The standard data list for active licensees or registrants includes full name, address, Iowa county (if applicable), original issue date, expiration date, license or registration number, license or registration status, specialty (if applicable), and whether public disciplinary action has been taken. The standard data list includes resident licensees and faculty permit holders. Additional data elements, programming or sorting increases the following fees by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Printed standard data list, $75 per profession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 data list on disc or DVD, $55 per profession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 data list in an electronic file, $45 per profession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3490C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650—15.13</w:t>
      </w:r>
      <w:r>
        <w:rPr>
          <w:rFonts w:ascii="Times New Roman" w:hAnsi="Times New Roman"/>
          <w:b/>
          <w:i w:val="false"/>
          <w:color w:val="000000"/>
          <w:sz w:val="22"/>
        </w:rPr>
        <w:t xml:space="preserve">(147,153)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The board shall charge a fee of $39 for a check returned for any reason. If a license or registration had been issued by the board office based on a check that is later returned by the bank, the board shall request payment by certified check or money order. If the fees are not paid within two weeks of notification of the returned check by certified mail, the licensee or registrant shall be subject to disciplinary action for noncompliance with board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650—15.14</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Copies of the laws and rules. </w:t>
      </w:r>
      <w:r>
        <w:rPr>
          <w:rFonts w:ascii="Times New Roman" w:hAnsi="Times New Roman"/>
          <w:b w:val="false"/>
          <w:i w:val="false"/>
          <w:color w:val="000000"/>
          <w:sz w:val="22"/>
        </w:rPr>
        <w:t>Copies of laws and rules pertaining to the practice of dentistry, dental hygiene, or dental assisting are available from the board office for the following fees.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Iowa Code and Iowa Administrative Code access, no fee, available at </w:t>
      </w:r>
      <w:hyperlink r:id="rId30">
        <w:r>
          <w:rPr>
            <w:rStyle w:val="Hyperlink"/>
            <w:rFonts w:ascii="Times New Roman" w:hAnsi="Times New Roman"/>
            <w:b w:val="false"/>
            <w:i w:val="false"/>
            <w:color w:val="000000"/>
            <w:sz w:val="22"/>
            <w:u w:val="single"/>
          </w:rPr>
          <w:t>dentalboard.iowa.gov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Printed copies of the Iowa Code chapters that pertain to the practice of dentistry, $10.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Printed copies of dental board rules in the Iowa Administrative Code, $15.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650—15.15</w:t>
      </w:r>
      <w:r>
        <w:rPr>
          <w:rFonts w:ascii="Times New Roman" w:hAnsi="Times New Roman"/>
          <w:b/>
          <w:i w:val="false"/>
          <w:color w:val="000000"/>
          <w:sz w:val="22"/>
        </w:rPr>
        <w:t xml:space="preserve">(17A,147,153,272C) </w:t>
      </w:r>
      <w:r>
        <w:rPr>
          <w:rFonts w:ascii="Times New Roman" w:hAnsi="Times New Roman"/>
          <w:b/>
          <w:i w:val="false"/>
          <w:color w:val="000000"/>
          <w:sz w:val="22"/>
        </w:rPr>
        <w:t xml:space="preserve">Waiver prohibited. </w:t>
      </w:r>
      <w:r>
        <w:rPr>
          <w:rFonts w:ascii="Times New Roman" w:hAnsi="Times New Roman"/>
          <w:b w:val="false"/>
          <w:i w:val="false"/>
          <w:color w:val="000000"/>
          <w:sz w:val="22"/>
        </w:rPr>
        <w:t xml:space="preserve">Rules in this chapter are not subject to waiver pursuant to </w:t>
      </w:r>
      <w:hyperlink r:id="rId31">
        <w:r>
          <w:rPr>
            <w:rStyle w:val="Hyperlink"/>
            <w:rFonts w:ascii="Times New Roman" w:hAnsi="Times New Roman"/>
            <w:b w:val="false"/>
            <w:i w:val="false"/>
            <w:color w:val="000000"/>
            <w:sz w:val="22"/>
          </w:rPr>
          <w:t>650—Chapter 7</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2">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153.22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8/23/78, Notice 6/28/78—published 9/20/78, effective 10/25/78]</w:t>
      </w:r>
    </w:p>
    <w:p>
      <w:pPr>
        <w:spacing w:before="0" w:after="0"/>
        <w:ind w:left="120"/>
        <w:jc w:val="center"/>
      </w:pPr>
      <w:r>
        <w:rPr>
          <w:rFonts w:ascii="Times New Roman" w:hAnsi="Times New Roman"/>
          <w:b w:val="false"/>
          <w:i w:val="false"/>
          <w:color w:val="000000"/>
          <w:sz w:val="21"/>
        </w:rPr>
        <w:t>[Filed 3/18/82, Notice 2/3/82—published 4/14/82, effective 5/19/82]</w:t>
      </w:r>
    </w:p>
    <w:p>
      <w:pPr>
        <w:spacing w:before="0" w:after="0"/>
        <w:ind w:left="120"/>
        <w:jc w:val="center"/>
      </w:pPr>
      <w:r>
        <w:rPr>
          <w:rFonts w:ascii="Times New Roman" w:hAnsi="Times New Roman"/>
          <w:b w:val="false"/>
          <w:i w:val="false"/>
          <w:color w:val="000000"/>
          <w:sz w:val="21"/>
        </w:rPr>
        <w:t>[Filed emergency 12/16/83—published 1/4/84, effective 12/16/83]</w:t>
      </w:r>
    </w:p>
    <w:p>
      <w:pPr>
        <w:spacing w:before="0" w:after="0"/>
        <w:ind w:left="120"/>
        <w:jc w:val="center"/>
      </w:pPr>
      <w:r>
        <w:rPr>
          <w:rFonts w:ascii="Times New Roman" w:hAnsi="Times New Roman"/>
          <w:b w:val="false"/>
          <w:i w:val="false"/>
          <w:color w:val="000000"/>
          <w:sz w:val="21"/>
        </w:rPr>
        <w:t>[Filed emergency 2/24/84 after Notice 1/4/84—published 3/14/84, effective 2/24/84]</w:t>
      </w:r>
    </w:p>
    <w:p>
      <w:pPr>
        <w:spacing w:before="0" w:after="0"/>
        <w:ind w:left="120"/>
        <w:jc w:val="center"/>
      </w:pPr>
      <w:r>
        <w:rPr>
          <w:rFonts w:ascii="Times New Roman" w:hAnsi="Times New Roman"/>
          <w:b w:val="false"/>
          <w:i w:val="false"/>
          <w:color w:val="000000"/>
          <w:sz w:val="21"/>
        </w:rPr>
        <w:t>[Filed 10/3/86, Notice 8/13/86—published 10/22/86, effective 11/26/86]</w:t>
      </w:r>
    </w:p>
    <w:p>
      <w:pPr>
        <w:spacing w:before="0" w:after="0"/>
        <w:ind w:left="120"/>
        <w:jc w:val="center"/>
      </w:pPr>
      <w:r>
        <w:rPr>
          <w:rFonts w:ascii="Times New Roman" w:hAnsi="Times New Roman"/>
          <w:b w:val="false"/>
          <w:i w:val="false"/>
          <w:color w:val="000000"/>
          <w:sz w:val="21"/>
        </w:rPr>
        <w:t>[Filed emergency 2/19/88—published 3/9/88, effective 2/19/88]</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8/1/91, Notice 5/29/91—published 8/21/91, effective 9/25/91]</w:t>
      </w:r>
    </w:p>
    <w:p>
      <w:pPr>
        <w:spacing w:before="0" w:after="0"/>
        <w:ind w:left="120"/>
        <w:jc w:val="center"/>
      </w:pPr>
      <w:r>
        <w:rPr>
          <w:rFonts w:ascii="Times New Roman" w:hAnsi="Times New Roman"/>
          <w:b w:val="false"/>
          <w:i w:val="false"/>
          <w:color w:val="000000"/>
          <w:sz w:val="21"/>
        </w:rPr>
        <w:t>[Filed 1/29/92, Notice 11/13/91—published 2/19/92, effective 3/25/92]</w:t>
      </w:r>
    </w:p>
    <w:p>
      <w:pPr>
        <w:spacing w:before="0" w:after="0"/>
        <w:ind w:left="120"/>
        <w:jc w:val="center"/>
      </w:pPr>
      <w:r>
        <w:rPr>
          <w:rFonts w:ascii="Times New Roman" w:hAnsi="Times New Roman"/>
          <w:b w:val="false"/>
          <w:i w:val="false"/>
          <w:color w:val="000000"/>
          <w:sz w:val="21"/>
        </w:rPr>
        <w:t>[Filed 10/30/98, Notice 5/20/98—published 11/18/98, effective 12/23/98]</w:t>
      </w:r>
    </w:p>
    <w:p>
      <w:pPr>
        <w:spacing w:before="0" w:after="0"/>
        <w:ind w:left="120"/>
        <w:jc w:val="center"/>
      </w:pPr>
      <w:r>
        <w:rPr>
          <w:rFonts w:ascii="Times New Roman" w:hAnsi="Times New Roman"/>
          <w:b w:val="false"/>
          <w:i w:val="false"/>
          <w:color w:val="000000"/>
          <w:sz w:val="21"/>
        </w:rPr>
        <w:t>[Filed 1/22/99, Notice 11/18/98—published 2/10/99, effective 3/17/99]</w:t>
      </w:r>
    </w:p>
    <w:p>
      <w:pPr>
        <w:spacing w:before="0" w:after="0"/>
        <w:ind w:left="120"/>
        <w:jc w:val="center"/>
      </w:pPr>
      <w:r>
        <w:rPr>
          <w:rFonts w:ascii="Times New Roman" w:hAnsi="Times New Roman"/>
          <w:b w:val="false"/>
          <w:i w:val="false"/>
          <w:color w:val="000000"/>
          <w:sz w:val="21"/>
        </w:rPr>
        <w:t>[Filed 10/23/00, Notice 8/9/00—published 11/15/00, effective 1/1/01]</w:t>
      </w:r>
    </w:p>
    <w:p>
      <w:pPr>
        <w:spacing w:before="0" w:after="0"/>
        <w:ind w:left="120"/>
        <w:jc w:val="center"/>
      </w:pPr>
      <w:r>
        <w:rPr>
          <w:rFonts w:ascii="Times New Roman" w:hAnsi="Times New Roman"/>
          <w:b w:val="false"/>
          <w:i w:val="false"/>
          <w:color w:val="000000"/>
          <w:sz w:val="21"/>
        </w:rPr>
        <w:t>[Filed 1/19/01, Notice 11/15/00—published 2/7/01, effective 3/14/01]</w:t>
      </w:r>
    </w:p>
    <w:p>
      <w:pPr>
        <w:spacing w:before="0" w:after="0"/>
        <w:ind w:left="120"/>
        <w:jc w:val="center"/>
      </w:pPr>
      <w:r>
        <w:rPr>
          <w:rFonts w:ascii="Times New Roman" w:hAnsi="Times New Roman"/>
          <w:b w:val="false"/>
          <w:i w:val="false"/>
          <w:color w:val="000000"/>
          <w:sz w:val="21"/>
        </w:rPr>
        <w:t>[Filed 6/21/02, Notice 2/20/02—published 7/10/02, effective 8/14/02]</w:t>
      </w:r>
    </w:p>
    <w:p>
      <w:pPr>
        <w:spacing w:before="0" w:after="0"/>
        <w:ind w:left="120"/>
        <w:jc w:val="center"/>
      </w:pPr>
      <w:r>
        <w:rPr>
          <w:rFonts w:ascii="Times New Roman" w:hAnsi="Times New Roman"/>
          <w:b w:val="false"/>
          <w:i w:val="false"/>
          <w:color w:val="000000"/>
          <w:sz w:val="21"/>
        </w:rPr>
        <w:t>[Filed 8/29/02, Notice 7/10/02—published 9/18/02, effective 10/23/02]</w:t>
      </w:r>
    </w:p>
    <w:p>
      <w:pPr>
        <w:spacing w:before="0" w:after="0"/>
        <w:ind w:left="120"/>
        <w:jc w:val="center"/>
      </w:pPr>
      <w:r>
        <w:rPr>
          <w:rFonts w:ascii="Times New Roman" w:hAnsi="Times New Roman"/>
          <w:b w:val="false"/>
          <w:i w:val="false"/>
          <w:color w:val="000000"/>
          <w:sz w:val="21"/>
        </w:rPr>
        <w:t>[Filed 8/29/03, Notice 5/14/03—published 9/17/03, effective 10/22/03]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7/1/04, Notice 5/12/04—published 7/21/04, effective 8/25/04]</w:t>
      </w:r>
    </w:p>
    <w:p>
      <w:pPr>
        <w:spacing w:before="0" w:after="0"/>
        <w:ind w:left="120"/>
        <w:jc w:val="center"/>
      </w:pPr>
      <w:r>
        <w:rPr>
          <w:rFonts w:ascii="Times New Roman" w:hAnsi="Times New Roman"/>
          <w:b w:val="false"/>
          <w:i w:val="false"/>
          <w:color w:val="000000"/>
          <w:sz w:val="21"/>
        </w:rPr>
        <w:t>[Filed 8/31/04, Notice 7/21/04—published 9/29/04, effective 11/3/04]</w:t>
      </w:r>
    </w:p>
    <w:p>
      <w:pPr>
        <w:spacing w:before="0" w:after="0"/>
        <w:ind w:left="120"/>
        <w:jc w:val="center"/>
      </w:pPr>
      <w:r>
        <w:rPr>
          <w:rFonts w:ascii="Times New Roman" w:hAnsi="Times New Roman"/>
          <w:b w:val="false"/>
          <w:i w:val="false"/>
          <w:color w:val="000000"/>
          <w:sz w:val="21"/>
        </w:rPr>
        <w:t>[Filed 4/22/05, Notice 2/2/05—published 5/11/05, effective 6/15/05]</w:t>
      </w:r>
    </w:p>
    <w:p>
      <w:pPr>
        <w:spacing w:before="0" w:after="0"/>
        <w:ind w:left="120"/>
        <w:jc w:val="center"/>
      </w:pPr>
      <w:r>
        <w:rPr>
          <w:rFonts w:ascii="Times New Roman" w:hAnsi="Times New Roman"/>
          <w:b w:val="false"/>
          <w:i w:val="false"/>
          <w:color w:val="000000"/>
          <w:sz w:val="21"/>
        </w:rPr>
        <w:t>[Filed 9/9/05, Notice 7/20/05—published 9/28/05, effective 11/2/05]</w:t>
      </w:r>
    </w:p>
    <w:p>
      <w:pPr>
        <w:spacing w:before="0" w:after="0"/>
        <w:ind w:left="120"/>
        <w:jc w:val="center"/>
      </w:pPr>
      <w:r>
        <w:rPr>
          <w:rFonts w:ascii="Times New Roman" w:hAnsi="Times New Roman"/>
          <w:b w:val="false"/>
          <w:i w:val="false"/>
          <w:color w:val="000000"/>
          <w:sz w:val="21"/>
        </w:rPr>
        <w:t>[Filed 2/5/07, Notice 11/22/06—published 2/28/07, effective 4/4/07]</w:t>
      </w:r>
    </w:p>
    <w:p>
      <w:pPr>
        <w:spacing w:before="0" w:after="0"/>
        <w:ind w:left="120"/>
        <w:jc w:val="center"/>
      </w:pPr>
      <w:r>
        <w:rPr>
          <w:rFonts w:ascii="Times New Roman" w:hAnsi="Times New Roman"/>
          <w:b w:val="false"/>
          <w:i w:val="false"/>
          <w:color w:val="000000"/>
          <w:sz w:val="21"/>
        </w:rPr>
        <w:t>[Filed Emergency ARC 0164C, IAB 6/13/12, effective 5/21/12]</w:t>
      </w:r>
    </w:p>
    <w:p>
      <w:pPr>
        <w:spacing w:before="0" w:after="0"/>
        <w:ind w:left="120"/>
        <w:jc w:val="center"/>
      </w:pPr>
      <w:r>
        <w:rPr>
          <w:rFonts w:ascii="Times New Roman" w:hAnsi="Times New Roman"/>
          <w:b w:val="false"/>
          <w:i w:val="false"/>
          <w:color w:val="000000"/>
          <w:sz w:val="21"/>
        </w:rPr>
        <w:t>[Filed ARC 0265C</w:t>
      </w:r>
      <w:r>
        <w:rPr>
          <w:rFonts w:ascii="Times New Roman" w:hAnsi="Times New Roman"/>
          <w:b w:val="false"/>
          <w:i w:val="false"/>
          <w:color w:val="000000"/>
          <w:sz w:val="21"/>
        </w:rPr>
        <w:t xml:space="preserve"> (Notice ARC 0128C, IAB 5/16/12)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0618C</w:t>
      </w:r>
      <w:r>
        <w:rPr>
          <w:rFonts w:ascii="Times New Roman" w:hAnsi="Times New Roman"/>
          <w:b w:val="false"/>
          <w:i w:val="false"/>
          <w:color w:val="000000"/>
          <w:sz w:val="21"/>
        </w:rPr>
        <w:t xml:space="preserve"> (Notice ARC 0473C, IAB 11/28/12)</w:t>
      </w:r>
      <w:r>
        <w:rPr>
          <w:rFonts w:ascii="Times New Roman" w:hAnsi="Times New Roman"/>
          <w:b w:val="false"/>
          <w:i w:val="false"/>
          <w:color w:val="000000"/>
          <w:sz w:val="21"/>
        </w:rPr>
        <w:t>, IAB 3/6/13, effective 4/10/13]</w:t>
      </w:r>
    </w:p>
    <w:p>
      <w:pPr>
        <w:spacing w:before="0" w:after="0"/>
        <w:ind w:left="120"/>
        <w:jc w:val="center"/>
      </w:pPr>
      <w:r>
        <w:rPr>
          <w:rFonts w:ascii="Times New Roman" w:hAnsi="Times New Roman"/>
          <w:b w:val="false"/>
          <w:i w:val="false"/>
          <w:color w:val="000000"/>
          <w:sz w:val="21"/>
        </w:rPr>
        <w:t>[Filed ARC 0984C</w:t>
      </w:r>
      <w:r>
        <w:rPr>
          <w:rFonts w:ascii="Times New Roman" w:hAnsi="Times New Roman"/>
          <w:b w:val="false"/>
          <w:i w:val="false"/>
          <w:color w:val="000000"/>
          <w:sz w:val="21"/>
        </w:rPr>
        <w:t xml:space="preserve"> (Notice ARC 0724C, IAB 5/1/13)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3488C</w:t>
      </w:r>
      <w:r>
        <w:rPr>
          <w:rFonts w:ascii="Times New Roman" w:hAnsi="Times New Roman"/>
          <w:b w:val="false"/>
          <w:i w:val="false"/>
          <w:color w:val="000000"/>
          <w:sz w:val="21"/>
        </w:rPr>
        <w:t xml:space="preserve"> (Notice ARC 3252C, IAB 8/16/17)</w:t>
      </w:r>
      <w:r>
        <w:rPr>
          <w:rFonts w:ascii="Times New Roman" w:hAnsi="Times New Roman"/>
          <w:b w:val="false"/>
          <w:i w:val="false"/>
          <w:color w:val="000000"/>
          <w:sz w:val="21"/>
        </w:rPr>
        <w:t>, IAB 12/6/17, effective 1/10/18]</w:t>
      </w:r>
      <w:r>
        <w:br/>
      </w:r>
      <w:r>
        <w:rPr>
          <w:rFonts w:ascii="Times New Roman" w:hAnsi="Times New Roman"/>
          <w:b w:val="false"/>
          <w:i w:val="false"/>
          <w:color w:val="000000"/>
          <w:sz w:val="21"/>
        </w:rPr>
        <w:t>[Filed ARC 3490C</w:t>
      </w:r>
      <w:r>
        <w:rPr>
          <w:rFonts w:ascii="Times New Roman" w:hAnsi="Times New Roman"/>
          <w:b w:val="false"/>
          <w:i w:val="false"/>
          <w:color w:val="000000"/>
          <w:sz w:val="21"/>
        </w:rPr>
        <w:t xml:space="preserve"> (Notice ARC 3156C, IAB 7/5/17)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4676C</w:t>
      </w:r>
      <w:r>
        <w:rPr>
          <w:rFonts w:ascii="Times New Roman" w:hAnsi="Times New Roman"/>
          <w:b w:val="false"/>
          <w:i w:val="false"/>
          <w:color w:val="000000"/>
          <w:sz w:val="21"/>
        </w:rPr>
        <w:t xml:space="preserve"> (Notice ARC 4424C, IAB 5/8/19)</w:t>
      </w:r>
      <w:r>
        <w:rPr>
          <w:rFonts w:ascii="Times New Roman" w:hAnsi="Times New Roman"/>
          <w:b w:val="false"/>
          <w:i w:val="false"/>
          <w:color w:val="000000"/>
          <w:sz w:val="21"/>
        </w:rPr>
        <w:t>, IAB 9/25/19, effective 10/30/19]</w:t>
      </w:r>
    </w:p>
    <w:p>
      <w:pPr>
        <w:spacing w:before="0" w:after="0"/>
        <w:ind w:left="120"/>
        <w:jc w:val="center"/>
      </w:pPr>
      <w:r>
        <w:rPr>
          <w:rFonts w:ascii="Times New Roman" w:hAnsi="Times New Roman"/>
          <w:b w:val="false"/>
          <w:i w:val="false"/>
          <w:color w:val="000000"/>
          <w:sz w:val="21"/>
        </w:rPr>
        <w:t>[Filed ARC 6303C</w:t>
      </w:r>
      <w:r>
        <w:rPr>
          <w:rFonts w:ascii="Times New Roman" w:hAnsi="Times New Roman"/>
          <w:b w:val="false"/>
          <w:i w:val="false"/>
          <w:color w:val="000000"/>
          <w:sz w:val="21"/>
        </w:rPr>
        <w:t xml:space="preserve"> (Notice ARC 6210C, IAB 2/23/22)</w:t>
      </w:r>
      <w:r>
        <w:rPr>
          <w:rFonts w:ascii="Times New Roman" w:hAnsi="Times New Roman"/>
          <w:b w:val="false"/>
          <w:i w:val="false"/>
          <w:color w:val="000000"/>
          <w:sz w:val="21"/>
        </w:rPr>
        <w:t>, IAB 4/20/22, effective 5/25/22]</w:t>
      </w:r>
    </w:p>
    <w:p>
      <w:pPr>
        <w:spacing w:before="0" w:after="0"/>
        <w:ind w:left="120"/>
        <w:jc w:val="center"/>
      </w:pPr>
      <w:r>
        <w:rPr>
          <w:rFonts w:ascii="Times New Roman" w:hAnsi="Times New Roman"/>
          <w:b w:val="false"/>
          <w:i w:val="false"/>
          <w:color w:val="000000"/>
          <w:sz w:val="21"/>
        </w:rPr>
        <w:t>[Filed ARC 6673C</w:t>
      </w:r>
      <w:r>
        <w:rPr>
          <w:rFonts w:ascii="Times New Roman" w:hAnsi="Times New Roman"/>
          <w:b w:val="false"/>
          <w:i w:val="false"/>
          <w:color w:val="000000"/>
          <w:sz w:val="21"/>
        </w:rPr>
        <w:t xml:space="preserve"> (Notice ARC 6514C, IAB 9/7/22)</w:t>
      </w:r>
      <w:r>
        <w:rPr>
          <w:rFonts w:ascii="Times New Roman" w:hAnsi="Times New Roman"/>
          <w:b w:val="false"/>
          <w:i w:val="false"/>
          <w:color w:val="000000"/>
          <w:sz w:val="21"/>
        </w:rPr>
        <w:t>, IAB 11/16/22, effective 12/21/22]</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80.pdf" Type="http://schemas.openxmlformats.org/officeDocument/2006/relationships/hyperlink" Id="rId5"/>
    <Relationship TargetMode="External" Target="https://www.legis.iowa.gov/docs/iac/rule/650.15.4.pdf" Type="http://schemas.openxmlformats.org/officeDocument/2006/relationships/hyperlink" Id="rId6"/>
    <Relationship TargetMode="External" Target="https://www.legis.iowa.gov/docs/iac/rule/650.15.5.pdf" Type="http://schemas.openxmlformats.org/officeDocument/2006/relationships/hyperlink" Id="rId7"/>
    <Relationship TargetMode="External" Target="https://www.legis.iowa.gov/docs/iac/rule/650.15.8.pdf" Type="http://schemas.openxmlformats.org/officeDocument/2006/relationships/hyperlink" Id="rId8"/>
    <Relationship TargetMode="External" Target="https://www.legis.iowa.gov/docs/iac/rule/650.15.4.pdf" Type="http://schemas.openxmlformats.org/officeDocument/2006/relationships/hyperlink" Id="rId9"/>
    <Relationship TargetMode="External" Target="https://www.legis.iowa.gov/docs/iac/rule/650.15.5.pdf" Type="http://schemas.openxmlformats.org/officeDocument/2006/relationships/hyperlink" Id="rId10"/>
    <Relationship TargetMode="External" Target="https://www.legis.iowa.gov/docs/iac/rule/650.15.8.pdf" Type="http://schemas.openxmlformats.org/officeDocument/2006/relationships/hyperlink" Id="rId11"/>
    <Relationship TargetMode="External" Target="https://www.legis.iowa.gov/docs/iac/rule/650.15.4.pdf" Type="http://schemas.openxmlformats.org/officeDocument/2006/relationships/hyperlink" Id="rId12"/>
    <Relationship TargetMode="External" Target="https://www.legis.iowa.gov/docs/iac/rule/650.15.5.pdf" Type="http://schemas.openxmlformats.org/officeDocument/2006/relationships/hyperlink" Id="rId13"/>
    <Relationship TargetMode="External" Target="https://www.legis.iowa.gov/docs/iac/rule/650.15.3.pdf" Type="http://schemas.openxmlformats.org/officeDocument/2006/relationships/hyperlink" Id="rId14"/>
    <Relationship TargetMode="External" Target="https://www.legis.iowa.gov/docs/iac/rule/650.15.5.pdf" Type="http://schemas.openxmlformats.org/officeDocument/2006/relationships/hyperlink" Id="rId15"/>
    <Relationship TargetMode="External" Target="https://www.legis.iowa.gov/docs/iac/rule/650.15.5.pdf" Type="http://schemas.openxmlformats.org/officeDocument/2006/relationships/hyperlink" Id="rId16"/>
    <Relationship TargetMode="External" Target="https://www.legis.iowa.gov/docs/ico/chapter/8.2.pdf" Type="http://schemas.openxmlformats.org/officeDocument/2006/relationships/hyperlink" Id="rId17"/>
    <Relationship TargetMode="External" Target="https://www.legis.iowa.gov/docs/iac/chapter/650.35.pdf" Type="http://schemas.openxmlformats.org/officeDocument/2006/relationships/hyperlink" Id="rId18"/>
    <Relationship TargetMode="External" Target="https://www.legis.iowa.gov/docs/iac/rule/650.51.19.pdf" Type="http://schemas.openxmlformats.org/officeDocument/2006/relationships/hyperlink" Id="rId19"/>
    <Relationship TargetMode="External" Target="https://www.legis.iowa.gov/docs/ico/chapter/70A.9.pdf" Type="http://schemas.openxmlformats.org/officeDocument/2006/relationships/hyperlink" Id="rId20"/>
    <Relationship TargetMode="External" Target="https://www.legis.iowa.gov/docs/ico/chapter/622.69.pdf" Type="http://schemas.openxmlformats.org/officeDocument/2006/relationships/hyperlink" Id="rId21"/>
    <Relationship TargetMode="External" Target="https://www.legis.iowa.gov/docs/ico/chapter/622.72.pdf" Type="http://schemas.openxmlformats.org/officeDocument/2006/relationships/hyperlink" Id="rId22"/>
    <Relationship TargetMode="External" Target="https://www.legis.iowa.gov/docs/ico/chapter/147.pdf" Type="http://schemas.openxmlformats.org/officeDocument/2006/relationships/hyperlink" Id="rId23"/>
    <Relationship TargetMode="External" Target="https://www.legis.iowa.gov/docs/ico/chapter/272C.9.pdf" Type="http://schemas.openxmlformats.org/officeDocument/2006/relationships/hyperlink" Id="rId24"/>
    <Relationship TargetMode="External" Target="https://www.legis.iowa.gov/docs/ico/chapter/8.2.pdf" Type="http://schemas.openxmlformats.org/officeDocument/2006/relationships/hyperlink" Id="rId25"/>
    <Relationship TargetMode="External" Target="https://www.legis.iowa.gov/docs/iac/chapter/650.29.pdf" Type="http://schemas.openxmlformats.org/officeDocument/2006/relationships/hyperlink" Id="rId26"/>
    <Relationship TargetMode="External" Target="https://www.legis.iowa.gov/docs/iac/chapter/650.6.pdf" Type="http://schemas.openxmlformats.org/officeDocument/2006/relationships/hyperlink" Id="rId27"/>
    <Relationship TargetMode="External" Target="https://www.legis.iowa.gov/docs/ico/chapter/8.2.pdf" Type="http://schemas.openxmlformats.org/officeDocument/2006/relationships/hyperlink" Id="rId28"/>
    <Relationship TargetMode="External" Target="https://www.legis.iowa.gov/docs/ico/chapter/8.2.pdf" Type="http://schemas.openxmlformats.org/officeDocument/2006/relationships/hyperlink" Id="rId29"/>
    <Relationship TargetMode="External" Target="http://dentalboard.iowa.gov" Type="http://schemas.openxmlformats.org/officeDocument/2006/relationships/hyperlink" Id="rId30"/>
    <Relationship TargetMode="External" Target="https://www.legis.iowa.gov/docs/iac/chapter/650.7.pdf" Type="http://schemas.openxmlformats.org/officeDocument/2006/relationships/hyperlink" Id="rId31"/>
    <Relationship TargetMode="External" Target="https://www.legis.iowa.gov/docs/ico/chapter/147.10.pdf" Type="http://schemas.openxmlformats.org/officeDocument/2006/relationships/hyperlink" Id="rId32"/>
    <Relationship TargetMode="External" Target="https://www.legis.iowa.gov/docs/ico/chapter/147.80.pdf" Type="http://schemas.openxmlformats.org/officeDocument/2006/relationships/hyperlink" Id="rId33"/>
    <Relationship TargetMode="External" Target="https://www.legis.iowa.gov/docs/ico/chapter/153.22.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