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RENEWAL AND REINSTATEMENT</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650—14.1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Renewal of license to practice dentistry or dental hygiene. </w:t>
      </w:r>
      <w:r>
        <w:rPr>
          <w:rFonts w:ascii="Times New Roman" w:hAnsi="Times New Roman"/>
          <w:b w:val="false"/>
          <w:i w:val="false"/>
          <w:color w:val="000000"/>
          <w:sz w:val="22"/>
        </w:rPr>
        <w:t xml:space="preserve">A license to practice dentistry or a license to practice dental hygiene must be renewed prior to the expiration date of the license. Dental hygiene licenses expire on August 31 of every odd-numbered year. Dental licenses expire August 31 of every even-numbered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Application 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The board office will send a renewal notice by email to each licensee at the licensee’s last-known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Licensee and permit holder obligation. </w:t>
      </w:r>
      <w:r>
        <w:rPr>
          <w:rFonts w:ascii="Times New Roman" w:hAnsi="Times New Roman"/>
          <w:b w:val="false"/>
          <w:i w:val="false"/>
          <w:color w:val="000000"/>
          <w:sz w:val="22"/>
        </w:rPr>
        <w:t>The licensee or permit holder is responsible for renewing the license or permit prior to its expiration. Failure of the licensee or permit holder to receive the notice does not relieve the licensee or permit holder of the responsibility for renewing that license or permit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Application for renewal must be made on forms provided by the board office. Licensees and permit holders may renew their licenses and permits online or via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No renewal application shall be considered timely and sufficient until received by the board office and accompanied by all material required for renewal and all applicable renewal and late fees. Incomplete applications will not be accepted. For purposes of establishing timely filing, the postmark on a paper submittal will be used, and for renewals submitted online, the electronic timestamp will be deemed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appropriate fee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of these rules must accompany the application for renewal. A penalty shall be assessed by the board for late renewal, as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 xml:space="preserve">Completion of continuing education in accordance with </w:t>
      </w:r>
      <w:hyperlink r:id="rId6">
        <w:r>
          <w:rPr>
            <w:rStyle w:val="Hyperlink"/>
            <w:rFonts w:ascii="Times New Roman" w:hAnsi="Times New Roman"/>
            <w:b w:val="false"/>
            <w:i w:val="false"/>
            <w:color w:val="000000"/>
            <w:sz w:val="22"/>
          </w:rPr>
          <w:t>650—Chapter 25</w:t>
        </w:r>
      </w:hyperlink>
      <w:r>
        <w:rPr>
          <w:rFonts w:ascii="Times New Roman" w:hAnsi="Times New Roman"/>
          <w:b w:val="false"/>
          <w:i w:val="false"/>
          <w:color w:val="000000"/>
          <w:sz w:val="22"/>
        </w:rPr>
        <w:t xml:space="preserve"> is required for renewal of an active license. However, licensees are exempt from the continuing education requirement for the current biennium in which the license is first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w:t>
      </w:r>
      <w:r>
        <w:rPr>
          <w:rFonts w:ascii="Times New Roman" w:hAnsi="Times New Roman"/>
          <w:b w:val="false"/>
          <w:i w:val="false"/>
          <w:color w:val="000000"/>
          <w:sz w:val="22"/>
        </w:rPr>
        <w:t>In order to renew a license, an applicant must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color w:val="000000"/>
          <w:sz w:val="22"/>
        </w:rPr>
        <w:t xml:space="preserve">Dental hygiene committee review. </w:t>
      </w:r>
      <w:r>
        <w:rPr>
          <w:rFonts w:ascii="Times New Roman" w:hAnsi="Times New Roman"/>
          <w:b w:val="false"/>
          <w:i w:val="false"/>
          <w:color w:val="000000"/>
          <w:sz w:val="22"/>
        </w:rPr>
        <w:t xml:space="preserve">The dental hygiene committee may, in its discretion, review any applications for renewal of a dental hygiene license and make recommendations to the board. The board’s review is subject to </w:t>
      </w:r>
      <w:hyperlink r:id="rId7">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chapters </w:t>
      </w:r>
      <w:hyperlink r:id="rId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650—14.2</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of registration as a dental assistant. </w:t>
      </w:r>
      <w:r>
        <w:rPr>
          <w:rFonts w:ascii="Times New Roman" w:hAnsi="Times New Roman"/>
          <w:b w:val="false"/>
          <w:i w:val="false"/>
          <w:color w:val="000000"/>
          <w:sz w:val="22"/>
        </w:rPr>
        <w:t xml:space="preserve">A certificate of registration as a registered dental assistant must be renewed biennially. Registration certificates shall expire on August 31 of every odd-numbered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 xml:space="preserve">The board office will send a renewal notice by email to each registrant at the registrant’s last-known email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Registrant obligation. </w:t>
      </w:r>
      <w:r>
        <w:rPr>
          <w:rFonts w:ascii="Times New Roman" w:hAnsi="Times New Roman"/>
          <w:b w:val="false"/>
          <w:i w:val="false"/>
          <w:color w:val="000000"/>
          <w:sz w:val="22"/>
        </w:rPr>
        <w:t>The registrant is responsible for renewing the registration prior to its expiration. Failure of the registrant to receive the notice does not relieve the registrant of the responsibility for renewing that registration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Registrants may renew their registration online or via paper application. Paper application for renewal must be made in writing on forms provided by the board office before the current registration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No renewal application shall be considered timely and sufficient until received by the board office and accompanied by all material required for renewal and all applicable renewal and late fees. Incomplete applications will not be accepted. For purposes of establishing timely filing, the postmark on a paper submittal will be used, and for renewals submitted online, the electronic timestamp will be deemed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appropriate fee as specified in 650—Chapter 15 must accompany the application for renewal. A penalty shall be assessed by the board for late renewal, as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Completion of continuing education as specified in 650—Chapter 25 is required for renewal of an active registration. Failure to meet the requirements of renewal in the time specified by rule will automatically result in a lapsed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w:t>
      </w:r>
      <w:r>
        <w:rPr>
          <w:rFonts w:ascii="Times New Roman" w:hAnsi="Times New Roman"/>
          <w:b w:val="false"/>
          <w:i w:val="false"/>
          <w:color w:val="000000"/>
          <w:sz w:val="22"/>
        </w:rPr>
        <w:t>In order to renew a registration, an applicant must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650—14.3</w:t>
      </w:r>
      <w:r>
        <w:rPr>
          <w:rFonts w:ascii="Times New Roman" w:hAnsi="Times New Roman"/>
          <w:b/>
          <w:i w:val="false"/>
          <w:color w:val="000000"/>
          <w:sz w:val="22"/>
        </w:rPr>
        <w:t xml:space="preserve">(136C,153) </w:t>
      </w:r>
      <w:r>
        <w:rPr>
          <w:rFonts w:ascii="Times New Roman" w:hAnsi="Times New Roman"/>
          <w:b/>
          <w:i w:val="false"/>
          <w:color w:val="000000"/>
          <w:sz w:val="22"/>
        </w:rPr>
        <w:t xml:space="preserve">Renewal of dental assistant radiography qualification. </w:t>
      </w:r>
      <w:r>
        <w:rPr>
          <w:rFonts w:ascii="Times New Roman" w:hAnsi="Times New Roman"/>
          <w:b w:val="false"/>
          <w:i w:val="false"/>
          <w:color w:val="000000"/>
          <w:sz w:val="22"/>
        </w:rPr>
        <w:t>A certificate of radiography qualification must be renewed biennially. Radiography qualification certificates shall expire on August 31 of every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The board office will send a renewal notice by regular mail or email to each registrant at the registrant’s last-known mailing address or email address. The board will notify each registrant by mail or email of the expiration of the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Registrant obligation. </w:t>
      </w:r>
      <w:r>
        <w:rPr>
          <w:rFonts w:ascii="Times New Roman" w:hAnsi="Times New Roman"/>
          <w:b w:val="false"/>
          <w:i w:val="false"/>
          <w:color w:val="000000"/>
          <w:sz w:val="22"/>
        </w:rPr>
        <w:t xml:space="preserve">The registrant is responsible for renewing the radiography qualification prior to its expiration. Failure of the registrant to receive the notice does not relieve the registrant of the responsibility for renewing that radiography qualification if the registrant wants to continue taking dental radiographs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 xml:space="preserve">Application for renewal must be made in writing on forms provided by the board office before the current radiography qualification expires. Registrants may renew their radiography qualification online or via paper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No renewal application shall be considered timely and sufficient until received by the board office and accompanied by all material required for renewal and all applicable renewal and late fees. Incomplete applications will not be accepted. For purposes of establishing timely filing, the postmark on a paper submittal will be used, and for renewals submitted online, the electronic timestamp will be deemed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appropriate fee as specified in </w:t>
      </w:r>
      <w:hyperlink r:id="rId13">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must accompany the application for renewal. A penalty shall be assessed by the board for late renewal, as specified in </w:t>
      </w:r>
      <w:hyperlink r:id="rId1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In order to renew a radiography qualification, the dental assistant shall obtain at least two hours of continuing education in the subject area of dental radiography. Proof of attendance shall be retained by the dental assistant and must be submitted to the board office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w:t>
      </w:r>
      <w:r>
        <w:rPr>
          <w:rFonts w:ascii="Times New Roman" w:hAnsi="Times New Roman"/>
          <w:b w:val="false"/>
          <w:i w:val="false"/>
          <w:color w:val="000000"/>
          <w:sz w:val="22"/>
        </w:rPr>
        <w:t>In order to renew a radiography qualification, an applicant must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Confirming that the applicant possesses a valid certificate from a nationally recognized course in cardiopulmonary resuscitation (CPR) that included a “hands-on” clinical component;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Acknowledging that the CPR certificate will be retained and made available to board office staff as part of routine auditing and monitoring.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650—14.4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nonrenewal. </w:t>
      </w:r>
      <w:r>
        <w:rPr>
          <w:rFonts w:ascii="Times New Roman" w:hAnsi="Times New Roman"/>
          <w:b w:val="false"/>
          <w:i w:val="false"/>
          <w:color w:val="000000"/>
          <w:sz w:val="22"/>
        </w:rPr>
        <w:t>The board may refuse to renew a license, registration or radiography qualification on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proper notice and hearing, for a violation of these rules or Iowa Code chapter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during the term of the last license, registration or radiography qualification or renewal of license, registration or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Failure to pay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val="false"/>
          <w:color w:val="000000"/>
          <w:sz w:val="22"/>
        </w:rPr>
        <w:t>Failure to provide a statement of current certification in cardiopulmonary resuscitation in a course that includes a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department of human services in accordance with </w:t>
      </w:r>
      <w:hyperlink r:id="rId20">
        <w:r>
          <w:rPr>
            <w:rStyle w:val="Hyperlink"/>
            <w:rFonts w:ascii="Times New Roman" w:hAnsi="Times New Roman"/>
            <w:b w:val="false"/>
            <w:i w:val="false"/>
            <w:color w:val="000000"/>
            <w:sz w:val="22"/>
          </w:rPr>
          <w:t>650—Chapter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650—14.5</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Late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renew a dental or dental hygiene license or permit prior to September 1 following expiration shall result in a late fee in the amount specified in 650—Chapter 15 being assessed by the board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renew prior to October 1 following expiration shall result in assessment of a late fee in the amount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a license or permit holder to renew a license or permit prior to November 1 following expiration shall cause the license or permit to lapse and become invalid. A licensee or permit holder whose license or permit has lapsed and become invalid is prohibited from the practice of dentistry or dental hygiene until the license or permit is reinstated in accordance with rule 650—14.6(147,153,272C).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renew a dental assistant registration prior to September 1 following expiration shall result in a late fee in the amount specified in 650—Chapter 15 assessed by the board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renew prior to October 1 following expiration shall result in assessment of a late fee in the amount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renew a registration prior to November 1 following expiration shall cause the registration to lapse and become invalid. A registrant whose registration has lapsed and become invalid is prohibited from practicing as a dental assistant until the registration is reinstated in accordance with rule 650—14.6(147,153,272C).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radiography qualification. </w:t>
      </w:r>
      <w:r>
        <w:rPr>
          <w:rFonts w:ascii="Times New Roman" w:hAnsi="Times New Roman"/>
          <w:b w:val="false"/>
          <w:i w:val="false"/>
          <w:color w:val="000000"/>
          <w:sz w:val="22"/>
        </w:rPr>
        <w:t>Failure to renew a radiography qualification prior to November 1 following expiration shall cause the radiography qualification to lapse and become invalid. A dental assistant whose radiography qualification is lapsed is prohibited from engaging in dental radiography until the qualification is reinstated in accordance with rule 650—14.7(136C,153).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650—14.6</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Reinstatement of a lapsed license 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A licensee or a registrant who allows a license or registration to lapse by failing to renew may have the license or registration reinstated at the discretion of the board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reinstatement of a lapsed license or registration to practice dentistry, dental hygiene or dental assisting,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and places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other states in which licensed or registered and the identifying number of each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renewal fee, as specified in </w:t>
      </w:r>
      <w:hyperlink r:id="rId28">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plus the reinstatement application fee as specified in </w:t>
      </w:r>
      <w:hyperlink r:id="rId2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completion of the hours of continuing education required for renewal of a license or registration in accordance with </w:t>
      </w:r>
      <w:hyperlink r:id="rId30">
        <w:r>
          <w:rPr>
            <w:rStyle w:val="Hyperlink"/>
            <w:rFonts w:ascii="Times New Roman" w:hAnsi="Times New Roman"/>
            <w:b w:val="false"/>
            <w:i w:val="false"/>
            <w:color w:val="000000"/>
            <w:sz w:val="22"/>
          </w:rPr>
          <w:t>650—Chapter 25</w:t>
        </w:r>
      </w:hyperlink>
      <w:r>
        <w:rPr>
          <w:rFonts w:ascii="Times New Roman" w:hAnsi="Times New Roman"/>
          <w:b w:val="false"/>
          <w:i w:val="false"/>
          <w:color w:val="000000"/>
          <w:sz w:val="22"/>
        </w:rPr>
        <w:t xml:space="preserve"> taken within the previous two-year period, or evidence of the full-time or part-time practice of the profession in another state of the United States or the District of Columbia, for a minimum of two years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licensed or registered in another state, the licensee or registrant shall provide certification by the state board of dentistry or equivalent authority of such state that the licensee or registrant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claims, complaints,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possesses a current certificate in a nationally recognized course in cardiopulmonary resuscitation. The course must include a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reinstatement of a lapsed license, a completed fingerprint packet to facilitate a criminal history background check by the Iowa division of criminal investigation (DCI) and the Federal Bureau of Investigation (FBI), including the fee for the evaluation of the fingerprint packet and the criminal history background checks by the DCI and FBI, as specified in </w:t>
      </w:r>
      <w:hyperlink r:id="rId31">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licensee or registrant who is applying for reinstatement, and has not actively practiced clinically within the previous five years, to successfully complete a regional clinical examination, or other board-approved examination or assessment, for the purpose of ensuring that the applicant possesses sufficient knowledge and skill to practice safely.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finds that a practitioner applying for reinstatement is or has been subject to disciplinary action taken against a license or registration held by the applicant in another state of the United States, District of Columbia, or territory, and the violations which resulted in such actions would also be grounds for discipline in Iowa in accordance with </w:t>
      </w:r>
      <w:hyperlink r:id="rId32">
        <w:r>
          <w:rPr>
            <w:rStyle w:val="Hyperlink"/>
            <w:rFonts w:ascii="Times New Roman" w:hAnsi="Times New Roman"/>
            <w:b w:val="false"/>
            <w:i w:val="false"/>
            <w:color w:val="000000"/>
            <w:sz w:val="22"/>
          </w:rPr>
          <w:t>rule 650—30.4(153)</w:t>
        </w:r>
      </w:hyperlink>
      <w:r>
        <w:rPr>
          <w:rFonts w:ascii="Times New Roman" w:hAnsi="Times New Roman"/>
          <w:b w:val="false"/>
          <w:i w:val="false"/>
          <w:color w:val="000000"/>
          <w:sz w:val="22"/>
        </w:rPr>
        <w:t xml:space="preserve">, the board may deny reinstatement of a license or registration to practice dentistry, dental hygiene, or dental assisting in Iowa or may impose any applicable disciplinary sanctions as specified in </w:t>
      </w:r>
      <w:hyperlink r:id="rId33">
        <w:r>
          <w:rPr>
            <w:rStyle w:val="Hyperlink"/>
            <w:rFonts w:ascii="Times New Roman" w:hAnsi="Times New Roman"/>
            <w:b w:val="false"/>
            <w:i w:val="false"/>
            <w:color w:val="000000"/>
            <w:sz w:val="22"/>
          </w:rPr>
          <w:t>rule 650—30.2(153)</w:t>
        </w:r>
      </w:hyperlink>
      <w:r>
        <w:rPr>
          <w:rFonts w:ascii="Times New Roman" w:hAnsi="Times New Roman"/>
          <w:b w:val="false"/>
          <w:i w:val="false"/>
          <w:color w:val="000000"/>
          <w:sz w:val="22"/>
        </w:rPr>
        <w:t xml:space="preserve">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may, in its discretion, review any applications for reinstatement of a lapsed dental hygiene license and make recommendations to the board. The board’s review of the dental hygiene committee recommendation is subject to </w:t>
      </w:r>
      <w:hyperlink r:id="rId34">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650—14.7</w:t>
      </w:r>
      <w:r>
        <w:rPr>
          <w:rFonts w:ascii="Times New Roman" w:hAnsi="Times New Roman"/>
          <w:b/>
          <w:i w:val="false"/>
          <w:color w:val="000000"/>
          <w:sz w:val="22"/>
        </w:rPr>
        <w:t xml:space="preserve">(136C,153) </w:t>
      </w:r>
      <w:r>
        <w:rPr>
          <w:rFonts w:ascii="Times New Roman" w:hAnsi="Times New Roman"/>
          <w:b/>
          <w:i w:val="false"/>
          <w:color w:val="000000"/>
          <w:sz w:val="22"/>
        </w:rPr>
        <w:t xml:space="preserve">Reinstatement of lapsed radiography qualification. </w:t>
      </w:r>
      <w:r>
        <w:rPr>
          <w:rFonts w:ascii="Times New Roman" w:hAnsi="Times New Roman"/>
          <w:b w:val="false"/>
          <w:i w:val="false"/>
          <w:color w:val="000000"/>
          <w:sz w:val="22"/>
        </w:rPr>
        <w:t>A dental assistant who allows a radiography qualification to lapse by failing to renew may have the radiography qualification reinstated at the discretion of the board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reinstatement of the dental assistant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Payment of the radiography reinstatement application fee and the current renewal fee, both as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Proof of current registration as a dental assistant or proof of an active Iowa nursing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14.7(4)</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less than five years, proof of two hours of continuing education in the subject area of dental radiography, taken within the previous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14.7(5)</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more than five years, the dental assistant shall be required to retake and successfully complete an examination in dental radiography. A dental assistant who presents proof of a current radiography qualification issued by another state and who has engaged in dental radiography in that state is exempt from the examination requirement.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chapter </w:t>
      </w:r>
      <w:hyperlink r:id="rId3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650—14.8</w:t>
      </w:r>
      <w:r>
        <w:rPr>
          <w:rFonts w:ascii="Times New Roman" w:hAnsi="Times New Roman"/>
          <w:b/>
          <w:i w:val="false"/>
          <w:color w:val="000000"/>
          <w:sz w:val="22"/>
        </w:rPr>
        <w:t xml:space="preserve">(153) </w:t>
      </w:r>
      <w:r>
        <w:rPr>
          <w:rFonts w:ascii="Times New Roman" w:hAnsi="Times New Roman"/>
          <w:b/>
          <w:i w:val="false"/>
          <w:color w:val="000000"/>
          <w:sz w:val="22"/>
        </w:rPr>
        <w:t xml:space="preserve">Reactivation of an inactive license or registration.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6303C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4/20/22</w:t>
      </w:r>
      <w:r>
        <w:rPr>
          <w:rFonts w:ascii="Times New Roman" w:hAnsi="Times New Roman"/>
          <w:b w:val="false"/>
          <w:i w:val="false"/>
          <w:color w:val="000000"/>
          <w:sz w:val="22"/>
        </w:rPr>
        <w:t xml:space="preserve">, effective 5/25/22. </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1/27/95, Notice 11/23/94—published 2/15/95, effective 3/22/95]</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1/18/02, Notice 11/14/01—published 2/6/02, effective 10/1/02]</w:t>
      </w:r>
    </w:p>
    <w:p>
      <w:pPr>
        <w:spacing w:before="0" w:after="0"/>
        <w:ind w:left="120"/>
        <w:jc w:val="center"/>
      </w:pPr>
      <w:r>
        <w:rPr>
          <w:rFonts w:ascii="Times New Roman" w:hAnsi="Times New Roman"/>
          <w:b w:val="false"/>
          <w:i w:val="false"/>
          <w:color w:val="000000"/>
          <w:sz w:val="21"/>
        </w:rPr>
        <w:t>[Filed without Notice 10/24/02—published 11/13/02, effective 12/18/02]</w:t>
      </w:r>
    </w:p>
    <w:p>
      <w:pPr>
        <w:spacing w:before="0" w:after="0"/>
        <w:ind w:left="120"/>
        <w:jc w:val="center"/>
      </w:pPr>
      <w:r>
        <w:rPr>
          <w:rFonts w:ascii="Times New Roman" w:hAnsi="Times New Roman"/>
          <w:b w:val="false"/>
          <w:i w:val="false"/>
          <w:color w:val="000000"/>
          <w:sz w:val="21"/>
        </w:rPr>
        <w:t>[Filed 8/31/04, Notice 7/21/04—published 9/29/04, effective 11/3/04]</w:t>
      </w:r>
    </w:p>
    <w:p>
      <w:pPr>
        <w:spacing w:before="0" w:after="0"/>
        <w:ind w:left="120"/>
        <w:jc w:val="center"/>
      </w:pPr>
      <w:r>
        <w:rPr>
          <w:rFonts w:ascii="Times New Roman" w:hAnsi="Times New Roman"/>
          <w:b w:val="false"/>
          <w:i w:val="false"/>
          <w:color w:val="000000"/>
          <w:sz w:val="21"/>
        </w:rPr>
        <w:t>[Filed 9/9/05, Notice 7/20/05—published 9/28/05, effective 11/2/05]</w:t>
      </w:r>
    </w:p>
    <w:p>
      <w:pPr>
        <w:spacing w:before="0" w:after="0"/>
        <w:ind w:left="120"/>
        <w:jc w:val="center"/>
      </w:pPr>
      <w:r>
        <w:rPr>
          <w:rFonts w:ascii="Times New Roman" w:hAnsi="Times New Roman"/>
          <w:b w:val="false"/>
          <w:i w:val="false"/>
          <w:color w:val="000000"/>
          <w:sz w:val="21"/>
        </w:rPr>
        <w:t>[Filed 4/6/06, Notice 2/15/06—published 4/26/06, effective 7/1/06]</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3489C</w:t>
      </w:r>
      <w:r>
        <w:rPr>
          <w:rFonts w:ascii="Times New Roman" w:hAnsi="Times New Roman"/>
          <w:b w:val="false"/>
          <w:i w:val="false"/>
          <w:color w:val="000000"/>
          <w:sz w:val="21"/>
        </w:rPr>
        <w:t xml:space="preserve"> (Notice ARC 3157C,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4747C</w:t>
      </w:r>
      <w:r>
        <w:rPr>
          <w:rFonts w:ascii="Times New Roman" w:hAnsi="Times New Roman"/>
          <w:b w:val="false"/>
          <w:i w:val="false"/>
          <w:color w:val="000000"/>
          <w:sz w:val="21"/>
        </w:rPr>
        <w:t xml:space="preserve"> (Notice ARC 4526C, IAB 7/3/19)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6303C</w:t>
      </w:r>
      <w:r>
        <w:rPr>
          <w:rFonts w:ascii="Times New Roman" w:hAnsi="Times New Roman"/>
          <w:b w:val="false"/>
          <w:i w:val="false"/>
          <w:color w:val="000000"/>
          <w:sz w:val="21"/>
        </w:rPr>
        <w:t xml:space="preserve"> (Notice ARC 6210C, IAB 2/23/22)</w:t>
      </w:r>
      <w:r>
        <w:rPr>
          <w:rFonts w:ascii="Times New Roman" w:hAnsi="Times New Roman"/>
          <w:b w:val="false"/>
          <w:i w:val="false"/>
          <w:color w:val="000000"/>
          <w:sz w:val="21"/>
        </w:rPr>
        <w:t>, IAB 4/20/22, effective 5/25/22]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chapter/650.25.pdf" Type="http://schemas.openxmlformats.org/officeDocument/2006/relationships/hyperlink" Id="rId6"/>
    <Relationship TargetMode="External" Target="https://www.legis.iowa.gov/docs/iac/chapter/650.1.pdf" Type="http://schemas.openxmlformats.org/officeDocument/2006/relationships/hyperlink" Id="rId7"/>
    <Relationship TargetMode="External" Target="https://www.legis.iowa.gov/docs/ico/chapter/147.10.pdf" Type="http://schemas.openxmlformats.org/officeDocument/2006/relationships/hyperlink" Id="rId8"/>
    <Relationship TargetMode="External" Target="https://www.legis.iowa.gov/docs/ico/chapter/153.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147.10.pdf" Type="http://schemas.openxmlformats.org/officeDocument/2006/relationships/hyperlink" Id="rId11"/>
    <Relationship TargetMode="External" Target="https://www.legis.iowa.gov/docs/ico/chapter/153.39.pdf" Type="http://schemas.openxmlformats.org/officeDocument/2006/relationships/hyperlink" Id="rId12"/>
    <Relationship TargetMode="External" Target="https://www.legis.iowa.gov/docs/iac/chapter/650.15.pdf" Type="http://schemas.openxmlformats.org/officeDocument/2006/relationships/hyperlink" Id="rId13"/>
    <Relationship TargetMode="External" Target="https://www.legis.iowa.gov/docs/iac/chapter/650.15.pdf" Type="http://schemas.openxmlformats.org/officeDocument/2006/relationships/hyperlink" Id="rId14"/>
    <Relationship TargetMode="External" Target="https://www.legis.iowa.gov/docs/ico/chapter/136C.pdf" Type="http://schemas.openxmlformats.org/officeDocument/2006/relationships/hyperlink" Id="rId15"/>
    <Relationship TargetMode="External" Target="https://www.legis.iowa.gov/docs/ico/chapter/153.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53.pdf" Type="http://schemas.openxmlformats.org/officeDocument/2006/relationships/hyperlink" Id="rId18"/>
    <Relationship TargetMode="External" Target="https://www.legis.iowa.gov/docs/ico/chapter/272C.pdf" Type="http://schemas.openxmlformats.org/officeDocument/2006/relationships/hyperlink" Id="rId19"/>
    <Relationship TargetMode="External" Target="https://www.legis.iowa.gov/docs/iac/chapter/650.33.pdf" Type="http://schemas.openxmlformats.org/officeDocument/2006/relationships/hyperlink" Id="rId20"/>
    <Relationship TargetMode="External" Target="https://www.legis.iowa.gov/docs/ico/chapter/153.23.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252J.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147.10.pdf" Type="http://schemas.openxmlformats.org/officeDocument/2006/relationships/hyperlink" Id="rId25"/>
    <Relationship TargetMode="External" Target="https://www.legis.iowa.gov/docs/ico/chapter/147.11.pdf" Type="http://schemas.openxmlformats.org/officeDocument/2006/relationships/hyperlink" Id="rId26"/>
    <Relationship TargetMode="External" Target="https://www.legis.iowa.gov/docs/ico/chapter/272C.2.pdf" Type="http://schemas.openxmlformats.org/officeDocument/2006/relationships/hyperlink" Id="rId27"/>
    <Relationship TargetMode="External" Target="https://www.legis.iowa.gov/docs/iac/chapter/650.15.pdf" Type="http://schemas.openxmlformats.org/officeDocument/2006/relationships/hyperlink" Id="rId28"/>
    <Relationship TargetMode="External" Target="https://www.legis.iowa.gov/docs/iac/chapter/650.15.pdf" Type="http://schemas.openxmlformats.org/officeDocument/2006/relationships/hyperlink" Id="rId29"/>
    <Relationship TargetMode="External" Target="https://www.legis.iowa.gov/docs/iac/chapter/650.25.pdf" Type="http://schemas.openxmlformats.org/officeDocument/2006/relationships/hyperlink" Id="rId30"/>
    <Relationship TargetMode="External" Target="https://www.legis.iowa.gov/docs/iac/chapter/650.15.pdf" Type="http://schemas.openxmlformats.org/officeDocument/2006/relationships/hyperlink" Id="rId31"/>
    <Relationship TargetMode="External" Target="https://www.legis.iowa.gov/docs/iac/rule/650.30.4.pdf" Type="http://schemas.openxmlformats.org/officeDocument/2006/relationships/hyperlink" Id="rId32"/>
    <Relationship TargetMode="External" Target="https://www.legis.iowa.gov/docs/iac/rule/650.30.2.pdf" Type="http://schemas.openxmlformats.org/officeDocument/2006/relationships/hyperlink" Id="rId33"/>
    <Relationship TargetMode="External" Target="https://www.legis.iowa.gov/docs/iac/chapter/650.1.pdf" Type="http://schemas.openxmlformats.org/officeDocument/2006/relationships/hyperlink" Id="rId34"/>
    <Relationship TargetMode="External" Target="https://www.legis.iowa.gov/docs/ico/chapter/147.10.pdf" Type="http://schemas.openxmlformats.org/officeDocument/2006/relationships/hyperlink" Id="rId35"/>
    <Relationship TargetMode="External" Target="https://www.legis.iowa.gov/docs/ico/chapter/147.11.pdf" Type="http://schemas.openxmlformats.org/officeDocument/2006/relationships/hyperlink" Id="rId36"/>
    <Relationship TargetMode="External" Target="https://www.legis.iowa.gov/docs/ico/chapter/272C.2.pdf" Type="http://schemas.openxmlformats.org/officeDocument/2006/relationships/hyperlink" Id="rId37"/>
    <Relationship TargetMode="External" Target="https://www.legis.iowa.gov/docs/ico/chapter/136C.3.pdf" Type="http://schemas.openxmlformats.org/officeDocument/2006/relationships/hyperlink" Id="rId38"/>
    <Relationship TargetMode="External" Target="https://www.legis.iowa.gov/docs/ico/chapter/153.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