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SPECIAL LICENSES</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650—13.1</w:t>
      </w:r>
      <w:r>
        <w:rPr>
          <w:rFonts w:ascii="Times New Roman" w:hAnsi="Times New Roman"/>
          <w:b/>
          <w:i w:val="false"/>
          <w:color w:val="000000"/>
          <w:sz w:val="22"/>
        </w:rPr>
        <w:t xml:space="preserve">(153) </w:t>
      </w:r>
      <w:r>
        <w:rPr>
          <w:rFonts w:ascii="Times New Roman" w:hAnsi="Times New Roman"/>
          <w:b/>
          <w:i w:val="false"/>
          <w:color w:val="000000"/>
          <w:sz w:val="22"/>
        </w:rPr>
        <w:t xml:space="preserve">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A dentist or dental hygienist seeking permission to practice as a resident, intern or graduate student in a board-approved teaching or educational institution offering specialty oriented courses shall be required to make application to the board on official board forms and furnish to the board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from the dean or designated administrative officer of the institution in which the applicant seeks to enroll.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of a dentist who holds an active Iowa license or faculty permit and who proposes to exercise supervision and direction over said applicant, specifying in general terms the time and manner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dentistry or other school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as the board may deem necessary to enable it to determine the proficiency, character, education or experience of such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 and all questions must be completely answered.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If approved by the board, a resident license shall allow the licensee to serve as a resident, intern, or graduate student dentist or dental hygienist, under the supervision of a practitioner who holds an active Iowa license or faculty permit, at the University of Iowa College of Dentistry or at an institution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If a resident licensee leaves the service of such institution during the tenure of residency, internship or graduate study, the license shall be considered null and void and the authority granted by the board to the licensee shall be automatically canceled. The director of the resident training program shall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The resident license shall be valid for one year and may be renewed annually during such period of time as the dental resident is continuously enrolled in a graduate dental education program. A resident license issued or renewed on or after January 1, 2006, shall expire on the expected date of completion of the resident training program as indicated on the licensure or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license may be extended past the original expected completion date of the training program at the discretion of the board. A licensee who wishes to extend the expiration date of the license shall submit to the board office an extension application that includes a letter explaining the need for an extension, an extension fee in the amount specified in </w:t>
      </w:r>
      <w:hyperlink r:id="rId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and a statement from the director of the resident training program attesting to the progress of the resident in the training program, the new expected date of completion of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w:t>
      </w:r>
      <w:r>
        <w:rPr>
          <w:rFonts w:ascii="Times New Roman" w:hAnsi="Times New Roman"/>
          <w:b w:val="false"/>
          <w:i w:val="false"/>
          <w:color w:val="000000"/>
          <w:sz w:val="22"/>
        </w:rPr>
        <w:t> </w:t>
      </w:r>
      <w:r>
        <w:rPr>
          <w:rFonts w:ascii="Times New Roman" w:hAnsi="Times New Roman"/>
          <w:b w:val="false"/>
          <w:i w:val="false"/>
          <w:color w:val="000000"/>
          <w:sz w:val="22"/>
        </w:rPr>
        <w:t>The director of the resident training program shall report annually on July 1 the progress of residents under the director’s supervision and whether any warnings have been issued, investigations conducted or disciplinary actions taken, whether by voluntary agreement or formal action. The board shall notify the program directors of the reporting requirement at least 30 days prior to the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w:t>
      </w:r>
      <w:r>
        <w:rPr>
          <w:rFonts w:ascii="Times New Roman" w:hAnsi="Times New Roman"/>
          <w:b w:val="false"/>
          <w:i w:val="false"/>
          <w:color w:val="000000"/>
          <w:sz w:val="22"/>
        </w:rPr>
        <w:t> </w:t>
      </w:r>
      <w:r>
        <w:rPr>
          <w:rFonts w:ascii="Times New Roman" w:hAnsi="Times New Roman"/>
          <w:b w:val="false"/>
          <w:i w:val="false"/>
          <w:color w:val="000000"/>
          <w:sz w:val="22"/>
        </w:rPr>
        <w:t>A resident licensee who changes resident training programs shall apply for a new resident license and also include a statement from the director of the applicant’s most recent residency program documenting the applicant’s progress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w:t>
      </w:r>
      <w:r>
        <w:rPr>
          <w:rFonts w:ascii="Times New Roman" w:hAnsi="Times New Roman"/>
          <w:b w:val="false"/>
          <w:i w:val="false"/>
          <w:color w:val="000000"/>
          <w:sz w:val="22"/>
        </w:rPr>
        <w:t> </w:t>
      </w:r>
      <w:r>
        <w:rPr>
          <w:rFonts w:ascii="Times New Roman" w:hAnsi="Times New Roman"/>
          <w:b w:val="false"/>
          <w:i w:val="false"/>
          <w:color w:val="000000"/>
          <w:sz w:val="22"/>
        </w:rPr>
        <w:t>No examination or continuing education shall be required for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w:t>
      </w:r>
      <w:r>
        <w:rPr>
          <w:rFonts w:ascii="Times New Roman" w:hAnsi="Times New Roman"/>
          <w:b w:val="false"/>
          <w:i w:val="false"/>
          <w:color w:val="000000"/>
          <w:sz w:val="22"/>
        </w:rPr>
        <w:t> </w:t>
      </w:r>
      <w:r>
        <w:rPr>
          <w:rFonts w:ascii="Times New Roman" w:hAnsi="Times New Roman"/>
          <w:b w:val="false"/>
          <w:i w:val="false"/>
          <w:color w:val="000000"/>
          <w:sz w:val="22"/>
        </w:rPr>
        <w:t>The resident licensee shall be subject to all applicable provisions of the law and the rules of the board. Any violations of these laws or rules or the failure of the licensee to perform and progress satisfactorily or receive effective supervision as determined by the board shall be grounds for revocation of the license after proper notice and 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650—13.2</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college and dental hygiene program faculty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faculty permit entitling the holder to practice dentistry or dental hygiene as a faculty member within the University of Iowa College of Dentistry or a dental hygiene program and affiliated teaching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The dean of the college of dentistry or chairperson of a dental hygiene program shall certify to the board or the dental hygiene committee those bona fide members of the college’s or a dental hygiene program’s faculty who are not licensed to practice dentistry or dental hygiene in Iowa. Any faculty member so certified shall, prior to commencing duties in the college of dentistry or a dental hygiene program, make on official board forms written application to the board or the dental hygiene committee for a permit and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plus the fee for the evaluation of the fingerprint packet and the criminal history background checks by the Iowa division of criminal investigation (DCI) and the Federal Bureau of Investigation (FBI), as specified in </w:t>
      </w:r>
      <w:hyperlink r:id="rId8">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professional qualifications and background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the criminal history background checks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licensed by another jurisdiction, the applicant shall furnish evidence from the board of dental examiners of that jurisdiction that the applicant is licensed in good standing and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complaints, malpractice claims, judgments, settlements, or criminal charges, including the results of a self-query of the National Practitioners Data Bank (NPDB) and the Healthcare Integrity and Protection Data Bank (HIPDB).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Acknowledging that the CPR certificate will be retained and made available to board office staff as part of routine auditing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as the board may deem necessary to enable it to determine the character, education or experience of such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 and include required credentials and documents, and all questions must be completely answered.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the jurisprudence examination administered by the Iowa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A faculty permit shall expire on August 31 of every even-numbered year and may, at the sole discretion of the board, be renewed on a biennial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of these rules shall be paid for renewal of the faculty permit. A faculty permit holder who fails to renew by the expiration date of the permit shall be assessed a late fee in accordance with </w:t>
      </w:r>
      <w:hyperlink r:id="rId10">
        <w:r>
          <w:rPr>
            <w:rStyle w:val="Hyperlink"/>
            <w:rFonts w:ascii="Times New Roman" w:hAnsi="Times New Roman"/>
            <w:b w:val="false"/>
            <w:i w:val="false"/>
            <w:color w:val="000000"/>
            <w:sz w:val="22"/>
          </w:rPr>
          <w:t>650—14.4</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The faculty permit shall be valid only so long as the holder remains a member of the faculty of the college of dentistry or member of the faculty of a dental hygiene program in Iowa and shall subject the holder to all provisions of the law regulating the practice of dentistry and dental hygiene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val="false"/>
          <w:color w:val="000000"/>
          <w:sz w:val="22"/>
        </w:rPr>
        <w:t xml:space="preserve">Faculty permit holders are required to obtain 30 hours of continuing education in accordance with the guidelines in </w:t>
      </w:r>
      <w:hyperlink r:id="rId11">
        <w:r>
          <w:rPr>
            <w:rStyle w:val="Hyperlink"/>
            <w:rFonts w:ascii="Times New Roman" w:hAnsi="Times New Roman"/>
            <w:b w:val="false"/>
            <w:i w:val="false"/>
            <w:color w:val="000000"/>
            <w:sz w:val="22"/>
          </w:rPr>
          <w:t>650—Chapter 25</w:t>
        </w:r>
      </w:hyperlink>
      <w:r>
        <w:rPr>
          <w:rFonts w:ascii="Times New Roman" w:hAnsi="Times New Roman"/>
          <w:b w:val="false"/>
          <w:i w:val="false"/>
          <w:color w:val="000000"/>
          <w:sz w:val="22"/>
        </w:rPr>
        <w:t xml:space="preserve"> for renewal of the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val="false"/>
          <w:color w:val="000000"/>
          <w:sz w:val="22"/>
        </w:rPr>
        <w:t>To renew the permit, faculty permit holders shall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issuance of a dental hygiene program faculty permit shall be made to the dental hygiene committee for consideration and recommendation to the board pursuant to </w:t>
      </w:r>
      <w:hyperlink r:id="rId12">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650—13.3</w:t>
      </w:r>
      <w:r>
        <w:rPr>
          <w:rFonts w:ascii="Times New Roman" w:hAnsi="Times New Roman"/>
          <w:b/>
          <w:i w:val="false"/>
          <w:color w:val="000000"/>
          <w:sz w:val="22"/>
        </w:rPr>
        <w:t xml:space="preserve">(153) </w:t>
      </w:r>
      <w:r>
        <w:rPr>
          <w:rFonts w:ascii="Times New Roman" w:hAnsi="Times New Roman"/>
          <w:b/>
          <w:i w:val="false"/>
          <w:color w:val="000000"/>
          <w:sz w:val="22"/>
        </w:rPr>
        <w:t xml:space="preserve">Temporary permit. </w:t>
      </w:r>
      <w:r>
        <w:rPr>
          <w:rFonts w:ascii="Times New Roman" w:hAnsi="Times New Roman"/>
          <w:b w:val="false"/>
          <w:i w:val="false"/>
          <w:color w:val="000000"/>
          <w:sz w:val="22"/>
        </w:rPr>
        <w:t>The board may issue a temporary permit authorizing the permit holder to practice dentistry or dental hygiene on a short-term basis in Iowa at a specific location or locations to fulfill an urgent need, to serve an educational purpose, or to provide volunteer services. A temporary permit may be granted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General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temporary permit is intended for dentists and dental hygienists with short-term assignments in Iowa that fulfill an urgent need, serve an educational purpose, or provide volunteer services, and clearly have no long-term implications for licensure. If the need changes or if the permit holder wishes to continue in short-term assignments in other Iowa locations, the permit holder is expected to seek permanent licensure. A temporary permit is not meant as a way to practice before a permanent license is granted or as a means to practice because the applicant does not fulfill the requirements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authorizing the permit holder to practice at a specific location or locations in Iowa for a specified period up to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expiration of the permit, a permit holder shall be required to obtain a new temporary permit or a permanent license in order to practice dentistry or dental hygiene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may be issued not more than three temporary permits to fulfill an urgent need or serve an educational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temporary permit if the permit holder has practiced outside the scope of the permit or for any of the grounds for which licensure may be revoked or suspended as specified in Iowa Code chapters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650—30.4</w:t>
        </w:r>
      </w:hyperlink>
      <w:r>
        <w:rPr>
          <w:rFonts w:ascii="Times New Roman" w:hAnsi="Times New Roman"/>
          <w:b w:val="false"/>
          <w:i w:val="false"/>
          <w:color w:val="000000"/>
          <w:sz w:val="22"/>
        </w:rPr>
        <w:t xml:space="preserve">(147,153,272C). When cancellation of a permit is proposed, the board shall promptly notify the permit holder by sending a statement of charges and notice of hearing by certified mail to the last-known address of the permit holder. The provisions of </w:t>
      </w:r>
      <w:hyperlink r:id="rId18">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 xml:space="preserve"> shall govern a contested case proceeding following notice of intent to cancel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temporary permit shall be displayed in the primary location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temporary permit holder shall notify the board by written correspondence or through the board’s online system of any change in name or mailing address within seven days of the change. A certified copy of a marriage license or a certified copy of court documents is required for proof of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Eligibility for a temporary permit to fulfill an urgent need or serve an educational purpose. An application for a temporary permit shall be filed on the form provided by the board and must be completely answered, including required credentials and documents. An applicant for a temporary permit may submit an application online or on a paper form. To be eligible for a temporary permit to fulfill an urgent need or serve an educational purpose, an applicant shall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with a DDS or DMD degree for applicants seeking a temporary permit to practice dentistry or satisfactory evidence of graduation from a dental hygiene school for applicants seeking a temporary permit to practice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for a temporary permit to fulfill an urgent need or serve an educational purpose as specified in </w:t>
      </w:r>
      <w:hyperlink r:id="rId1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Acknowledging that the CPR certificate will be retained and made available to board office staff as part of routine auditing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complaints, malpractice claims, judgments, settlements,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state board of dentistry, or equivalent authority, from a state in which the applicant has been licensed for at least three years immediately preceding the date of application and evidence of having engaged in the practice of dentistry in that state for three years immediately preceding the date of application or evidence of three years of practice satisfactory to the board. The applicant must also provide evidence that the applicant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from the appropriate examining board from each jurisdiction in which the applicant has ever held a license. At least one license must be issued on the basis of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request for the temporary permit from those individuals or organizations seeking the applicant’s services that establishes, to the board’s satisfaction, the justification for the temporary permit, the dates the applicant’s services are needed, and the location or locations where those services will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Eligibility for a temporary permit to provide volunteer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permit to provide volunteer services is intended for dentists and dental hygienists who will provide volunteer services at a free or nonprofit dental clinic and who will not receive compensation for dental services provided. A temporary permit issued under this subrule shall be valid only at the location specified on the permit, which shall be a free clinic or a dental clinic for a nonprofit organization, as described under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permit shall be filed on the paper form provided by the board. The application form will collect the name, address, and telephone number of the applicant, the location of the free clinic or dental clinic for a nonprofit organization, and the dates on which the volunteer services will be provided. The application form must be accompanied by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verification of license (or substantially similar document) from the appropriate licensing board of the applicant’s home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pending disciplinary actions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seeking the temporary permit that the applicant shall practice only in a free dental clinic or dental clinic for a nonprofit organization and that the applicant shall not receive compensation directly or indirectly for providing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committee review. The dental hygiene committee shall make recommendations to the board regarding the issuance or denial of any temporary permit to practice dental hygiene. The board’s review of the dental hygiene committee’s recommendation is subject to </w:t>
      </w:r>
      <w:hyperlink r:id="rId20">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of temporary permit. The board may deny a temporary permit in accordance with </w:t>
      </w:r>
      <w:hyperlink r:id="rId21">
        <w:r>
          <w:rPr>
            <w:rStyle w:val="Hyperlink"/>
            <w:rFonts w:ascii="Times New Roman" w:hAnsi="Times New Roman"/>
            <w:b w:val="false"/>
            <w:i w:val="false"/>
            <w:color w:val="000000"/>
            <w:sz w:val="22"/>
          </w:rPr>
          <w:t>650—11.9</w:t>
        </w:r>
      </w:hyperlink>
      <w:r>
        <w:rPr>
          <w:rFonts w:ascii="Times New Roman" w:hAnsi="Times New Roman"/>
          <w:b w:val="false"/>
          <w:i w:val="false"/>
          <w:color w:val="000000"/>
          <w:sz w:val="22"/>
        </w:rPr>
        <w:t xml:space="preserve">(147,153) or, at the sole discretion of the board, for failure to justify the need for a temporary permit. The procedure for appealing the denial of a permit is set forth in </w:t>
      </w:r>
      <w:hyperlink r:id="rId22">
        <w:r>
          <w:rPr>
            <w:rStyle w:val="Hyperlink"/>
            <w:rFonts w:ascii="Times New Roman" w:hAnsi="Times New Roman"/>
            <w:b w:val="false"/>
            <w:i w:val="false"/>
            <w:color w:val="000000"/>
            <w:sz w:val="22"/>
          </w:rPr>
          <w:t>650—11.10</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w:t>
      </w:r>
      <w:r>
        <w:rPr>
          <w:rFonts w:ascii="Times New Roman" w:hAnsi="Times New Roman"/>
          <w:b w:val="false"/>
          <w:i w:val="false"/>
          <w:color w:val="000000"/>
          <w:sz w:val="22"/>
        </w:rPr>
        <w:t> </w:t>
      </w:r>
      <w:r>
        <w:rPr>
          <w:rFonts w:ascii="Times New Roman" w:hAnsi="Times New Roman"/>
          <w:b w:val="false"/>
          <w:i w:val="false"/>
          <w:color w:val="000000"/>
          <w:sz w:val="22"/>
        </w:rPr>
        <w:t>A temporary permit holder shall be subject to and follow all rules and state laws pertaining to the practice of dentistry and dental hygiene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153.19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0984C</w:t>
      </w:r>
      <w:r>
        <w:rPr>
          <w:rFonts w:ascii="Times New Roman" w:hAnsi="Times New Roman"/>
          <w:b w:val="false"/>
          <w:i w:val="false"/>
          <w:color w:val="000000"/>
          <w:sz w:val="16"/>
        </w:rPr>
        <w:t>, IAB 9/4/13, effective 10/9/13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650—13.4</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Retired volunteer license. </w:t>
      </w:r>
      <w:r>
        <w:rPr>
          <w:rFonts w:ascii="Times New Roman" w:hAnsi="Times New Roman"/>
          <w:b w:val="false"/>
          <w:i w:val="false"/>
          <w:color w:val="000000"/>
          <w:sz w:val="22"/>
        </w:rPr>
        <w:t>Upon application and qualification, the board may issue a retired volunteer license to a dentist or dental hygienist who has retired from the practice of dentistry or dental hygiene to enable the dentist or dental hygienist to provide volunteer dental or dental hygiene services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Applications for a retired volunteer license shall be made on forms provided by the board, which may include online applications, and must be complete. Incomplete applications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Applications shall be filed with the board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that the applicant has retired from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or criminal charges,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an active dental or dental hygiene license within the previous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sufficient knowledge and skill to practice safely and competently if the applicant has not held an active dental or dental hygiene license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shall not practice unless an Iowa-licensed dentist with an active license is present at the location of practice at all times. Screenings and educational programs may be performed without the presence of an Iowa-licensed dentist with an active license, provided that all other board rules governing the respective practice in regards to supervision requirements and permitted scope of practice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shall not charge a fee or receive compensation or remuneration in any form from any person or third-party payer, including but not limited to an insurance company, health plan, or state or federal benefit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An applicant who has surrendered, resigned, converted, or allowed a license to lapse or expire as the result of or in lieu of disciplinary action shall not be eligible for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shall not be considered to be an active license to practice dentistry or dental hygiene and cannot be converted to any regular license type with active or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13.4(7)</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is prohibited from delegating duties to other licensees or registrants and is prohibited from providing any level of supervision to other licensees or registrants. Licensees and registrants assisting persons with a retired volunteer license do so only under the delegation and supervision of the Iowa-licensed dentist with an active license who is required to be present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is prohibited from prescribing, administering, or dispensing prescription drugs and all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is subject to all rules and regulations governing the practice of dentistry or dental hygiene except those related to the payment of fees, license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w:t>
      </w:r>
      <w:r>
        <w:rPr>
          <w:rFonts w:ascii="Times New Roman" w:hAnsi="Times New Roman"/>
          <w:b w:val="false"/>
          <w:i w:val="false"/>
          <w:color w:val="000000"/>
          <w:sz w:val="22"/>
        </w:rPr>
        <w:t> </w:t>
      </w:r>
      <w:r>
        <w:rPr>
          <w:rFonts w:ascii="Times New Roman" w:hAnsi="Times New Roman"/>
          <w:b w:val="false"/>
          <w:i w:val="false"/>
          <w:color w:val="000000"/>
          <w:sz w:val="22"/>
        </w:rPr>
        <w:t>The board shall not charge an application or licensing fee for issuance of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valid for 12 months from the date of issuance, at which time it expires and becomes invalid. A retired volunteer license holder whose license has become invalid is prohibited from the practice of dentistry or dental hygiene until a new retired volunteer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retired volunteer license if the holder has practiced outside the scope of the license or for any of the grounds for which licensure may be revoked or suspended as specified in Iowa Code chapters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650—30.4</w:t>
        </w:r>
      </w:hyperlink>
      <w:r>
        <w:rPr>
          <w:rFonts w:ascii="Times New Roman" w:hAnsi="Times New Roman"/>
          <w:b w:val="false"/>
          <w:i w:val="false"/>
          <w:color w:val="000000"/>
          <w:sz w:val="22"/>
        </w:rPr>
        <w:t xml:space="preserve">(147,153,272C). When cancellation of a retired volunteer license is proposed, the board shall promptly notify the license holder by sending a statement of charges and notice of hearing by certified mail to the last-known address of the license holder or by personal service. The provisions of </w:t>
      </w:r>
      <w:hyperlink r:id="rId28">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 xml:space="preserve"> shall govern a contested case proceeding following notice of intent to cancel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shall notify the board by written correspondence or through the board’s online system of any change in name or home address within seven days of the change. A copy of a certified marriage license or copy of certified court documents is required for proof of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shall make recommendations to the board regarding the issuance or denial of any retired volunteer license to practice dental hygiene. The board’s review of the dental hygiene committee’s recommendation is subject to </w:t>
      </w:r>
      <w:hyperlink r:id="rId29">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retired volunteer license in accordance with </w:t>
      </w:r>
      <w:hyperlink r:id="rId30">
        <w:r>
          <w:rPr>
            <w:rStyle w:val="Hyperlink"/>
            <w:rFonts w:ascii="Times New Roman" w:hAnsi="Times New Roman"/>
            <w:b w:val="false"/>
            <w:i w:val="false"/>
            <w:color w:val="000000"/>
            <w:sz w:val="22"/>
          </w:rPr>
          <w:t>650—11.9</w:t>
        </w:r>
      </w:hyperlink>
      <w:r>
        <w:rPr>
          <w:rFonts w:ascii="Times New Roman" w:hAnsi="Times New Roman"/>
          <w:b w:val="false"/>
          <w:i w:val="false"/>
          <w:color w:val="000000"/>
          <w:sz w:val="22"/>
        </w:rPr>
        <w:t xml:space="preserve">(147,153). The procedure for appealing the denial is set forth in </w:t>
      </w:r>
      <w:hyperlink r:id="rId31">
        <w:r>
          <w:rPr>
            <w:rStyle w:val="Hyperlink"/>
            <w:rFonts w:ascii="Times New Roman" w:hAnsi="Times New Roman"/>
            <w:b w:val="false"/>
            <w:i w:val="false"/>
            <w:color w:val="000000"/>
            <w:sz w:val="22"/>
          </w:rPr>
          <w:t>650—11.10</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w:t>
      </w:r>
      <w:r>
        <w:rPr>
          <w:rFonts w:ascii="Times New Roman" w:hAnsi="Times New Roman"/>
          <w:b w:val="false"/>
          <w:i w:val="false"/>
          <w:color w:val="000000"/>
          <w:sz w:val="22"/>
        </w:rPr>
        <w:t> </w:t>
      </w:r>
      <w:r>
        <w:rPr>
          <w:rFonts w:ascii="Times New Roman" w:hAnsi="Times New Roman"/>
          <w:b w:val="false"/>
          <w:i w:val="false"/>
          <w:color w:val="000000"/>
          <w:sz w:val="22"/>
        </w:rPr>
        <w:t>A person holding an inactive Iowa dental or dental hygiene license may also hold a retired volunteer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2423C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1/27/94, Notice 12/8/93—published 2/16/94, effective 6/23/94]</w:t>
      </w:r>
    </w:p>
    <w:p>
      <w:pPr>
        <w:spacing w:before="0" w:after="0"/>
        <w:ind w:left="120"/>
        <w:jc w:val="center"/>
      </w:pPr>
      <w:r>
        <w:rPr>
          <w:rFonts w:ascii="Times New Roman" w:hAnsi="Times New Roman"/>
          <w:b w:val="false"/>
          <w:i w:val="false"/>
          <w:color w:val="000000"/>
          <w:sz w:val="21"/>
        </w:rPr>
        <w:t>[Filed 4/21/95, Notice 2/15/95—published 5/10/95, effective 6/14/95]</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8/29/02, Notice 7/10/02—published 9/18/02, effective 10/23/02]</w:t>
      </w:r>
    </w:p>
    <w:p>
      <w:pPr>
        <w:spacing w:before="0" w:after="0"/>
        <w:ind w:left="120"/>
        <w:jc w:val="center"/>
      </w:pPr>
      <w:r>
        <w:rPr>
          <w:rFonts w:ascii="Times New Roman" w:hAnsi="Times New Roman"/>
          <w:b w:val="false"/>
          <w:i w:val="false"/>
          <w:color w:val="000000"/>
          <w:sz w:val="21"/>
        </w:rPr>
        <w:t>[Filed without Notice 10/24/02—published 11/13/02, effective 12/18/02]</w:t>
      </w:r>
    </w:p>
    <w:p>
      <w:pPr>
        <w:spacing w:before="0" w:after="0"/>
        <w:ind w:left="120"/>
        <w:jc w:val="center"/>
      </w:pPr>
      <w:r>
        <w:rPr>
          <w:rFonts w:ascii="Times New Roman" w:hAnsi="Times New Roman"/>
          <w:b w:val="false"/>
          <w:i w:val="false"/>
          <w:color w:val="000000"/>
          <w:sz w:val="21"/>
        </w:rPr>
        <w:t>[Filed 8/29/03, Notice 5/14/03—published 9/17/03, effective 10/22/03]</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8/31/04, Notice 7/21/04—published 9/29/04, effective 11/3/04]</w:t>
      </w:r>
    </w:p>
    <w:p>
      <w:pPr>
        <w:spacing w:before="0" w:after="0"/>
        <w:ind w:left="120"/>
        <w:jc w:val="center"/>
      </w:pPr>
      <w:r>
        <w:rPr>
          <w:rFonts w:ascii="Times New Roman" w:hAnsi="Times New Roman"/>
          <w:b w:val="false"/>
          <w:i w:val="false"/>
          <w:color w:val="000000"/>
          <w:sz w:val="21"/>
        </w:rPr>
        <w:t>[Filed 4/22/05, Notice 2/2/05—published 5/11/05, effective 6/15/05]</w:t>
      </w:r>
    </w:p>
    <w:p>
      <w:pPr>
        <w:spacing w:before="0" w:after="0"/>
        <w:ind w:left="120"/>
        <w:jc w:val="center"/>
      </w:pPr>
      <w:r>
        <w:rPr>
          <w:rFonts w:ascii="Times New Roman" w:hAnsi="Times New Roman"/>
          <w:b w:val="false"/>
          <w:i w:val="false"/>
          <w:color w:val="000000"/>
          <w:sz w:val="21"/>
        </w:rPr>
        <w:t>[Filed 9/9/05, Notice 7/20/05—published 9/28/05, effective 11/2/05]</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9218B</w:t>
      </w:r>
      <w:r>
        <w:rPr>
          <w:rFonts w:ascii="Times New Roman" w:hAnsi="Times New Roman"/>
          <w:b w:val="false"/>
          <w:i w:val="false"/>
          <w:color w:val="000000"/>
          <w:sz w:val="21"/>
        </w:rPr>
        <w:t xml:space="preserve"> (Notice ARC 8846B, IAB 6/16/10)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0984C</w:t>
      </w:r>
      <w:r>
        <w:rPr>
          <w:rFonts w:ascii="Times New Roman" w:hAnsi="Times New Roman"/>
          <w:b w:val="false"/>
          <w:i w:val="false"/>
          <w:color w:val="000000"/>
          <w:sz w:val="21"/>
        </w:rPr>
        <w:t xml:space="preserve"> (Notice ARC 0724C, IAB 5/1/13)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2423C</w:t>
      </w:r>
      <w:r>
        <w:rPr>
          <w:rFonts w:ascii="Times New Roman" w:hAnsi="Times New Roman"/>
          <w:b w:val="false"/>
          <w:i w:val="false"/>
          <w:color w:val="000000"/>
          <w:sz w:val="21"/>
        </w:rPr>
        <w:t xml:space="preserve"> (Notice ARC 2252C, IAB 11/25/15)</w:t>
      </w:r>
      <w:r>
        <w:rPr>
          <w:rFonts w:ascii="Times New Roman" w:hAnsi="Times New Roman"/>
          <w:b w:val="false"/>
          <w:i w:val="false"/>
          <w:color w:val="000000"/>
          <w:sz w:val="21"/>
        </w:rPr>
        <w:t>, IAB 3/2/16, effective 4/6/16]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chapter/650.15.pdf" Type="http://schemas.openxmlformats.org/officeDocument/2006/relationships/hyperlink" Id="rId6"/>
    <Relationship TargetMode="External" Target="https://www.legis.iowa.gov/docs/ico/chapter/153.22.pdf" Type="http://schemas.openxmlformats.org/officeDocument/2006/relationships/hyperlink" Id="rId7"/>
    <Relationship TargetMode="External" Target="https://www.legis.iowa.gov/docs/iac/chapter/650.15.pdf" Type="http://schemas.openxmlformats.org/officeDocument/2006/relationships/hyperlink" Id="rId8"/>
    <Relationship TargetMode="External" Target="https://www.legis.iowa.gov/docs/iac/chapter/650.15.pdf" Type="http://schemas.openxmlformats.org/officeDocument/2006/relationships/hyperlink" Id="rId9"/>
    <Relationship TargetMode="External" Target="https://www.legis.iowa.gov/docs/iac/rule/650.14.4.pdf" Type="http://schemas.openxmlformats.org/officeDocument/2006/relationships/hyperlink" Id="rId10"/>
    <Relationship TargetMode="External" Target="https://www.legis.iowa.gov/docs/iac/chapter/650.25.pdf" Type="http://schemas.openxmlformats.org/officeDocument/2006/relationships/hyperlink" Id="rId11"/>
    <Relationship TargetMode="External" Target="https://www.legis.iowa.gov/docs/iac/chapter/650.1.pdf" Type="http://schemas.openxmlformats.org/officeDocument/2006/relationships/hyperlink" Id="rId12"/>
    <Relationship TargetMode="External" Target="https://www.legis.iowa.gov/docs/ico/chapter/153.37.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rule/650.30.4.pdf" Type="http://schemas.openxmlformats.org/officeDocument/2006/relationships/hyperlink" Id="rId17"/>
    <Relationship TargetMode="External" Target="https://www.legis.iowa.gov/docs/iac/chapter/650.51.pdf" Type="http://schemas.openxmlformats.org/officeDocument/2006/relationships/hyperlink" Id="rId18"/>
    <Relationship TargetMode="External" Target="https://www.legis.iowa.gov/docs/iac/chapter/650.15.pdf" Type="http://schemas.openxmlformats.org/officeDocument/2006/relationships/hyperlink" Id="rId19"/>
    <Relationship TargetMode="External" Target="https://www.legis.iowa.gov/docs/iac/chapter/650.1.pdf" Type="http://schemas.openxmlformats.org/officeDocument/2006/relationships/hyperlink" Id="rId20"/>
    <Relationship TargetMode="External" Target="https://www.legis.iowa.gov/docs/iac/rule/650.11.9.pdf" Type="http://schemas.openxmlformats.org/officeDocument/2006/relationships/hyperlink" Id="rId21"/>
    <Relationship TargetMode="External" Target="https://www.legis.iowa.gov/docs/iac/rule/650.11.10.pdf" Type="http://schemas.openxmlformats.org/officeDocument/2006/relationships/hyperlink" Id="rId22"/>
    <Relationship TargetMode="External" Target="https://www.legis.iowa.gov/docs/ico/chapter/153.19.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3.pdf" Type="http://schemas.openxmlformats.org/officeDocument/2006/relationships/hyperlink" Id="rId25"/>
    <Relationship TargetMode="External" Target="https://www.legis.iowa.gov/docs/ico/chapter/272C.pdf" Type="http://schemas.openxmlformats.org/officeDocument/2006/relationships/hyperlink" Id="rId26"/>
    <Relationship TargetMode="External" Target="https://www.legis.iowa.gov/docs/iac/rule/650.30.4.pdf" Type="http://schemas.openxmlformats.org/officeDocument/2006/relationships/hyperlink" Id="rId27"/>
    <Relationship TargetMode="External" Target="https://www.legis.iowa.gov/docs/iac/chapter/650.51.pdf" Type="http://schemas.openxmlformats.org/officeDocument/2006/relationships/hyperlink" Id="rId28"/>
    <Relationship TargetMode="External" Target="https://www.legis.iowa.gov/docs/iac/chapter/650.1.pdf" Type="http://schemas.openxmlformats.org/officeDocument/2006/relationships/hyperlink" Id="rId29"/>
    <Relationship TargetMode="External" Target="https://www.legis.iowa.gov/docs/iac/rule/650.11.9.pdf" Type="http://schemas.openxmlformats.org/officeDocument/2006/relationships/hyperlink" Id="rId30"/>
    <Relationship TargetMode="External" Target="https://www.legis.iowa.gov/docs/iac/rule/650.11.10.pdf" Type="http://schemas.openxmlformats.org/officeDocument/2006/relationships/hyperlink" Id="rId31"/>
    <Relationship TargetMode="External" Target="https://www.legis.iowa.gov/docs/ico/chapter/153.23.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