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DENTAL AND DENTAL HYGIENE EXAMINATIONS</w:t>
      </w:r>
    </w:p>
    <w:p>
      <w:pPr>
        <w:spacing w:before="0" w:after="0"/>
        <w:ind w:left="120"/>
        <w:jc w:val="center"/>
      </w:pPr>
      <w:r>
        <w:rPr>
          <w:rFonts w:ascii="Times New Roman" w:hAnsi="Times New Roman"/>
          <w:b w:val="false"/>
          <w:i w:val="false"/>
          <w:color w:val="000000"/>
          <w:sz w:val="14"/>
        </w:rPr>
        <w:t>[Prior to 5/18/88, Dental Examiners, Board of[320]]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650—12.1</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procedure for dentistry.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regional clinical examination testing requirements and procedures. </w:t>
      </w:r>
      <w:r>
        <w:rPr>
          <w:rFonts w:ascii="Times New Roman" w:hAnsi="Times New Roman"/>
          <w:b w:val="false"/>
          <w:i w:val="false"/>
          <w:color w:val="000000"/>
          <w:sz w:val="22"/>
        </w:rPr>
        <w:t>Examinees shall meet the requirements for testing and follow procedures established by each respective testing agency. Examinees must take all parts offered by the respective testing agency, including the CDCA periodontal scaling non-patient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color w:val="000000"/>
          <w:sz w:val="22"/>
        </w:rPr>
        <w:t xml:space="preserve">Scoring requirements. </w:t>
      </w:r>
      <w:r>
        <w:rPr>
          <w:rFonts w:ascii="Times New Roman" w:hAnsi="Times New Roman"/>
          <w:b w:val="false"/>
          <w:i w:val="false"/>
          <w:color w:val="000000"/>
          <w:sz w:val="22"/>
        </w:rPr>
        <w:t>The examinee must attain a passing score on each clinical portion of the examination and on the written portion of the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650—12.2</w:t>
      </w:r>
      <w:r>
        <w:rPr>
          <w:rFonts w:ascii="Times New Roman" w:hAnsi="Times New Roman"/>
          <w:b/>
          <w:i w:val="false"/>
          <w:color w:val="000000"/>
          <w:sz w:val="22"/>
        </w:rPr>
        <w:t xml:space="preserve">(147,153) </w:t>
      </w:r>
      <w:r>
        <w:rPr>
          <w:rFonts w:ascii="Times New Roman" w:hAnsi="Times New Roman"/>
          <w:b/>
          <w:i w:val="false"/>
          <w:color w:val="000000"/>
          <w:sz w:val="22"/>
        </w:rPr>
        <w:t xml:space="preserve">System of retaking dental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Method of counting failures. </w:t>
      </w:r>
      <w:r>
        <w:rPr>
          <w:rFonts w:ascii="Times New Roman" w:hAnsi="Times New Roman"/>
          <w:b w:val="false"/>
          <w:i w:val="false"/>
          <w:color w:val="000000"/>
          <w:sz w:val="22"/>
        </w:rPr>
        <w:t>For the purposes of counting examination failures, the board shall utilize policies adopted by each respective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third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third examination attempt, a dental examinee must submit proof of additional formal education or clinical experience approved in advance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dental examinee shall be required to retake only those parts of the examination that the examinee failed. However, a dental examinee who has not passed all parts of the examination within the time frame specified shall be required to retake the entire examination. The dental examinee shall refer to the policies of each respective testing agency to determine applicable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fourth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the fourth examination attempt, a dental examinee must submit proof of satisfactory completion of the equivalent of an additional senior year of an approved curriculum in dentistry at a university or school with an approved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fourth examination, the dental examinee shall be required to retake only those parts of the examination that the examinee failed. However, a dental examinee who has not passed all parts of the examination within the time frame specified shall be required to retake the entire examination. The dental examinee shall refer to the policies of each respective testing agency to determine applicable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color w:val="000000"/>
          <w:sz w:val="22"/>
        </w:rPr>
        <w:t xml:space="preserve">Subsequent failures. </w:t>
      </w:r>
      <w:r>
        <w:rPr>
          <w:rFonts w:ascii="Times New Roman" w:hAnsi="Times New Roman"/>
          <w:b w:val="false"/>
          <w:i w:val="false"/>
          <w:color w:val="000000"/>
          <w:sz w:val="22"/>
        </w:rPr>
        <w:t>For the purposes of additional study prior to retakes, the fifth examination will be considered the same as the third.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color w:val="000000"/>
          <w:sz w:val="22"/>
        </w:rPr>
        <w:t xml:space="preserve">Failures of other examinations. </w:t>
      </w:r>
      <w:r>
        <w:rPr>
          <w:rFonts w:ascii="Times New Roman" w:hAnsi="Times New Roman"/>
          <w:b w:val="false"/>
          <w:i w:val="false"/>
          <w:color w:val="000000"/>
          <w:sz w:val="22"/>
        </w:rPr>
        <w:t>If a dental examinee applies for an examination after having failed any other state or regional examinations, the failure shall be counted for the purposes of retakes.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650—12.3</w:t>
      </w:r>
      <w:r>
        <w:rPr>
          <w:rFonts w:ascii="Times New Roman" w:hAnsi="Times New Roman"/>
          <w:b/>
          <w:i w:val="false"/>
          <w:color w:val="000000"/>
          <w:sz w:val="22"/>
        </w:rPr>
        <w:t xml:space="preserve">(147,153) </w:t>
      </w:r>
      <w:r>
        <w:rPr>
          <w:rFonts w:ascii="Times New Roman" w:hAnsi="Times New Roman"/>
          <w:b/>
          <w:i w:val="false"/>
          <w:color w:val="000000"/>
          <w:sz w:val="22"/>
        </w:rPr>
        <w:t xml:space="preserve">Portfolio examination procedure for dentistry.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portfolio examination. </w:t>
      </w:r>
      <w:r>
        <w:rPr>
          <w:rFonts w:ascii="Times New Roman" w:hAnsi="Times New Roman"/>
          <w:b w:val="false"/>
          <w:i w:val="false"/>
          <w:color w:val="000000"/>
          <w:sz w:val="22"/>
        </w:rPr>
        <w:t>The 2014 California portfolio examination is accepted for licensure by examination for University of Iowa graduates. To meet the requirements for dental licensure and portfolio examination, applicants shall complete the portfolio examination as administered at the University of Iowa College of Dentistry (College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testing 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oversee all aspects of the portfolio examination process but shall not interfere with the College of Dentistry’s authority to establish and deliver an accredited curriculum. The board shall determine an end-of-year deadline, in consultation with the College of Dentistry, to determine when the portfolio examinations shall be completed and submitted to the board for review by the board’s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portfolio examination shall be conducted while the applicant is actively enrolled as a student at the College of Dentistry. This examination shall utilize uniform standards of clinical experiences and competencies as outlined in the 2014 California portfolio examination. The applicant shall pass a final assessment of the submitted portfolio at the end of the applicant’s dental school education at the College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any portfolio examination may be submitted to the board, the applicant shall remit to the board the required portfolio examination fee as specified in 650—Chapter 15 and a letter of good standing signed by the dean of the College of Dentistry stating that the applicant has graduated or will graduate with no pending ethical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Scoring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Final clinical competencies performed by the applicant must be evaluated by two examiners who have participated in standardization, calibration and training. The examiners shall be approved by the board and may include faculty, board members or board member designees. Board members or board member designees shall have priority as examiners at all times. The College of Dentistry shall submit to the board the names of the portfolio examiners for consideration by January 1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College of Dentistry shall provide a minimum of a seven-day notice for all final competencies. In the event that a seven-day notice cannot be provided, the College of Dentistry must notify the board immediately. In the event that no board members or designees are available to participate in an evaluation, the College of Dentistry may use two board-approved portfolio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each competency shall result in a score that meets minimum competence-level performance. Scoring criteria for each competency is outlined in the 2014/2015 California Examiner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monitor and audit the standardization and calibration of examiners at least biennially to ensure standardization and an acceptable level of calibration in the grading of the examination. The College of Dentistry’s competency examinations with regard to the portfolio examination shall be audited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clinical 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and verify the successful completion of a minimum number of clinical experiences for the portfolio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and verify the successful completion of a set number of competency examinations performed on a patient of record. The clinical experiences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Comprehensive oral diagnosis and treatment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Periodontics;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Indirect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Removable prosthodontics;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Endodontics.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650—12.4</w:t>
      </w:r>
      <w:r>
        <w:rPr>
          <w:rFonts w:ascii="Times New Roman" w:hAnsi="Times New Roman"/>
          <w:b/>
          <w:i w:val="false"/>
          <w:color w:val="000000"/>
          <w:sz w:val="22"/>
        </w:rPr>
        <w:t xml:space="preserve">(147,153) </w:t>
      </w:r>
      <w:r>
        <w:rPr>
          <w:rFonts w:ascii="Times New Roman" w:hAnsi="Times New Roman"/>
          <w:b/>
          <w:i w:val="false"/>
          <w:color w:val="000000"/>
          <w:sz w:val="22"/>
        </w:rPr>
        <w:t xml:space="preserve">Clinical examination procedure for dental hygiene.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regional clinical examination testing requirements and procedures. </w:t>
      </w:r>
      <w:r>
        <w:rPr>
          <w:rFonts w:ascii="Times New Roman" w:hAnsi="Times New Roman"/>
          <w:b w:val="false"/>
          <w:i w:val="false"/>
          <w:color w:val="000000"/>
          <w:sz w:val="22"/>
        </w:rPr>
        <w:t>Examinees shall meet the requirements for testing and follow the procedures established by each respective testing agency. Examinees must take all parts offered by the respective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Scoring requirements. </w:t>
      </w:r>
      <w:r>
        <w:rPr>
          <w:rFonts w:ascii="Times New Roman" w:hAnsi="Times New Roman"/>
          <w:b w:val="false"/>
          <w:i w:val="false"/>
          <w:color w:val="000000"/>
          <w:sz w:val="22"/>
        </w:rPr>
        <w:t>The examinee must attain a passing score on each clinical portion of the examination and on the written portion of the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650—12.5</w:t>
      </w:r>
      <w:r>
        <w:rPr>
          <w:rFonts w:ascii="Times New Roman" w:hAnsi="Times New Roman"/>
          <w:b/>
          <w:i w:val="false"/>
          <w:color w:val="000000"/>
          <w:sz w:val="22"/>
        </w:rPr>
        <w:t xml:space="preserve">(147,153) </w:t>
      </w:r>
      <w:r>
        <w:rPr>
          <w:rFonts w:ascii="Times New Roman" w:hAnsi="Times New Roman"/>
          <w:b/>
          <w:i w:val="false"/>
          <w:color w:val="000000"/>
          <w:sz w:val="22"/>
        </w:rPr>
        <w:t xml:space="preserve">System of retaking dental hygiene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color w:val="000000"/>
          <w:sz w:val="22"/>
        </w:rPr>
        <w:t xml:space="preserve">Method of counting failures.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the purposes of counting examination failures, the board shall utilize the policies adopted by each respective testing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dental hygiene examinee who has two examination failures will be required to complete the remedial education requirements set forth in subrule 12.5(2).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third examination. </w:t>
      </w:r>
      <w:r>
        <w:rPr>
          <w:rFonts w:ascii="Times New Roman" w:hAnsi="Times New Roman"/>
          <w:b w:val="false"/>
          <w:i w:val="false"/>
          <w:color w:val="000000"/>
          <w:sz w:val="22"/>
        </w:rPr>
        <w:t>Prior to the third examination attempt, a dental hygiene examinee must submit proof of a minimum of 40 hours of additional formal education or a minimum of 40 hours of clinical experience that is approved in advance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color w:val="000000"/>
          <w:sz w:val="22"/>
        </w:rPr>
        <w:t xml:space="preserve">Remedial education required prior to fourth examination. </w:t>
      </w:r>
      <w:r>
        <w:rPr>
          <w:rFonts w:ascii="Times New Roman" w:hAnsi="Times New Roman"/>
          <w:b w:val="false"/>
          <w:i w:val="false"/>
          <w:color w:val="000000"/>
          <w:sz w:val="22"/>
        </w:rPr>
        <w:t>Prior to the fourth examination attempt, a dental hygiene examinee must submit proof of satisfactory completion of the equivalent of an additional semester of dental hygiene at a university or school approved by the dental hygiene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color w:val="000000"/>
          <w:sz w:val="22"/>
        </w:rPr>
        <w:t xml:space="preserve">Subsequent failures. </w:t>
      </w:r>
      <w:r>
        <w:rPr>
          <w:rFonts w:ascii="Times New Roman" w:hAnsi="Times New Roman"/>
          <w:b w:val="false"/>
          <w:i w:val="false"/>
          <w:color w:val="000000"/>
          <w:sz w:val="22"/>
        </w:rPr>
        <w:t>For purposes of additional study prior to retakes, the fifth examination will be considered the same as the third.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color w:val="000000"/>
          <w:sz w:val="22"/>
        </w:rPr>
        <w:t xml:space="preserve">Failures of other examinations. </w:t>
      </w:r>
      <w:r>
        <w:rPr>
          <w:rFonts w:ascii="Times New Roman" w:hAnsi="Times New Roman"/>
          <w:b w:val="false"/>
          <w:i w:val="false"/>
          <w:color w:val="000000"/>
          <w:sz w:val="22"/>
        </w:rPr>
        <w:t>If a dental hygiene examinee applies for an examination after having failed any other state or regional examinations, the failure shall be counted for the purposes of retakes.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7790B</w:t>
      </w:r>
      <w:r>
        <w:rPr>
          <w:rFonts w:ascii="Times New Roman" w:hAnsi="Times New Roman"/>
          <w:b w:val="false"/>
          <w:i w:val="false"/>
          <w:color w:val="000000"/>
          <w:sz w:val="16"/>
        </w:rPr>
        <w:t>, IAB 5/20/09, effective 6/24/09</w:t>
      </w:r>
      <w:r>
        <w:rPr>
          <w:rFonts w:ascii="Times New Roman" w:hAnsi="Times New Roman"/>
          <w:b w:val="false"/>
          <w:i w:val="false"/>
          <w:color w:val="000000"/>
          <w:sz w:val="16"/>
        </w:rPr>
        <w:t xml:space="preserve">; </w:t>
      </w:r>
      <w:r>
        <w:rPr>
          <w:rFonts w:ascii="Times New Roman" w:hAnsi="Times New Roman"/>
          <w:b/>
          <w:i w:val="false"/>
          <w:color w:val="000000"/>
          <w:sz w:val="16"/>
        </w:rPr>
        <w:t>ARC 9510B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2871C</w:t>
      </w:r>
      <w:r>
        <w:rPr>
          <w:rFonts w:ascii="Times New Roman" w:hAnsi="Times New Roman"/>
          <w:b w:val="false"/>
          <w:i w:val="false"/>
          <w:color w:val="000000"/>
          <w:sz w:val="16"/>
        </w:rPr>
        <w:t>, IAB 12/21/16, effective 1/25/17</w:t>
      </w:r>
      <w:r>
        <w:rPr>
          <w:rFonts w:ascii="Times New Roman" w:hAnsi="Times New Roman"/>
          <w:b w:val="false"/>
          <w:i w:val="false"/>
          <w:color w:val="000000"/>
          <w:sz w:val="16"/>
        </w:rPr>
        <w:t xml:space="preserve">; </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chapter is intended to implement Iowa Code section </w:t>
      </w:r>
      <w:hyperlink r:id="rId5">
        <w:r>
          <w:rPr>
            <w:rStyle w:val="Hyperlink"/>
            <w:rFonts w:ascii="Times New Roman" w:hAnsi="Times New Roman"/>
            <w:b w:val="false"/>
            <w:i w:val="false"/>
            <w:color w:val="000000"/>
            <w:sz w:val="22"/>
          </w:rPr>
          <w:t>147.36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8/23/78, Notice 6/28/78—published 9/20/78, effective 10/25/78]</w:t>
      </w:r>
    </w:p>
    <w:p>
      <w:pPr>
        <w:spacing w:before="0" w:after="0"/>
        <w:ind w:left="120"/>
        <w:jc w:val="center"/>
      </w:pPr>
      <w:r>
        <w:rPr>
          <w:rFonts w:ascii="Times New Roman" w:hAnsi="Times New Roman"/>
          <w:b w:val="false"/>
          <w:i w:val="false"/>
          <w:color w:val="000000"/>
          <w:sz w:val="21"/>
        </w:rPr>
        <w:t>[Filed 3/20/86, Notice 9/11/85—published 4/9/86, effective 5/14/86]</w:t>
      </w:r>
    </w:p>
    <w:p>
      <w:pPr>
        <w:spacing w:before="0" w:after="0"/>
        <w:ind w:left="120"/>
        <w:jc w:val="center"/>
      </w:pPr>
      <w:r>
        <w:rPr>
          <w:rFonts w:ascii="Times New Roman" w:hAnsi="Times New Roman"/>
          <w:b w:val="false"/>
          <w:i w:val="false"/>
          <w:color w:val="000000"/>
          <w:sz w:val="21"/>
        </w:rPr>
        <w:t>[Filed 4/28/88, Notice 3/23/88—published 5/18/88, effective 6/22/88]</w:t>
      </w:r>
    </w:p>
    <w:p>
      <w:pPr>
        <w:spacing w:before="0" w:after="0"/>
        <w:ind w:left="120"/>
        <w:jc w:val="center"/>
      </w:pPr>
      <w:r>
        <w:rPr>
          <w:rFonts w:ascii="Times New Roman" w:hAnsi="Times New Roman"/>
          <w:b w:val="false"/>
          <w:i w:val="false"/>
          <w:color w:val="000000"/>
          <w:sz w:val="21"/>
        </w:rPr>
        <w:t>[Filed 8/1/91, Notice 5/29/91—published 8/21/91, effective 9/25/91]</w:t>
      </w:r>
    </w:p>
    <w:p>
      <w:pPr>
        <w:spacing w:before="0" w:after="0"/>
        <w:ind w:left="120"/>
        <w:jc w:val="center"/>
      </w:pPr>
      <w:r>
        <w:rPr>
          <w:rFonts w:ascii="Times New Roman" w:hAnsi="Times New Roman"/>
          <w:b w:val="false"/>
          <w:i w:val="false"/>
          <w:color w:val="000000"/>
          <w:sz w:val="21"/>
        </w:rPr>
        <w:t>[Filed 4/21/95, Notice 3/1/95—published 5/10/95, effective 6/14/95]</w:t>
      </w:r>
    </w:p>
    <w:p>
      <w:pPr>
        <w:spacing w:before="0" w:after="0"/>
        <w:ind w:left="120"/>
        <w:jc w:val="center"/>
      </w:pPr>
      <w:r>
        <w:rPr>
          <w:rFonts w:ascii="Times New Roman" w:hAnsi="Times New Roman"/>
          <w:b w:val="false"/>
          <w:i w:val="false"/>
          <w:color w:val="000000"/>
          <w:sz w:val="21"/>
        </w:rPr>
        <w:t>[Filed 4/30/96, Notice 2/14/96—published 5/22/96, effective 6/26/96]</w:t>
      </w:r>
    </w:p>
    <w:p>
      <w:pPr>
        <w:spacing w:before="0" w:after="0"/>
        <w:ind w:left="120"/>
        <w:jc w:val="center"/>
      </w:pPr>
      <w:r>
        <w:rPr>
          <w:rFonts w:ascii="Times New Roman" w:hAnsi="Times New Roman"/>
          <w:b w:val="false"/>
          <w:i w:val="false"/>
          <w:color w:val="000000"/>
          <w:sz w:val="21"/>
        </w:rPr>
        <w:t>[Filed 5/1/97, Notice 2/26/97—published 5/21/97, effective 6/25/97]</w:t>
      </w:r>
    </w:p>
    <w:p>
      <w:pPr>
        <w:spacing w:before="0" w:after="0"/>
        <w:ind w:left="120"/>
        <w:jc w:val="center"/>
      </w:pPr>
      <w:r>
        <w:rPr>
          <w:rFonts w:ascii="Times New Roman" w:hAnsi="Times New Roman"/>
          <w:b w:val="false"/>
          <w:i w:val="false"/>
          <w:color w:val="000000"/>
          <w:sz w:val="21"/>
        </w:rPr>
        <w:t>[Filed 1/22/99, Notice 11/18/98—published 2/10/99, effective 3/17/99]</w:t>
      </w:r>
    </w:p>
    <w:p>
      <w:pPr>
        <w:spacing w:before="0" w:after="0"/>
        <w:ind w:left="120"/>
        <w:jc w:val="center"/>
      </w:pPr>
      <w:r>
        <w:rPr>
          <w:rFonts w:ascii="Times New Roman" w:hAnsi="Times New Roman"/>
          <w:b w:val="false"/>
          <w:i w:val="false"/>
          <w:color w:val="000000"/>
          <w:sz w:val="21"/>
        </w:rPr>
        <w:t>[Filed 7/27/01, Notice 4/18/01—published 8/22/01, effective 9/26/01]</w:t>
      </w:r>
    </w:p>
    <w:p>
      <w:pPr>
        <w:spacing w:before="0" w:after="0"/>
        <w:ind w:left="120"/>
        <w:jc w:val="center"/>
      </w:pPr>
      <w:r>
        <w:rPr>
          <w:rFonts w:ascii="Times New Roman" w:hAnsi="Times New Roman"/>
          <w:b w:val="false"/>
          <w:i w:val="false"/>
          <w:color w:val="000000"/>
          <w:sz w:val="21"/>
        </w:rPr>
        <w:t>[Filed 1/18/02, Notice 11/14/01—published 2/6/02, effective 3/13/02]</w:t>
      </w:r>
    </w:p>
    <w:p>
      <w:pPr>
        <w:spacing w:before="0" w:after="0"/>
        <w:ind w:left="120"/>
        <w:jc w:val="center"/>
      </w:pPr>
      <w:r>
        <w:rPr>
          <w:rFonts w:ascii="Times New Roman" w:hAnsi="Times New Roman"/>
          <w:b w:val="false"/>
          <w:i w:val="false"/>
          <w:color w:val="000000"/>
          <w:sz w:val="21"/>
        </w:rPr>
        <w:t>[Filed 7/1/04, Notice 5/12/04—published 7/21/04, effective 8/25/04]</w:t>
      </w:r>
    </w:p>
    <w:p>
      <w:pPr>
        <w:spacing w:before="0" w:after="0"/>
        <w:ind w:left="120"/>
        <w:jc w:val="center"/>
      </w:pPr>
      <w:r>
        <w:rPr>
          <w:rFonts w:ascii="Times New Roman" w:hAnsi="Times New Roman"/>
          <w:b w:val="false"/>
          <w:i w:val="false"/>
          <w:color w:val="000000"/>
          <w:sz w:val="21"/>
        </w:rPr>
        <w:t>[Filed 1/14/05, Notice 11/10/04—published 2/2/05, effective 3/9/05]</w:t>
      </w:r>
    </w:p>
    <w:p>
      <w:pPr>
        <w:spacing w:before="0" w:after="0"/>
        <w:ind w:left="120"/>
        <w:jc w:val="center"/>
      </w:pPr>
      <w:r>
        <w:rPr>
          <w:rFonts w:ascii="Times New Roman" w:hAnsi="Times New Roman"/>
          <w:b w:val="false"/>
          <w:i w:val="false"/>
          <w:color w:val="000000"/>
          <w:sz w:val="21"/>
        </w:rPr>
        <w:t>[Filed 4/6/06, Notice 2/15/06—published 4/26/06, effective 5/31/06]</w:t>
      </w:r>
    </w:p>
    <w:p>
      <w:pPr>
        <w:spacing w:before="0" w:after="0"/>
        <w:ind w:left="120"/>
        <w:jc w:val="center"/>
      </w:pPr>
      <w:r>
        <w:rPr>
          <w:rFonts w:ascii="Times New Roman" w:hAnsi="Times New Roman"/>
          <w:b w:val="false"/>
          <w:i w:val="false"/>
          <w:color w:val="000000"/>
          <w:sz w:val="21"/>
        </w:rPr>
        <w:t>[Filed 5/3/07, Notice 2/28/07—published 5/23/07, effective 6/27/07]</w:t>
      </w:r>
    </w:p>
    <w:p>
      <w:pPr>
        <w:spacing w:before="0" w:after="0"/>
        <w:ind w:left="120"/>
        <w:jc w:val="center"/>
      </w:pPr>
      <w:r>
        <w:rPr>
          <w:rFonts w:ascii="Times New Roman" w:hAnsi="Times New Roman"/>
          <w:b w:val="false"/>
          <w:i w:val="false"/>
          <w:color w:val="000000"/>
          <w:sz w:val="21"/>
        </w:rPr>
        <w:t>[Filed ARC 7790B</w:t>
      </w:r>
      <w:r>
        <w:rPr>
          <w:rFonts w:ascii="Times New Roman" w:hAnsi="Times New Roman"/>
          <w:b w:val="false"/>
          <w:i w:val="false"/>
          <w:color w:val="000000"/>
          <w:sz w:val="21"/>
        </w:rPr>
        <w:t xml:space="preserve"> (Notice ARC 7567B, IAB 2/11/09)</w:t>
      </w:r>
      <w:r>
        <w:rPr>
          <w:rFonts w:ascii="Times New Roman" w:hAnsi="Times New Roman"/>
          <w:b w:val="false"/>
          <w:i w:val="false"/>
          <w:color w:val="000000"/>
          <w:sz w:val="21"/>
        </w:rPr>
        <w:t>, IAB 5/20/09, effective 6/24/09]</w:t>
      </w:r>
    </w:p>
    <w:p>
      <w:pPr>
        <w:spacing w:before="0" w:after="0"/>
        <w:ind w:left="120"/>
        <w:jc w:val="center"/>
      </w:pPr>
      <w:r>
        <w:rPr>
          <w:rFonts w:ascii="Times New Roman" w:hAnsi="Times New Roman"/>
          <w:b w:val="false"/>
          <w:i w:val="false"/>
          <w:color w:val="000000"/>
          <w:sz w:val="21"/>
        </w:rPr>
        <w:t>[Filed ARC 9510B</w:t>
      </w:r>
      <w:r>
        <w:rPr>
          <w:rFonts w:ascii="Times New Roman" w:hAnsi="Times New Roman"/>
          <w:b w:val="false"/>
          <w:i w:val="false"/>
          <w:color w:val="000000"/>
          <w:sz w:val="21"/>
        </w:rPr>
        <w:t xml:space="preserve"> (Notice ARC 9243B, IAB 12/1/10)</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0265C</w:t>
      </w:r>
      <w:r>
        <w:rPr>
          <w:rFonts w:ascii="Times New Roman" w:hAnsi="Times New Roman"/>
          <w:b w:val="false"/>
          <w:i w:val="false"/>
          <w:color w:val="000000"/>
          <w:sz w:val="21"/>
        </w:rPr>
        <w:t xml:space="preserve"> (Notice ARC 0128C, IAB 5/16/12)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2871C</w:t>
      </w:r>
      <w:r>
        <w:rPr>
          <w:rFonts w:ascii="Times New Roman" w:hAnsi="Times New Roman"/>
          <w:b w:val="false"/>
          <w:i w:val="false"/>
          <w:color w:val="000000"/>
          <w:sz w:val="21"/>
        </w:rPr>
        <w:t xml:space="preserve"> (Notice ARC 2700C, IAB 8/31/16)</w:t>
      </w:r>
      <w:r>
        <w:rPr>
          <w:rFonts w:ascii="Times New Roman" w:hAnsi="Times New Roman"/>
          <w:b w:val="false"/>
          <w:i w:val="false"/>
          <w:color w:val="000000"/>
          <w:sz w:val="21"/>
        </w:rPr>
        <w:t>, IAB 12/21/16, effective 1/25/17]</w:t>
      </w:r>
    </w:p>
    <w:p>
      <w:pPr>
        <w:spacing w:before="0" w:after="0"/>
        <w:ind w:left="120"/>
        <w:jc w:val="center"/>
      </w:pPr>
      <w:r>
        <w:rPr>
          <w:rFonts w:ascii="Times New Roman" w:hAnsi="Times New Roman"/>
          <w:b w:val="false"/>
          <w:i w:val="false"/>
          <w:color w:val="000000"/>
          <w:sz w:val="21"/>
        </w:rPr>
        <w:t>[Filed ARC 3488C</w:t>
      </w:r>
      <w:r>
        <w:rPr>
          <w:rFonts w:ascii="Times New Roman" w:hAnsi="Times New Roman"/>
          <w:b w:val="false"/>
          <w:i w:val="false"/>
          <w:color w:val="000000"/>
          <w:sz w:val="21"/>
        </w:rPr>
        <w:t xml:space="preserve"> (Notice ARC 3252C, IAB 8/16/17)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5366C</w:t>
      </w:r>
      <w:r>
        <w:rPr>
          <w:rFonts w:ascii="Times New Roman" w:hAnsi="Times New Roman"/>
          <w:b w:val="false"/>
          <w:i w:val="false"/>
          <w:color w:val="000000"/>
          <w:sz w:val="21"/>
        </w:rPr>
        <w:t xml:space="preserve"> (Notice ARC 5264C, IAB 11/4/20)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7.3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