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LICENSURE AND REGISTRATION</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650—11.1</w:t>
      </w:r>
      <w:r>
        <w:rPr>
          <w:rFonts w:ascii="Times New Roman" w:hAnsi="Times New Roman"/>
          <w:b/>
          <w:i w:val="false"/>
          <w:color w:val="000000"/>
          <w:sz w:val="22"/>
        </w:rPr>
        <w:t xml:space="preserve">(147,153) </w:t>
      </w:r>
      <w:r>
        <w:rPr>
          <w:rFonts w:ascii="Times New Roman" w:hAnsi="Times New Roman"/>
          <w:b/>
          <w:i w:val="false"/>
          <w:color w:val="000000"/>
          <w:sz w:val="22"/>
        </w:rPr>
        <w:t xml:space="preserve">Applicant responsibilities. </w:t>
      </w:r>
      <w:r>
        <w:rPr>
          <w:rFonts w:ascii="Times New Roman" w:hAnsi="Times New Roman"/>
          <w:b w:val="false"/>
          <w:i w:val="false"/>
          <w:color w:val="000000"/>
          <w:sz w:val="22"/>
        </w:rPr>
        <w:t>An applicant for dental or dental hygiene licensure or dental assistant registration bears full responsibility for each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Paying all fees charged by regulatory authorities, national testing or credentialing organizations, health facilities, and educational institutions providing the information required to complete a license, registration or permit application;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Providing accurate, up-to-date, and truthful information on the application form including, but not limited to, prior professional experience, education, training, examination scores, and disciplinary history;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Submitting complete application materials. An application for a license, permit, or registration or reinstatement of a license or registration will be considered active for 180 days from the date the application is received. For purposes of establishing timely filing, the postmark on a paper submittal will be used, and for applications submitted online, the electronic timestamp will be deemed the date of filing. If the applicant does not submit all materials, including a completed fingerprint packet, within this time period or if the applicant does not meet the requirements for the license, permit, registration or reinstatement, the application shall be considered incomplete. An applicant whose application is filed incomplete must submit a new application and application fee.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650—11.2</w:t>
      </w:r>
      <w:r>
        <w:rPr>
          <w:rFonts w:ascii="Times New Roman" w:hAnsi="Times New Roman"/>
          <w:b/>
          <w:i w:val="false"/>
          <w:color w:val="000000"/>
          <w:sz w:val="22"/>
        </w:rPr>
        <w:t xml:space="preserve">(147,153) </w:t>
      </w:r>
      <w:r>
        <w:rPr>
          <w:rFonts w:ascii="Times New Roman" w:hAnsi="Times New Roman"/>
          <w:b/>
          <w:i w:val="false"/>
          <w:color w:val="000000"/>
          <w:sz w:val="22"/>
        </w:rPr>
        <w:t xml:space="preserve">Dental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licensure by examination to practice dentistry in this state shall be made on the form provided by the board and must be completely answered, including required credentials and documents. An applicant who has held a dental license issued in another state for one year or longer must apply for licensure by credentials pursuant to rule </w:t>
      </w:r>
      <w:hyperlink r:id="rId7">
        <w:r>
          <w:rPr>
            <w:rStyle w:val="Hyperlink"/>
            <w:rFonts w:ascii="Times New Roman" w:hAnsi="Times New Roman"/>
            <w:b w:val="false"/>
            <w:i w:val="false"/>
            <w:color w:val="000000"/>
            <w:sz w:val="22"/>
          </w:rPr>
          <w:t>650—11.3</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must be filed with the board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graduation from dental college. </w:t>
      </w:r>
      <w:r>
        <w:rPr>
          <w:rFonts w:ascii="Times New Roman" w:hAnsi="Times New Roman"/>
          <w:b w:val="false"/>
          <w:i w:val="false"/>
          <w:color w:val="000000"/>
          <w:sz w:val="22"/>
        </w:rPr>
        <w:t xml:space="preserve">Satisfactory evidence of graduation with a DDS or DMD from an accredited dental college approved by the board or satisfactory evidence of meeting the requirements specified in rule </w:t>
      </w:r>
      <w:hyperlink r:id="rId8">
        <w:r>
          <w:rPr>
            <w:rStyle w:val="Hyperlink"/>
            <w:rFonts w:ascii="Times New Roman" w:hAnsi="Times New Roman"/>
            <w:b w:val="false"/>
            <w:i w:val="false"/>
            <w:color w:val="000000"/>
            <w:sz w:val="22"/>
          </w:rPr>
          <w:t>650—11.4(153)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good standing from dean or designee. </w:t>
      </w:r>
      <w:r>
        <w:rPr>
          <w:rFonts w:ascii="Times New Roman" w:hAnsi="Times New Roman"/>
          <w:b w:val="false"/>
          <w:i w:val="false"/>
          <w:color w:val="000000"/>
          <w:sz w:val="22"/>
        </w:rPr>
        <w:t>Certification by the dean or other authorized representative of the dental school that the applicant has been a student in good standing while attending that dental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national dental examination. </w:t>
      </w:r>
      <w:r>
        <w:rPr>
          <w:rFonts w:ascii="Times New Roman" w:hAnsi="Times New Roman"/>
          <w:b w:val="false"/>
          <w:i w:val="false"/>
          <w:color w:val="000000"/>
          <w:sz w:val="22"/>
        </w:rPr>
        <w:t xml:space="preserve">Evidence of successful passage of the examination administered by the Joint Commission on National Dental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a clinical examination. </w:t>
      </w:r>
      <w:r>
        <w:rPr>
          <w:rFonts w:ascii="Times New Roman" w:hAnsi="Times New Roman"/>
          <w:b w:val="false"/>
          <w:i w:val="false"/>
          <w:color w:val="000000"/>
          <w:sz w:val="22"/>
        </w:rPr>
        <w:t>Successful passage of a board-approved clinical examination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patient-based regional clinical examinations are approved by the board for purposes of licensure by examination: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(CRDTS), the Western Regional Examining Board examination as administered by the Western Regional Examining Board (WREB),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(SRTA), and the American Board of Dental Examiners,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Commission on Dental Competency Assessments (CDCA) and the Council of Interstate Testing Agencies,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(CITA).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manikin-based regional clinical examinations are approved by the board for purposes of licensure by examination: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(CRDTS), and the American Board of Dental Examiners,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examination as administered by the Commission on Dental Competency Assessments (CDCA).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Beginning January 1, 2018, the 2014 California portfolio examination is approved by the board for the purposes of licensure by examination. To be eligible for licensure on the basis of portfolio examination, an applicant must be a student at the University of Iowa College of Dentistry or have graduated from the University of Iowa College of Dentistry within one year of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Explanation of any legal or administrative actions. </w:t>
      </w:r>
      <w:r>
        <w:rPr>
          <w:rFonts w:ascii="Times New Roman" w:hAnsi="Times New Roman"/>
          <w:b w:val="false"/>
          <w:i w:val="false"/>
          <w:color w:val="000000"/>
          <w:sz w:val="22"/>
        </w:rPr>
        <w:t>A statement disclosing and explaining any disciplinary actions, investigations, complaints, malpractice claims,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of application, fingerprint and background check fees. </w:t>
      </w:r>
      <w:r>
        <w:rPr>
          <w:rFonts w:ascii="Times New Roman" w:hAnsi="Times New Roman"/>
          <w:b w:val="false"/>
          <w:i w:val="false"/>
          <w:color w:val="000000"/>
          <w:sz w:val="22"/>
        </w:rPr>
        <w:t xml:space="preserve">The nonrefundable application fee, plus the fee for the evaluation of the fingerprint packet and the criminal history background checks by the Iowa division of criminal investigation (DCI) and the Federal Bureau of Investigation (FBI), as specified in </w:t>
      </w:r>
      <w:hyperlink r:id="rId9">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jurisprudence examination.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Current CPR certification.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Completed fingerprint packet.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personal appearance or any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147.3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147.29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147.34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650—11.3</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licensure by credentials.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by credentials to practice dentistry in this state shall be made on the form provided by the board and must be completely answered, including required credentials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Applications must be filed with the board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evidence of graduation with a DDS or DMD from an accredited dental college approved by the board or satisfactory evidence of meeting the requirements specified in rule </w:t>
      </w:r>
      <w:hyperlink r:id="rId13">
        <w:r>
          <w:rPr>
            <w:rStyle w:val="Hyperlink"/>
            <w:rFonts w:ascii="Times New Roman" w:hAnsi="Times New Roman"/>
            <w:b w:val="false"/>
            <w:i w:val="false"/>
            <w:color w:val="000000"/>
            <w:sz w:val="22"/>
          </w:rPr>
          <w:t>650—11.4(153)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passage of the Joint Commission on National Dental Examinations. Any dentist who has lawfully practiced dentistry in another state or territory for five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any dental examinations taken by the applicant, with indication of pass/fail for each examination taken. Any dentist who has lawfully practiced dentistry in another state or territory for five or more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 current, valid license to practice dentistry in another state, territory or district of the United States issued under requirements equivalent or substantially equivalent to those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has met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less than three consecutive years of practice immediately prior to the filing of the application and evidence of successful passage of a board-approved clinical examination pursuant to </w:t>
      </w:r>
      <w:hyperlink r:id="rId14">
        <w:r>
          <w:rPr>
            <w:rStyle w:val="Hyperlink"/>
            <w:rFonts w:ascii="Times New Roman" w:hAnsi="Times New Roman"/>
            <w:b w:val="false"/>
            <w:i w:val="false"/>
            <w:color w:val="000000"/>
            <w:sz w:val="22"/>
          </w:rPr>
          <w:t>subrule 11.2(2)</w:t>
        </w:r>
      </w:hyperlink>
      <w:r>
        <w:rPr>
          <w:rFonts w:ascii="Times New Roman" w:hAnsi="Times New Roman"/>
          <w:b w:val="false"/>
          <w:i w:val="false"/>
          <w:color w:val="000000"/>
          <w:sz w:val="22"/>
        </w:rPr>
        <w:t xml:space="preserve"> within the previous five-year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for three consecutive years immediately prior to the filing of the application been in the lawful practice of dentistry in such other state, territory or district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from the state board of dentistry, or equivalent authority, from each state in which applicant has been licensed to practice dentistry, that the applicant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malpractice claims, complaints, judgments, settlements, or criminal charges, including the results of a self-query of the National Practitioner Data Bank (NPDB).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for licensure by credentials, plus the fee for the evaluation of the fingerprint packet and the criminal history background checks by the Iowa division of criminal investigation (DCI) and the Federal Bureau of Investigation (FBI), as specified in </w:t>
      </w:r>
      <w:hyperlink r:id="rId1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Current CPR certification.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 board may require a personal appearance or may require any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The board may also require such examinations as may be necessary to evaluate the applicant for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attesting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who is licensed in another jurisdiction but who is unable to satisfy the requirements for licensure by credentials may apply for licensure by verification, if eligible, in accordance with rule </w:t>
      </w:r>
      <w:hyperlink r:id="rId16">
        <w:r>
          <w:rPr>
            <w:rStyle w:val="Hyperlink"/>
            <w:rFonts w:ascii="Times New Roman" w:hAnsi="Times New Roman"/>
            <w:b w:val="false"/>
            <w:i w:val="false"/>
            <w:color w:val="000000"/>
            <w:sz w:val="22"/>
          </w:rPr>
          <w:t>650—11.12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650—11.4</w:t>
      </w:r>
      <w:r>
        <w:rPr>
          <w:rFonts w:ascii="Times New Roman" w:hAnsi="Times New Roman"/>
          <w:b/>
          <w:i w:val="false"/>
          <w:color w:val="000000"/>
          <w:sz w:val="22"/>
        </w:rPr>
        <w:t xml:space="preserve">(153) </w:t>
      </w:r>
      <w:r>
        <w:rPr>
          <w:rFonts w:ascii="Times New Roman" w:hAnsi="Times New Roman"/>
          <w:b/>
          <w:i w:val="false"/>
          <w:color w:val="000000"/>
          <w:sz w:val="22"/>
        </w:rPr>
        <w:t xml:space="preserve">Graduates of foreign dental schools. </w:t>
      </w:r>
      <w:r>
        <w:rPr>
          <w:rFonts w:ascii="Times New Roman" w:hAnsi="Times New Roman"/>
          <w:b w:val="false"/>
          <w:i w:val="false"/>
          <w:color w:val="000000"/>
          <w:sz w:val="22"/>
        </w:rPr>
        <w:t xml:space="preserve">In addition to meeting the other requirements for licensure specified in rule </w:t>
      </w:r>
      <w:hyperlink r:id="rId19">
        <w:r>
          <w:rPr>
            <w:rStyle w:val="Hyperlink"/>
            <w:rFonts w:ascii="Times New Roman" w:hAnsi="Times New Roman"/>
            <w:b w:val="false"/>
            <w:i w:val="false"/>
            <w:color w:val="000000"/>
            <w:sz w:val="22"/>
          </w:rPr>
          <w:t>650—11.2</w:t>
        </w:r>
      </w:hyperlink>
      <w:r>
        <w:rPr>
          <w:rFonts w:ascii="Times New Roman" w:hAnsi="Times New Roman"/>
          <w:b w:val="false"/>
          <w:i w:val="false"/>
          <w:color w:val="000000"/>
          <w:sz w:val="22"/>
        </w:rPr>
        <w:t xml:space="preserve">(147,153) or </w:t>
      </w:r>
      <w:hyperlink r:id="rId20">
        <w:r>
          <w:rPr>
            <w:rStyle w:val="Hyperlink"/>
            <w:rFonts w:ascii="Times New Roman" w:hAnsi="Times New Roman"/>
            <w:b w:val="false"/>
            <w:i w:val="false"/>
            <w:color w:val="000000"/>
            <w:sz w:val="22"/>
          </w:rPr>
          <w:t>650—11.3</w:t>
        </w:r>
      </w:hyperlink>
      <w:r>
        <w:rPr>
          <w:rFonts w:ascii="Times New Roman" w:hAnsi="Times New Roman"/>
          <w:b w:val="false"/>
          <w:i w:val="false"/>
          <w:color w:val="000000"/>
          <w:sz w:val="22"/>
        </w:rPr>
        <w:t>(153), an applicant for dental licensure who did not graduate with a DDS or DMD from an accredited dental college approved by the board must provide satisfactory evidence of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The applicant must complete a full-time dental education program at an accredited dental college. The program must consist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undergraduate supplemental dental education program of at least two academic years. The undergraduate supplemental dental education program must provide didactic and clinical education to the level of a DDS or DMD graduate of the accredited dental college;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postgraduate general practice residency program of at least one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The applicant must receive a dental diploma, degree or certificate from the accredited dental college upon successful completion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applicant must present to the board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completion of board-approved dental education at an accredited dental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official transcript verifying graduation from the foreign dental school at which the applicant originally obtained a dental degree. If the transcript is written in a language other than English, an original, official translation shall also be submitted;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Verification from the appropriate governmental authority that the applicant was licensed or otherwise authorized by law to practice dentistry in the country in which the applicant received foreign dental school training and that no adverse action was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to the satisfaction of the board an ability to read, write, speak, understand, and be understood in the English language. The applicant may demonstrate English proficiency by submitting to the board evidence of achieving a score sufficient to be rated in the highest level of ability on each section of the Test of English as a Foreign Language (TOEFL) as administered by the Educational Testing Service (ETS).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who is licensed in another jurisdiction but who is unable to satisfy the requirements for licensure in this rule may apply for licensure by verification, if eligible, in accordance with rule </w:t>
      </w:r>
      <w:hyperlink r:id="rId21">
        <w:r>
          <w:rPr>
            <w:rStyle w:val="Hyperlink"/>
            <w:rFonts w:ascii="Times New Roman" w:hAnsi="Times New Roman"/>
            <w:b w:val="false"/>
            <w:i w:val="false"/>
            <w:color w:val="000000"/>
            <w:sz w:val="22"/>
          </w:rPr>
          <w:t>650—11.12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3961C</w:t>
      </w:r>
      <w:r>
        <w:rPr>
          <w:rFonts w:ascii="Times New Roman" w:hAnsi="Times New Roman"/>
          <w:b w:val="false"/>
          <w:i w:val="false"/>
          <w:color w:val="000000"/>
          <w:sz w:val="16"/>
        </w:rPr>
        <w:t>, IAB 8/15/18, effective 9/19/18</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650—11.5</w:t>
      </w:r>
      <w:r>
        <w:rPr>
          <w:rFonts w:ascii="Times New Roman" w:hAnsi="Times New Roman"/>
          <w:b/>
          <w:i w:val="false"/>
          <w:color w:val="000000"/>
          <w:sz w:val="22"/>
        </w:rPr>
        <w:t xml:space="preserve">(147,153) </w:t>
      </w:r>
      <w:r>
        <w:rPr>
          <w:rFonts w:ascii="Times New Roman" w:hAnsi="Times New Roman"/>
          <w:b/>
          <w:i w:val="false"/>
          <w:color w:val="000000"/>
          <w:sz w:val="22"/>
        </w:rPr>
        <w:t xml:space="preserve">Dental hygiene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licensure to practice dental hygiene in this state shall be made on the form provided by the dental hygiene committee and must be completely answered, including required credentials and documents. An applicant who has held a dental hygiene license issued in another state for one year or longer must apply for licensure by credentials pursuant to rule </w:t>
      </w:r>
      <w:hyperlink r:id="rId24">
        <w:r>
          <w:rPr>
            <w:rStyle w:val="Hyperlink"/>
            <w:rFonts w:ascii="Times New Roman" w:hAnsi="Times New Roman"/>
            <w:b w:val="false"/>
            <w:i w:val="false"/>
            <w:color w:val="000000"/>
            <w:sz w:val="22"/>
          </w:rPr>
          <w:t>650—11.6</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must be filed with the dental hygiene committee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graduation from dental hygiene school. </w:t>
      </w:r>
      <w:r>
        <w:rPr>
          <w:rFonts w:ascii="Times New Roman" w:hAnsi="Times New Roman"/>
          <w:b w:val="false"/>
          <w:i w:val="false"/>
          <w:color w:val="000000"/>
          <w:sz w:val="22"/>
        </w:rPr>
        <w:t>Satisfactory evidence of graduation from an accredited school of dental hygiene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good standing from dean or designee. </w:t>
      </w:r>
      <w:r>
        <w:rPr>
          <w:rFonts w:ascii="Times New Roman" w:hAnsi="Times New Roman"/>
          <w:b w:val="false"/>
          <w:i w:val="false"/>
          <w:color w:val="000000"/>
          <w:sz w:val="22"/>
        </w:rPr>
        <w:t>Certification by the dean or other authorized representative of the school of dental hygiene that the applicant has been a student in good standing while attending that dental hygiene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national dental hygiene examination. </w:t>
      </w:r>
      <w:r>
        <w:rPr>
          <w:rFonts w:ascii="Times New Roman" w:hAnsi="Times New Roman"/>
          <w:b w:val="false"/>
          <w:i w:val="false"/>
          <w:color w:val="000000"/>
          <w:sz w:val="22"/>
        </w:rPr>
        <w:t>Evidence of successful passage of the examination administered by the Joint Commission on National Dental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a regional clinical examination. </w:t>
      </w:r>
      <w:r>
        <w:rPr>
          <w:rFonts w:ascii="Times New Roman" w:hAnsi="Times New Roman"/>
          <w:b w:val="false"/>
          <w:i w:val="false"/>
          <w:color w:val="000000"/>
          <w:sz w:val="22"/>
        </w:rPr>
        <w:t>Successful passage of a board-approved clinical examination within the previous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patient-based regional examinations are approved by the board for purposes of licensure by examination: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Central Regional Dental Testing Service,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(CRDTS), the Western Regional Examining Board examination as administered by the Western Regional Examining Board (WREB),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Southern Regional Testing Agency,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(SRTA), and the American Board of Dental Examiners,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examination as administered by the Commission on Dental Competency Assessments (CDCA) and the Council of Interstate Testing Agencies,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(CITA).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manikin-based regional clinical examinations are approved by the board for purposes of licensure by examination: the examination administered by the Central Regional Dental Testing Service, Inc. (CRDTS), the American Board of Dental Examiners, Inc. examination as administered by the Commission on Dental Competency Assessments (CDCA) and the Council of Interstate Testing Agencies (CITA), and the examination administered by the Western Regional Examining Board (WREB).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Payment of application, fingerprint and background check fees. </w:t>
      </w:r>
      <w:r>
        <w:rPr>
          <w:rFonts w:ascii="Times New Roman" w:hAnsi="Times New Roman"/>
          <w:b w:val="false"/>
          <w:i w:val="false"/>
          <w:color w:val="000000"/>
          <w:sz w:val="22"/>
        </w:rPr>
        <w:t xml:space="preserve">The nonrefundable application fee, plus the fee for the evaluation of the fingerprint packet and the criminal history background checks by the Iowa division of criminal investigation (DCI) and the Federal Bureau of Investigation (FBI), as specified in </w:t>
      </w:r>
      <w:hyperlink r:id="rId2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passage of jurisprudence examination.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Current CPR certification.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Explanation of any legal or administrative actions. </w:t>
      </w:r>
      <w:r>
        <w:rPr>
          <w:rFonts w:ascii="Times New Roman" w:hAnsi="Times New Roman"/>
          <w:b w:val="false"/>
          <w:i w:val="false"/>
          <w:color w:val="000000"/>
          <w:sz w:val="22"/>
        </w:rPr>
        <w:t>A statement disclosing and explaining any disciplinary actions, investigations, complaints, malpractice claims, judgments, settlements, or criminal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Completed fingerprint packet.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may require a personal appearance or any additional information relating to the character, education and experience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review by the dental hygiene committee, the committee shall make recommendation to the board regarding the issuance or denial of any license to practice dental hygiene. The board’s review of the dental hygiene committee recommendation is subject to </w:t>
      </w:r>
      <w:hyperlink r:id="rId26">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5539C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650—11.6</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hygiene licensure by credentials. </w:t>
      </w:r>
      <w:r>
        <w:rPr>
          <w:rFonts w:ascii="Times New Roman" w:hAnsi="Times New Roman"/>
          <w:b w:val="false"/>
          <w:i w:val="false"/>
          <w:color w:val="000000"/>
          <w:sz w:val="22"/>
        </w:rPr>
        <w:t>To be issued a license to practice dental hygiene in Iowa on the basis of credentials, an applicant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Applications for licensure by credentials to practice dental hygiene in this state shall be made on the form provided by the dental hygiene committee and must be completely answered, including required credentials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Applications must be filed with the dental hygiene committee along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graduation from an accredited school of dental hygiene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passage of the examination of the Joint Commission on National Dental Examinations. Any dental hygienist who has lawfully practiced dental hygiene in another state or territory for five or more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any dental hygiene examinations taken by the applicant, with indication of pass/fail for each examination taken. Any dental hygienist who has lawfully practiced dental hygiene in another state or territory for five or more years may be exempted from presenting this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 current, valid license to practice dental hygiene in another state, territory or district of the United States issued under requirements equivalent or substantially equivalent to those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that the applicant has met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less than three consecutive years of practice immediately prior to the filing of the application and evidence of successful passage of a regional clinical examination pursuant to </w:t>
      </w:r>
      <w:hyperlink r:id="rId29">
        <w:r>
          <w:rPr>
            <w:rStyle w:val="Hyperlink"/>
            <w:rFonts w:ascii="Times New Roman" w:hAnsi="Times New Roman"/>
            <w:b w:val="false"/>
            <w:i w:val="false"/>
            <w:color w:val="000000"/>
            <w:sz w:val="22"/>
          </w:rPr>
          <w:t>subrule 11.5(2)</w:t>
        </w:r>
      </w:hyperlink>
      <w:r>
        <w:rPr>
          <w:rFonts w:ascii="Times New Roman" w:hAnsi="Times New Roman"/>
          <w:b w:val="false"/>
          <w:i w:val="false"/>
          <w:color w:val="000000"/>
          <w:sz w:val="22"/>
        </w:rPr>
        <w:t xml:space="preserve"> within the previous five-year period;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for three consecutive years immediately prior to the filing of the application been in the lawful practice of dental hygiene in such other state, territory or district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from the state board of dentistry, or equivalent authority, in each state in which applicant has been licensed to practice dental hygiene, that the applicant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complaints, malpractice claims, judgments, settlements, or criminal charges, including the results of a self-query of the National Practitioner Data Bank (NPDB).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for licensure by credentials, the initial licensure fee and the fee for the evaluation of the fingerprint packet and the criminal history background checks by the Iowa division of criminal investigation (DCI) and the Federal Bureau of Investigation (FBI), as specified in </w:t>
      </w:r>
      <w:hyperlink r:id="rId30">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criminal history background check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Applicant shall appear for a personal interview conducted by the dental hygiene committee or the board by request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The dental hygiene committee may also require such examinations as may be necessary to evaluate the applicant for licensure by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attesting to the truth of the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Following review by the dental hygiene committee, the committee shall make a recommendation to the board regarding issuance or denial of a dental hygiene license. The board’s review of the dental hygiene committee recommendation is subject to </w:t>
      </w:r>
      <w:hyperlink r:id="rId31">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11.6(7)</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hygienist who is licensed in another jurisdiction but who is unable to satisfy the requirements for licensure by credentials may apply for licensure by verification, if eligible, in accordance with rule </w:t>
      </w:r>
      <w:hyperlink r:id="rId32">
        <w:r>
          <w:rPr>
            <w:rStyle w:val="Hyperlink"/>
            <w:rFonts w:ascii="Times New Roman" w:hAnsi="Times New Roman"/>
            <w:b w:val="false"/>
            <w:i w:val="false"/>
            <w:color w:val="000000"/>
            <w:sz w:val="22"/>
          </w:rPr>
          <w:t>650—11.12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3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0618C</w:t>
      </w:r>
      <w:r>
        <w:rPr>
          <w:rFonts w:ascii="Times New Roman" w:hAnsi="Times New Roman"/>
          <w:b w:val="false"/>
          <w:i w:val="false"/>
          <w:color w:val="000000"/>
          <w:sz w:val="16"/>
        </w:rPr>
        <w:t>, IAB 3/6/13, effective 4/10/13</w:t>
      </w:r>
      <w:r>
        <w:rPr>
          <w:rFonts w:ascii="Times New Roman" w:hAnsi="Times New Roman"/>
          <w:b w:val="false"/>
          <w:i w:val="false"/>
          <w:color w:val="000000"/>
          <w:sz w:val="16"/>
        </w:rPr>
        <w:t xml:space="preserve">; </w:t>
      </w:r>
      <w:r>
        <w:rPr>
          <w:rFonts w:ascii="Times New Roman" w:hAnsi="Times New Roman"/>
          <w:b/>
          <w:i w:val="false"/>
          <w:color w:val="000000"/>
          <w:sz w:val="16"/>
        </w:rPr>
        <w:t>ARC 2870C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5539C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650—11.7</w:t>
      </w:r>
      <w:r>
        <w:rPr>
          <w:rFonts w:ascii="Times New Roman" w:hAnsi="Times New Roman"/>
          <w:b/>
          <w:i w:val="false"/>
          <w:color w:val="000000"/>
          <w:sz w:val="22"/>
        </w:rPr>
        <w:t xml:space="preserve">(147,153) </w:t>
      </w:r>
      <w:r>
        <w:rPr>
          <w:rFonts w:ascii="Times New Roman" w:hAnsi="Times New Roman"/>
          <w:b/>
          <w:i w:val="false"/>
          <w:color w:val="000000"/>
          <w:sz w:val="22"/>
        </w:rPr>
        <w:t xml:space="preserve">Dental hygiene application for local anesthesia permit. </w:t>
      </w:r>
      <w:r>
        <w:rPr>
          <w:rFonts w:ascii="Times New Roman" w:hAnsi="Times New Roman"/>
          <w:b w:val="false"/>
          <w:i w:val="false"/>
          <w:color w:val="000000"/>
          <w:sz w:val="22"/>
        </w:rPr>
        <w:t>A licensed dental hygienist may administer local anesthesia provided the following requirements are met: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dental hygienist holds a current local anesthesia permit issued by the board.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local anesthesia is prescribed by a licensed dentist.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local anesthesia is administered under the direct supervision of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val="false"/>
          <w:color w:val="000000"/>
          <w:sz w:val="22"/>
        </w:rPr>
        <w:t>Application for permit. A dental hygienist shall make application for a permit to administer local anesthesia on the form approved by the dental hygiene committee and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permit to administer local anesthesia as specified in </w:t>
      </w:r>
      <w:hyperlink r:id="rId3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formal training in the administration of local anesthesia has been completed within 12 months of the date of application. The formal training shall be approved by the dental hygiene committee and conducted by a school accredited by the American Dental Association Commission on Dental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completion of formal training in the administration of local anesthesia approved by the dental hygiene committee and documented evidence of ongoing practice in the administration of local anesthesia in another state or jurisdiction that authorizes a dental hygienist to administer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val="false"/>
          <w:color w:val="000000"/>
          <w:sz w:val="22"/>
        </w:rPr>
        <w:t>Permit renewal. The permit shall expire on August 31 of every odd-numbered year. To renew the permit, the dental hygienist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renewal, document evidence of holding an active Iowa dental hygiene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application fee for renewal of the permit as specified in </w:t>
      </w:r>
      <w:hyperlink r:id="rId36">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requirements for renewal shall cause the permit to lapse and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that has been lapsed for two years or less may be reinstated upon the permit holder’s application for reinstatement and payment of the reinstatement fee as specified in </w:t>
      </w:r>
      <w:hyperlink r:id="rId37">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A permit that has been lapsed for more than two years may be reinstated upon application for reinstatement, documentation of meeting the requirements of </w:t>
      </w:r>
      <w:hyperlink r:id="rId38">
        <w:r>
          <w:rPr>
            <w:rStyle w:val="Hyperlink"/>
            <w:rFonts w:ascii="Times New Roman" w:hAnsi="Times New Roman"/>
            <w:b w:val="false"/>
            <w:i w:val="false"/>
            <w:color w:val="000000"/>
            <w:sz w:val="22"/>
          </w:rPr>
          <w:t>11.7(1)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payment of the reinstatement fee as specified in </w:t>
      </w:r>
      <w:hyperlink r:id="rId39">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650—11.8</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assistant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 applicant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board-approved training or education in dental assisting in accordance with </w:t>
      </w:r>
      <w:hyperlink r:id="rId43">
        <w:r>
          <w:rPr>
            <w:rStyle w:val="Hyperlink"/>
            <w:rFonts w:ascii="Times New Roman" w:hAnsi="Times New Roman"/>
            <w:b w:val="false"/>
            <w:i w:val="false"/>
            <w:color w:val="000000"/>
            <w:sz w:val="22"/>
          </w:rPr>
          <w:t>subrule 11.8(2)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in cardiopulmonary resuscitation that included a hands-on component;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board-approved examination in the areas of infection control/hazardous materials and jurisprudence in accordance with </w:t>
      </w:r>
      <w:hyperlink r:id="rId44">
        <w:r>
          <w:rPr>
            <w:rStyle w:val="Hyperlink"/>
            <w:rFonts w:ascii="Times New Roman" w:hAnsi="Times New Roman"/>
            <w:b w:val="false"/>
            <w:i w:val="false"/>
            <w:color w:val="000000"/>
            <w:sz w:val="22"/>
          </w:rPr>
          <w:t>subrule 11.8(3)</w:t>
        </w:r>
      </w:hyperlink>
      <w:r>
        <w:rPr>
          <w:rFonts w:ascii="Times New Roman" w:hAnsi="Times New Roman"/>
          <w:b w:val="false"/>
          <w:i w:val="false"/>
          <w:color w:val="000000"/>
          <w:sz w:val="22"/>
        </w:rPr>
        <w:t xml:space="preserve">. Successful completion of board-approved examination in the area of dental radiography is also required if an applicant is applying for a radiography qualification in accordance with rule </w:t>
      </w:r>
      <w:hyperlink r:id="rId45">
        <w:r>
          <w:rPr>
            <w:rStyle w:val="Hyperlink"/>
            <w:rFonts w:ascii="Times New Roman" w:hAnsi="Times New Roman"/>
            <w:b w:val="false"/>
            <w:i w:val="false"/>
            <w:color w:val="000000"/>
            <w:sz w:val="22"/>
          </w:rPr>
          <w:t>650—22.5</w:t>
        </w:r>
      </w:hyperlink>
      <w:r>
        <w:rPr>
          <w:rFonts w:ascii="Times New Roman" w:hAnsi="Times New Roman"/>
          <w:b w:val="false"/>
          <w:i w:val="false"/>
          <w:color w:val="000000"/>
          <w:sz w:val="22"/>
        </w:rPr>
        <w:t>(136C,153).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Education and training. </w:t>
      </w:r>
      <w:r>
        <w:rPr>
          <w:rFonts w:ascii="Times New Roman" w:hAnsi="Times New Roman"/>
          <w:b w:val="false"/>
          <w:i w:val="false"/>
          <w:color w:val="000000"/>
          <w:sz w:val="22"/>
        </w:rPr>
        <w:t>An applicant must meet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in a dental office as a dental assistant trainee until competency is achieved as determined by the supervising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as a dental assistant in another state, district or territory within five years prior to the date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Be a graduate of an accredited dental assisting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 xml:space="preserve">An applicant for registration must successfully complete examinations as required pursuant to </w:t>
      </w:r>
      <w:hyperlink r:id="rId46">
        <w:r>
          <w:rPr>
            <w:rStyle w:val="Hyperlink"/>
            <w:rFonts w:ascii="Times New Roman" w:hAnsi="Times New Roman"/>
            <w:b w:val="false"/>
            <w:i w:val="false"/>
            <w:color w:val="000000"/>
            <w:sz w:val="22"/>
          </w:rPr>
          <w:t>subrule 11.8(2)</w:t>
        </w:r>
      </w:hyperlink>
      <w:r>
        <w:rPr>
          <w:rFonts w:ascii="Times New Roman" w:hAnsi="Times New Roman"/>
          <w:b w:val="false"/>
          <w:i w:val="false"/>
          <w:color w:val="000000"/>
          <w:sz w:val="22"/>
        </w:rPr>
        <w:t>. Applicants may complete a single comprehensive examination or complete separate board-approved examinations in the required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examinations are approved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Board-approved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Dental Assisting National Board’s (DANB’s) Infection Control Examination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DANB’s Radiation Health and Safety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Examinations administered by accredited dental assisting programs;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Board-approved continuing education courses, which include posttest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on the board-approved examinations shall be considered successful completion of the examination. The board also accepts the passing standard established by DANB for applicants who take the ICE or RHS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examinee must meet such other requirements as may be imposed by the board’s approved dental assistant testing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Applications for registration as a registered dental assistant must be filed on official board forms and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as specified in </w:t>
      </w:r>
      <w:hyperlink r:id="rId47">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meeting the education and training requirements specified in </w:t>
      </w:r>
      <w:hyperlink r:id="rId48">
        <w:r>
          <w:rPr>
            <w:rStyle w:val="Hyperlink"/>
            <w:rFonts w:ascii="Times New Roman" w:hAnsi="Times New Roman"/>
            <w:b w:val="false"/>
            <w:i w:val="false"/>
            <w:color w:val="000000"/>
            <w:sz w:val="22"/>
          </w:rPr>
          <w:t>subrule 11.8(2)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board-approved examination in the areas of infection control, hazardous materials and jurisprudence as specified in </w:t>
      </w:r>
      <w:hyperlink r:id="rId49">
        <w:r>
          <w:rPr>
            <w:rStyle w:val="Hyperlink"/>
            <w:rFonts w:ascii="Times New Roman" w:hAnsi="Times New Roman"/>
            <w:b w:val="false"/>
            <w:i w:val="false"/>
            <w:color w:val="000000"/>
            <w:sz w:val="22"/>
          </w:rPr>
          <w:t>subrule 11.8(3)</w:t>
        </w:r>
      </w:hyperlink>
      <w:r>
        <w:rPr>
          <w:rFonts w:ascii="Times New Roman" w:hAnsi="Times New Roman"/>
          <w:b w:val="false"/>
          <w:i w:val="false"/>
          <w:color w:val="000000"/>
          <w:sz w:val="22"/>
        </w:rPr>
        <w:t xml:space="preserve">, and dental radiography, if the applicant is also applying for a qualification in dental radiography in accordance with rule </w:t>
      </w:r>
      <w:hyperlink r:id="rId50">
        <w:r>
          <w:rPr>
            <w:rStyle w:val="Hyperlink"/>
            <w:rFonts w:ascii="Times New Roman" w:hAnsi="Times New Roman"/>
            <w:b w:val="false"/>
            <w:i w:val="false"/>
            <w:color w:val="000000"/>
            <w:sz w:val="22"/>
          </w:rPr>
          <w:t>650—22.5</w:t>
        </w:r>
      </w:hyperlink>
      <w:r>
        <w:rPr>
          <w:rFonts w:ascii="Times New Roman" w:hAnsi="Times New Roman"/>
          <w:b w:val="false"/>
          <w:i w:val="false"/>
          <w:color w:val="000000"/>
          <w:sz w:val="22"/>
        </w:rPr>
        <w:t>(136,153).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meeting the qualifications of </w:t>
      </w:r>
      <w:hyperlink r:id="rId51">
        <w:r>
          <w:rPr>
            <w:rStyle w:val="Hyperlink"/>
            <w:rFonts w:ascii="Times New Roman" w:hAnsi="Times New Roman"/>
            <w:b w:val="false"/>
            <w:i w:val="false"/>
            <w:color w:val="000000"/>
            <w:sz w:val="22"/>
          </w:rPr>
          <w:t>650—Chapter 22</w:t>
        </w:r>
      </w:hyperlink>
      <w:r>
        <w:rPr>
          <w:rFonts w:ascii="Times New Roman" w:hAnsi="Times New Roman"/>
          <w:b w:val="false"/>
          <w:i w:val="false"/>
          <w:color w:val="000000"/>
          <w:sz w:val="22"/>
        </w:rPr>
        <w:t xml:space="preserve"> if the applicant is engaging in dental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of current certification in cardiopulmonary resuscitation that included a hands-on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board relating to the character, education and experience of the applicant as may be necessary to evaluate the applicant’s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Attestation. </w:t>
      </w:r>
      <w:r>
        <w:rPr>
          <w:rFonts w:ascii="Times New Roman" w:hAnsi="Times New Roman"/>
          <w:b w:val="false"/>
          <w:i w:val="false"/>
          <w:color w:val="000000"/>
          <w:sz w:val="22"/>
        </w:rPr>
        <w:t>All applications must be signed and verified by the applicant as to the truth of the documents and statements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Alternate pathway for registration. </w:t>
      </w:r>
      <w:r>
        <w:rPr>
          <w:rFonts w:ascii="Times New Roman" w:hAnsi="Times New Roman"/>
          <w:b w:val="false"/>
          <w:i w:val="false"/>
          <w:color w:val="000000"/>
          <w:sz w:val="22"/>
        </w:rPr>
        <w:t xml:space="preserve">A dental assistant who is licensed or registered in another jurisdiction but who is unable to satisfy the requirements for registration in this rule may apply for registration by verification, if eligible, in accordance with rule </w:t>
      </w:r>
      <w:hyperlink r:id="rId52">
        <w:r>
          <w:rPr>
            <w:rStyle w:val="Hyperlink"/>
            <w:rFonts w:ascii="Times New Roman" w:hAnsi="Times New Roman"/>
            <w:b w:val="false"/>
            <w:i w:val="false"/>
            <w:color w:val="000000"/>
            <w:sz w:val="22"/>
          </w:rPr>
          <w:t>650—11.9</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3">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650—11.9</w:t>
      </w:r>
      <w:r>
        <w:rPr>
          <w:rFonts w:ascii="Times New Roman" w:hAnsi="Times New Roman"/>
          <w:b/>
          <w:i w:val="false"/>
          <w:color w:val="000000"/>
          <w:sz w:val="22"/>
        </w:rPr>
        <w:t xml:space="preserve">(272C) </w:t>
      </w:r>
      <w:r>
        <w:rPr>
          <w:rFonts w:ascii="Times New Roman" w:hAnsi="Times New Roman"/>
          <w:b/>
          <w:i w:val="false"/>
          <w:color w:val="000000"/>
          <w:sz w:val="22"/>
        </w:rPr>
        <w:t xml:space="preserve">Registration by verification. </w:t>
      </w:r>
      <w:r>
        <w:rPr>
          <w:rFonts w:ascii="Times New Roman" w:hAnsi="Times New Roman"/>
          <w:b w:val="false"/>
          <w:i w:val="false"/>
          <w:color w:val="000000"/>
          <w:sz w:val="22"/>
        </w:rPr>
        <w:t>Registration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dental assistant may seek registration by verification if the person is currently licensed or registered as a dental assistant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or registration, verifying that the applicant’s license or registration in that jurisdiction complies with the requirements of Iowa Code section </w:t>
      </w:r>
      <w:hyperlink r:id="rId5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a board-approved jurisprudence examination with a grade of at least 75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registration nor deny the application for registration until the matter is resolved. A person who has had a license or registration revoked, or who has voluntarily surrendered a license or registration, in another jurisdiction is ineligible for registration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registration nor deny the application for registration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w:t>
      </w:r>
      <w:r>
        <w:rPr>
          <w:rFonts w:ascii="Times New Roman" w:hAnsi="Times New Roman"/>
          <w:b w:val="false"/>
          <w:i w:val="false"/>
          <w:color w:val="000000"/>
          <w:sz w:val="22"/>
        </w:rPr>
        <w:t> </w:t>
      </w:r>
      <w:r>
        <w:rPr>
          <w:rFonts w:ascii="Times New Roman" w:hAnsi="Times New Roman"/>
          <w:b w:val="false"/>
          <w:i/>
          <w:color w:val="000000"/>
          <w:sz w:val="22"/>
        </w:rPr>
        <w:t xml:space="preserve">Temporary registrations. </w:t>
      </w:r>
      <w:r>
        <w:rPr>
          <w:rFonts w:ascii="Times New Roman" w:hAnsi="Times New Roman"/>
          <w:b w:val="false"/>
          <w:i w:val="false"/>
          <w:color w:val="000000"/>
          <w:sz w:val="22"/>
        </w:rPr>
        <w:t>Applicants who satisfy all requirements for a registration under this rule except for passing the jurisprudence examination may be issued a temporary registration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registration is valid for a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temporary registration may be renewed once for an additional period of three months if the applicant has not failed the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registrant shall display the board-issued registration renewal card that indicates the registration is a temporary registration, which will satisfy the requirements in rule </w:t>
      </w:r>
      <w:hyperlink r:id="rId55">
        <w:r>
          <w:rPr>
            <w:rStyle w:val="Hyperlink"/>
            <w:rFonts w:ascii="Times New Roman" w:hAnsi="Times New Roman"/>
            <w:b w:val="false"/>
            <w:i w:val="false"/>
            <w:color w:val="000000"/>
            <w:sz w:val="22"/>
          </w:rPr>
          <w:t>650—10.2</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registrant must submit proof of passing the jurisprudence examination before the temporary registration expires. When the temporary registrant submits proof of passing the jurisprudence examination, the temporary registration will convert to a standard registration and be assigned an expiration date consistent with standard registrations.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temporary registrant does not submit proof of passing the jurisprudence examination prior to the expiration of the temporary registration, the temporary registrant must cease practice until a standard registration is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6940C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650—11.10</w:t>
      </w:r>
      <w:r>
        <w:rPr>
          <w:rFonts w:ascii="Times New Roman" w:hAnsi="Times New Roman"/>
          <w:b/>
          <w:i w:val="false"/>
          <w:color w:val="000000"/>
          <w:sz w:val="22"/>
        </w:rPr>
        <w:t xml:space="preserve">(147,153) </w:t>
      </w:r>
      <w:r>
        <w:rPr>
          <w:rFonts w:ascii="Times New Roman" w:hAnsi="Times New Roman"/>
          <w:b/>
          <w:i w:val="false"/>
          <w:color w:val="000000"/>
          <w:sz w:val="22"/>
        </w:rPr>
        <w:t xml:space="preserve">Review of applications. </w:t>
      </w:r>
      <w:r>
        <w:rPr>
          <w:rFonts w:ascii="Times New Roman" w:hAnsi="Times New Roman"/>
          <w:b w:val="false"/>
          <w:i w:val="false"/>
          <w:color w:val="000000"/>
          <w:sz w:val="22"/>
        </w:rPr>
        <w:t>Upon receipt of a completed application, the executive director as authorized by the board has discretion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Authorize the issuance of the license, permit, or registration.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 the license, permit, or registration application to the license and registration committee for review and consideration when the executive director determines that matters including, but not limited to, prior criminal history, chemical dependence, competency, physical or psychological illness, malpractice claims or settlements, or professional disciplinary history are relevant in determining the applicants’ qualifications for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executive director, the license and registration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Authorize the executive director to issue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Send the license, permit, or registration application to the board for further review and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permit, or registration application referred by the license and registration committee, the board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permit, or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permit, or registration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val="false"/>
          <w:color w:val="000000"/>
          <w:sz w:val="22"/>
        </w:rPr>
        <w:t>The license and registration committee or board may require an applicant to appear for an interview before the committee or the full board as part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val="false"/>
          <w:color w:val="000000"/>
          <w:sz w:val="22"/>
        </w:rPr>
        <w:t>The license and registration committee or board may defer final action on an application if there is an investigation or disciplinary action pending against an applicant, who may otherwise meet the requirements for license, permit, or registration, until such time as the committee or board is satisfied that licensure or registration of the applicant poses no risk to the health and safety of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dental hygiene committee shall be responsible for reviewing any applications submitted by a dental hygienist that require review in accordance with this rule. Following review by the dental hygiene committee, the committee shall make a recommendation to the board regarding issuance of the license or permit. The board’s review of the dental hygiene committee’s recommendation is subject to </w:t>
      </w:r>
      <w:hyperlink r:id="rId57">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11.10(6)</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permit, or reinstatement of a license will be considered complete prior to receipt of the criminal history background check on the applicant by the FBI for purposes of review and consideration by the executive director, the license and registration committee, or the board. However, an applicant is required to submit an additional completed fingerprint packet and fee within 30 days of a request by the board if an earlier fingerprint submission has been determined to be unacceptable by the DCI or FBI.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153.33B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4187C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650—11.11</w:t>
      </w:r>
      <w:r>
        <w:rPr>
          <w:rFonts w:ascii="Times New Roman" w:hAnsi="Times New Roman"/>
          <w:b/>
          <w:i w:val="false"/>
          <w:color w:val="000000"/>
          <w:sz w:val="22"/>
        </w:rPr>
        <w:t xml:space="preserve">(147,153) </w:t>
      </w:r>
      <w:r>
        <w:rPr>
          <w:rFonts w:ascii="Times New Roman" w:hAnsi="Times New Roman"/>
          <w:b/>
          <w:i w:val="false"/>
          <w:color w:val="000000"/>
          <w:sz w:val="22"/>
        </w:rPr>
        <w:t xml:space="preserve">Grounds for denial of application. </w:t>
      </w:r>
      <w:r>
        <w:rPr>
          <w:rFonts w:ascii="Times New Roman" w:hAnsi="Times New Roman"/>
          <w:b w:val="false"/>
          <w:i w:val="false"/>
          <w:color w:val="000000"/>
          <w:sz w:val="22"/>
        </w:rPr>
        <w:t>The board may deny an application for license, registration or permit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meet the requirements for license, registration or permit as specified in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provide accurate and truthful information, or the omission of material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Pursuant to Iowa Code section </w:t>
      </w:r>
      <w:hyperlink r:id="rId59">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 upon any of the grounds for which licensure or registration may be revoked or suspended.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Pursuant to </w:t>
      </w:r>
      <w:hyperlink r:id="rId60">
        <w:r>
          <w:rPr>
            <w:rStyle w:val="Hyperlink"/>
            <w:rFonts w:ascii="Times New Roman" w:hAnsi="Times New Roman"/>
            <w:b w:val="false"/>
            <w:i w:val="false"/>
            <w:color w:val="000000"/>
            <w:sz w:val="22"/>
          </w:rPr>
          <w:t>650—Chapter 50</w:t>
        </w:r>
      </w:hyperlink>
      <w:r>
        <w:rPr>
          <w:rFonts w:ascii="Times New Roman" w:hAnsi="Times New Roman"/>
          <w:b w:val="false"/>
          <w:i w:val="false"/>
          <w:color w:val="000000"/>
          <w:sz w:val="22"/>
        </w:rPr>
        <w:t>, for having a disqualifying offense.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650—11.12</w:t>
      </w:r>
      <w:r>
        <w:rPr>
          <w:rFonts w:ascii="Times New Roman" w:hAnsi="Times New Roman"/>
          <w:b/>
          <w:i w:val="false"/>
          <w:color w:val="000000"/>
          <w:sz w:val="22"/>
        </w:rPr>
        <w:t xml:space="preserve">(147) </w:t>
      </w:r>
      <w:r>
        <w:rPr>
          <w:rFonts w:ascii="Times New Roman" w:hAnsi="Times New Roman"/>
          <w:b/>
          <w:i w:val="false"/>
          <w:color w:val="000000"/>
          <w:sz w:val="22"/>
        </w:rPr>
        <w:t xml:space="preserve">Denial of licensure—appeal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of denial. </w:t>
      </w:r>
      <w:r>
        <w:rPr>
          <w:rFonts w:ascii="Times New Roman" w:hAnsi="Times New Roman"/>
          <w:b w:val="false"/>
          <w:i w:val="false"/>
          <w:color w:val="000000"/>
          <w:sz w:val="22"/>
        </w:rPr>
        <w:t>Prior to the denial of licensure or registration to an applicant, the board shall issue a preliminary notice of denial that shall be sent to the applicant by regular, first-class mail. The preliminary notice of denial is a public record and shall cite the factual and legal basis for denying the application, notify the applicant of the appeal process, and specify the date upon which the denial will become final if it is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 </w:t>
      </w:r>
      <w:r>
        <w:rPr>
          <w:rFonts w:ascii="Times New Roman" w:hAnsi="Times New Roman"/>
          <w:b w:val="false"/>
          <w:i w:val="false"/>
          <w:color w:val="000000"/>
          <w:sz w:val="22"/>
        </w:rPr>
        <w:t>An applicant who has received a preliminary notice of denial may appeal the notice and request a hearing on the issues related to the preliminary notice of denial by serving a request for hearing upon the executive director not more than 30 calendar days following the date when the preliminary notice of denial was mailed. The request is deemed filed on the date it is received in the board office. The request shall provide the applicant’s current address, specify the factual or legal errors in the preliminary notice of denial, indicate if the applicant wants an evidentiary hearing, and provide any additional written information or documents in support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an applicant appeals the preliminary notice of denial and requests a hearing, the hearing shall be a contested case and subsequent proceedings shall be conducted in accordance with rule </w:t>
      </w:r>
      <w:hyperlink r:id="rId62">
        <w:r>
          <w:rPr>
            <w:rStyle w:val="Hyperlink"/>
            <w:rFonts w:ascii="Times New Roman" w:hAnsi="Times New Roman"/>
            <w:b w:val="false"/>
            <w:i w:val="false"/>
            <w:color w:val="000000"/>
            <w:sz w:val="22"/>
          </w:rPr>
          <w:t>650—51.20</w:t>
        </w:r>
      </w:hyperlink>
      <w:r>
        <w:rPr>
          <w:rFonts w:ascii="Times New Roman" w:hAnsi="Times New Roman"/>
          <w:b w:val="false"/>
          <w:i w:val="false"/>
          <w:color w:val="000000"/>
          <w:sz w:val="22"/>
        </w:rPr>
        <w:t>(17A). License or registration denial hearings are open to the public. Either party may request issuance of a protective order in the event privileged or confidential information is submitted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ultimate burden of persuasion as to the applicant’s qualification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after a hearing on license or registration denial, may grant the license or registration, grant the license or registration with restrictions, or deny the license or registration. The board shall state the reasons for its final decision, which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a final order of the board to deny a license or registration, or to issue a license or registration with restrictions, may be sought in accordance with the provisions of Iowa Code section </w:t>
      </w:r>
      <w:hyperlink r:id="rId6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color w:val="000000"/>
          <w:sz w:val="22"/>
        </w:rPr>
        <w:t xml:space="preserve">Finality. </w:t>
      </w:r>
      <w:r>
        <w:rPr>
          <w:rFonts w:ascii="Times New Roman" w:hAnsi="Times New Roman"/>
          <w:b w:val="false"/>
          <w:i w:val="false"/>
          <w:color w:val="000000"/>
          <w:sz w:val="22"/>
        </w:rPr>
        <w:t>If an applicant does not appeal a preliminary notice of denial, the preliminary notice of denial automatically becomes final and a notice of denial will be issued. The final notice of denial is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color w:val="000000"/>
          <w:sz w:val="22"/>
        </w:rPr>
        <w:t xml:space="preserve">Failure to pursue appeal. </w:t>
      </w:r>
      <w:r>
        <w:rPr>
          <w:rFonts w:ascii="Times New Roman" w:hAnsi="Times New Roman"/>
          <w:b w:val="false"/>
          <w:i w:val="false"/>
          <w:color w:val="000000"/>
          <w:sz w:val="22"/>
        </w:rPr>
        <w:t xml:space="preserve">If an applicant appeals a preliminary notice of denial in accordance with subrule </w:t>
      </w:r>
      <w:hyperlink r:id="rId64">
        <w:r>
          <w:rPr>
            <w:rStyle w:val="Hyperlink"/>
            <w:rFonts w:ascii="Times New Roman" w:hAnsi="Times New Roman"/>
            <w:b w:val="false"/>
            <w:i w:val="false"/>
            <w:color w:val="000000"/>
            <w:sz w:val="22"/>
          </w:rPr>
          <w:t>11.10(2)</w:t>
        </w:r>
      </w:hyperlink>
      <w:r>
        <w:rPr>
          <w:rFonts w:ascii="Times New Roman" w:hAnsi="Times New Roman"/>
          <w:b w:val="false"/>
          <w:i w:val="false"/>
          <w:color w:val="000000"/>
          <w:sz w:val="22"/>
        </w:rPr>
        <w:t>, but the applicant fails to pursue that appeal to a final decision within six months from the date of the preliminary notice of denial, the board may dismiss the appeal. The appeal may be dismissed after the board sends a written notice by first-class mail to the applicant at the applicant’s last-known address. The notice shall state that the appeal will be dismissed and the preliminary notice of denial will become final if the applicant does not contact the board to schedule the appeal hearing within 14 days after the written notice is sent. Upon dismissal of an appeal, the preliminary notice of denial becomes final.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11.12(6)</w:t>
      </w: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offenses. </w:t>
      </w:r>
      <w:r>
        <w:rPr>
          <w:rFonts w:ascii="Times New Roman" w:hAnsi="Times New Roman"/>
          <w:b w:val="false"/>
          <w:i w:val="false"/>
          <w:color w:val="000000"/>
          <w:sz w:val="22"/>
        </w:rPr>
        <w:t xml:space="preserve">Any denial of licensure or registration based on a disqualifying offense is governed by </w:t>
      </w:r>
      <w:hyperlink r:id="rId65">
        <w:r>
          <w:rPr>
            <w:rStyle w:val="Hyperlink"/>
            <w:rFonts w:ascii="Times New Roman" w:hAnsi="Times New Roman"/>
            <w:b w:val="false"/>
            <w:i w:val="false"/>
            <w:color w:val="000000"/>
            <w:sz w:val="22"/>
          </w:rPr>
          <w:t>650—Chapter 50</w:t>
        </w:r>
      </w:hyperlink>
      <w:r>
        <w:rPr>
          <w:rFonts w:ascii="Times New Roman" w:hAnsi="Times New Roman"/>
          <w:b w:val="false"/>
          <w:i w:val="false"/>
          <w:color w:val="000000"/>
          <w:sz w:val="22"/>
        </w:rPr>
        <w:t xml:space="preserve"> and not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6">
        <w:r>
          <w:rPr>
            <w:rStyle w:val="Hyperlink"/>
            <w:rFonts w:ascii="Times New Roman" w:hAnsi="Times New Roman"/>
            <w:b w:val="false"/>
            <w:i w:val="false"/>
            <w:color w:val="000000"/>
            <w:sz w:val="22"/>
          </w:rPr>
          <w:t>147.3</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147.4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7789B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650—11.13</w:t>
      </w:r>
      <w:r>
        <w:rPr>
          <w:rFonts w:ascii="Times New Roman" w:hAnsi="Times New Roman"/>
          <w:b/>
          <w:i w:val="false"/>
          <w:color w:val="000000"/>
          <w:sz w:val="22"/>
        </w:rPr>
        <w:t xml:space="preserve">(252J) </w:t>
      </w:r>
      <w:r>
        <w:rPr>
          <w:rFonts w:ascii="Times New Roman" w:hAnsi="Times New Roman"/>
          <w:b/>
          <w:i w:val="false"/>
          <w:color w:val="000000"/>
          <w:sz w:val="22"/>
        </w:rPr>
        <w:t xml:space="preserve">Receipt of certificate of noncompliance. </w:t>
      </w:r>
      <w:r>
        <w:rPr>
          <w:rFonts w:ascii="Times New Roman" w:hAnsi="Times New Roman"/>
          <w:b w:val="false"/>
          <w:i w:val="false"/>
          <w:color w:val="000000"/>
          <w:sz w:val="22"/>
        </w:rPr>
        <w:t xml:space="preserve">The board shall consider the receipt of a certificate of noncompliance of a support order from the child support recovery unit pursuant to Iowa Code chapter </w:t>
      </w:r>
      <w:hyperlink r:id="rId6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650—Chapter 33</w:t>
        </w:r>
      </w:hyperlink>
      <w:r>
        <w:rPr>
          <w:rFonts w:ascii="Times New Roman" w:hAnsi="Times New Roman"/>
          <w:b w:val="false"/>
          <w:i w:val="false"/>
          <w:color w:val="000000"/>
          <w:sz w:val="22"/>
        </w:rPr>
        <w:t xml:space="preserve"> of these rules. License denial shall follow the procedures in the statutes and board rules as set forth in this rule.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4747C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650—11.14</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dentist or dental hygienist may seek licensure by verification if the person is currently licensed as a dentist or dental hygienist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fingerprint packet to facilitate a criminal history background check by the DCI and FBI.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verification form, completed by the licensing authority in the jurisdiction that issued the applicant’s license, verifying that the applicant’s license in that jurisdiction complies with the requirements of Iowa Code section </w:t>
      </w:r>
      <w:hyperlink r:id="rId71">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The completed verification form must be sent directly from the licensing authority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successful completion of a board-approved jurisprudence examination with a grade of at least 75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relevant laws setting forth the scope of practice in the 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licenses. </w:t>
      </w:r>
      <w:r>
        <w:rPr>
          <w:rFonts w:ascii="Times New Roman" w:hAnsi="Times New Roman"/>
          <w:b w:val="false"/>
          <w:i w:val="false"/>
          <w:color w:val="000000"/>
          <w:sz w:val="22"/>
        </w:rPr>
        <w:t>Applicants who satisfy all requirements for a license under this rule except for passing the jurisprudence examination may be issued a temporary license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valid for a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 may be renewed once for an additional period of three months if the applicant has not failed the jurisprudence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temporary licensee shall display the board-issued license renewal card that indicates the license is a temporary license, which will satisfy the requirements in rule </w:t>
      </w:r>
      <w:hyperlink r:id="rId72">
        <w:r>
          <w:rPr>
            <w:rStyle w:val="Hyperlink"/>
            <w:rFonts w:ascii="Times New Roman" w:hAnsi="Times New Roman"/>
            <w:b w:val="false"/>
            <w:i w:val="false"/>
            <w:color w:val="000000"/>
            <w:sz w:val="22"/>
          </w:rPr>
          <w:t>650—10.2</w:t>
        </w:r>
      </w:hyperlink>
      <w:r>
        <w:rPr>
          <w:rFonts w:ascii="Times New Roman" w:hAnsi="Times New Roman"/>
          <w:b w:val="false"/>
          <w:i w:val="false"/>
          <w:color w:val="000000"/>
          <w:sz w:val="22"/>
        </w:rPr>
        <w:t>(147,153).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temporary licensee must submit proof of passing the jurisprudence examination before the temporary license expires. When the temporary licensee submits proof of passing the jurisprudence examination, the temporary license will convert to a standard license and be assigned an expiration date consistent with standard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does not submit proof of passing the jurisprudence examination prior to the expiration of the temporary license, the temporary licensee must cease practice until a standard license is issued.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6940C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emergency 12/16/83—published 1/4/84, effective 12/16/83]</w:t>
      </w:r>
    </w:p>
    <w:p>
      <w:pPr>
        <w:spacing w:before="0" w:after="0"/>
        <w:ind w:left="120"/>
        <w:jc w:val="center"/>
      </w:pPr>
      <w:r>
        <w:rPr>
          <w:rFonts w:ascii="Times New Roman" w:hAnsi="Times New Roman"/>
          <w:b w:val="false"/>
          <w:i w:val="false"/>
          <w:color w:val="000000"/>
          <w:sz w:val="21"/>
        </w:rPr>
        <w:t>[Filed emergency 2/24/84 after Notice 1/4/84—published 3/14/84, effective 2/24/84]</w:t>
      </w:r>
    </w:p>
    <w:p>
      <w:pPr>
        <w:spacing w:before="0" w:after="0"/>
        <w:ind w:left="120"/>
        <w:jc w:val="center"/>
      </w:pPr>
      <w:r>
        <w:rPr>
          <w:rFonts w:ascii="Times New Roman" w:hAnsi="Times New Roman"/>
          <w:b w:val="false"/>
          <w:i w:val="false"/>
          <w:color w:val="000000"/>
          <w:sz w:val="21"/>
        </w:rPr>
        <w:t>[Filed 12/14/84, Notice 10/10/84—published 1/2/85, effective 2/6/85]</w:t>
      </w:r>
    </w:p>
    <w:p>
      <w:pPr>
        <w:spacing w:before="0" w:after="0"/>
        <w:ind w:left="120"/>
        <w:jc w:val="center"/>
      </w:pPr>
      <w:r>
        <w:rPr>
          <w:rFonts w:ascii="Times New Roman" w:hAnsi="Times New Roman"/>
          <w:b w:val="false"/>
          <w:i w:val="false"/>
          <w:color w:val="000000"/>
          <w:sz w:val="21"/>
        </w:rPr>
        <w:t>[Filed 3/20/86, Notice 9/11/85—published 4/9/86, effective 5/14/86]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2/1/91, Notice 12/12/90—published 2/20/91, effective 3/27/91]</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7/28/95, Notice 5/10/95—published 8/16/95, effective 9/20/95]</w:t>
      </w:r>
    </w:p>
    <w:p>
      <w:pPr>
        <w:spacing w:before="0" w:after="0"/>
        <w:ind w:left="120"/>
        <w:jc w:val="center"/>
      </w:pPr>
      <w:r>
        <w:rPr>
          <w:rFonts w:ascii="Times New Roman" w:hAnsi="Times New Roman"/>
          <w:b w:val="false"/>
          <w:i w:val="false"/>
          <w:color w:val="000000"/>
          <w:sz w:val="21"/>
        </w:rPr>
        <w:t>[Filed 4/30/96, Notice 2/14/96—published 5/22/96, effective 6/26/96]</w:t>
      </w:r>
    </w:p>
    <w:p>
      <w:pPr>
        <w:spacing w:before="0" w:after="0"/>
        <w:ind w:left="120"/>
        <w:jc w:val="center"/>
      </w:pPr>
      <w:r>
        <w:rPr>
          <w:rFonts w:ascii="Times New Roman" w:hAnsi="Times New Roman"/>
          <w:b w:val="false"/>
          <w:i w:val="false"/>
          <w:color w:val="000000"/>
          <w:sz w:val="21"/>
        </w:rPr>
        <w:t>[Filed 2/5/97, Notice 11/20/96—published 2/26/97, effective 4/2/97]</w:t>
      </w:r>
    </w:p>
    <w:p>
      <w:pPr>
        <w:spacing w:before="0" w:after="0"/>
        <w:ind w:left="120"/>
        <w:jc w:val="center"/>
      </w:pPr>
      <w:r>
        <w:rPr>
          <w:rFonts w:ascii="Times New Roman" w:hAnsi="Times New Roman"/>
          <w:b w:val="false"/>
          <w:i w:val="false"/>
          <w:color w:val="000000"/>
          <w:sz w:val="21"/>
        </w:rPr>
        <w:t>[Filed 5/1/97, Notice 2/26/97—published 5/21/97, effective 6/25/97]</w:t>
      </w:r>
    </w:p>
    <w:p>
      <w:pPr>
        <w:spacing w:before="0" w:after="0"/>
        <w:ind w:left="120"/>
        <w:jc w:val="center"/>
      </w:pPr>
      <w:r>
        <w:rPr>
          <w:rFonts w:ascii="Times New Roman" w:hAnsi="Times New Roman"/>
          <w:b w:val="false"/>
          <w:i w:val="false"/>
          <w:color w:val="000000"/>
          <w:sz w:val="21"/>
        </w:rPr>
        <w:t>[Filed 10/30/98, Notice 5/20/98—published 11/18/98, effective 12/23/98]</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1/22/99, Notice 12/2/98—published 2/10/99, effective 3/17/99]</w:t>
      </w:r>
    </w:p>
    <w:p>
      <w:pPr>
        <w:spacing w:before="0" w:after="0"/>
        <w:ind w:left="120"/>
        <w:jc w:val="center"/>
      </w:pPr>
      <w:r>
        <w:rPr>
          <w:rFonts w:ascii="Times New Roman" w:hAnsi="Times New Roman"/>
          <w:b w:val="false"/>
          <w:i w:val="false"/>
          <w:color w:val="000000"/>
          <w:sz w:val="21"/>
        </w:rPr>
        <w:t>[Filed 7/27/01, Notice 4/18/01—published 8/22/01, effective 9/26/01]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8/29/02, Notice 7/10/02—published 9/18/02, effective 10/23/02]</w:t>
      </w:r>
    </w:p>
    <w:p>
      <w:pPr>
        <w:spacing w:before="0" w:after="0"/>
        <w:ind w:left="120"/>
        <w:jc w:val="center"/>
      </w:pPr>
      <w:r>
        <w:rPr>
          <w:rFonts w:ascii="Times New Roman" w:hAnsi="Times New Roman"/>
          <w:b w:val="false"/>
          <w:i w:val="false"/>
          <w:color w:val="000000"/>
          <w:sz w:val="21"/>
        </w:rPr>
        <w:t>[Filed without Notice 10/24/02—published 11/13/02, effective 12/18/02]</w:t>
      </w:r>
    </w:p>
    <w:p>
      <w:pPr>
        <w:spacing w:before="0" w:after="0"/>
        <w:ind w:left="120"/>
        <w:jc w:val="center"/>
      </w:pPr>
      <w:r>
        <w:rPr>
          <w:rFonts w:ascii="Times New Roman" w:hAnsi="Times New Roman"/>
          <w:b w:val="false"/>
          <w:i w:val="false"/>
          <w:color w:val="000000"/>
          <w:sz w:val="21"/>
        </w:rPr>
        <w:t>[Filed 1/16/04, Notice 11/12/03—published 2/4/04, effective 3/10/04]</w:t>
      </w:r>
    </w:p>
    <w:p>
      <w:pPr>
        <w:spacing w:before="0" w:after="0"/>
        <w:ind w:left="120"/>
        <w:jc w:val="center"/>
      </w:pPr>
      <w:r>
        <w:rPr>
          <w:rFonts w:ascii="Times New Roman" w:hAnsi="Times New Roman"/>
          <w:b w:val="false"/>
          <w:i w:val="false"/>
          <w:color w:val="000000"/>
          <w:sz w:val="21"/>
        </w:rPr>
        <w:t>[Filed 8/31/04, Notice 7/21/04—published 9/29/04, effective 11/3/04]</w:t>
      </w:r>
    </w:p>
    <w:p>
      <w:pPr>
        <w:spacing w:before="0" w:after="0"/>
        <w:ind w:left="120"/>
        <w:jc w:val="center"/>
      </w:pPr>
      <w:r>
        <w:rPr>
          <w:rFonts w:ascii="Times New Roman" w:hAnsi="Times New Roman"/>
          <w:b w:val="false"/>
          <w:i w:val="false"/>
          <w:color w:val="000000"/>
          <w:sz w:val="21"/>
        </w:rPr>
        <w:t>[Filed 9/9/05, Notice 7/20/05—published 9/28/05, effective 11/2/05]</w:t>
      </w:r>
    </w:p>
    <w:p>
      <w:pPr>
        <w:spacing w:before="0" w:after="0"/>
        <w:ind w:left="120"/>
        <w:jc w:val="center"/>
      </w:pPr>
      <w:r>
        <w:rPr>
          <w:rFonts w:ascii="Times New Roman" w:hAnsi="Times New Roman"/>
          <w:b w:val="false"/>
          <w:i w:val="false"/>
          <w:color w:val="000000"/>
          <w:sz w:val="21"/>
        </w:rPr>
        <w:t>[Filed 4/6/06, Notice 2/15/06—published 4/26/06, effective 5/31/06]</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ARC 7790B</w:t>
      </w:r>
      <w:r>
        <w:rPr>
          <w:rFonts w:ascii="Times New Roman" w:hAnsi="Times New Roman"/>
          <w:b w:val="false"/>
          <w:i w:val="false"/>
          <w:color w:val="000000"/>
          <w:sz w:val="21"/>
        </w:rPr>
        <w:t xml:space="preserve"> (Notice ARC 7567B, IAB 2/11/09)</w:t>
      </w:r>
      <w:r>
        <w:rPr>
          <w:rFonts w:ascii="Times New Roman" w:hAnsi="Times New Roman"/>
          <w:b w:val="false"/>
          <w:i w:val="false"/>
          <w:color w:val="000000"/>
          <w:sz w:val="21"/>
        </w:rPr>
        <w:t>, IAB 5/20/09, effective 6/24/09]</w:t>
      </w:r>
      <w:r>
        <w:br/>
      </w:r>
      <w:r>
        <w:rPr>
          <w:rFonts w:ascii="Times New Roman" w:hAnsi="Times New Roman"/>
          <w:b w:val="false"/>
          <w:i w:val="false"/>
          <w:color w:val="000000"/>
          <w:sz w:val="21"/>
        </w:rPr>
        <w:t>[Filed ARC 7789B</w:t>
      </w:r>
      <w:r>
        <w:rPr>
          <w:rFonts w:ascii="Times New Roman" w:hAnsi="Times New Roman"/>
          <w:b w:val="false"/>
          <w:i w:val="false"/>
          <w:color w:val="000000"/>
          <w:sz w:val="21"/>
        </w:rPr>
        <w:t xml:space="preserve"> (Notice ARC 7575B, IAB 2/11/09)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9218B</w:t>
      </w:r>
      <w:r>
        <w:rPr>
          <w:rFonts w:ascii="Times New Roman" w:hAnsi="Times New Roman"/>
          <w:b w:val="false"/>
          <w:i w:val="false"/>
          <w:color w:val="000000"/>
          <w:sz w:val="21"/>
        </w:rPr>
        <w:t xml:space="preserve"> (Notice ARC 8846B, IAB 6/16/10)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9510B</w:t>
      </w:r>
      <w:r>
        <w:rPr>
          <w:rFonts w:ascii="Times New Roman" w:hAnsi="Times New Roman"/>
          <w:b w:val="false"/>
          <w:i w:val="false"/>
          <w:color w:val="000000"/>
          <w:sz w:val="21"/>
        </w:rPr>
        <w:t xml:space="preserve"> (Notice ARC 9243B, IAB 12/1/10)</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0618C</w:t>
      </w:r>
      <w:r>
        <w:rPr>
          <w:rFonts w:ascii="Times New Roman" w:hAnsi="Times New Roman"/>
          <w:b w:val="false"/>
          <w:i w:val="false"/>
          <w:color w:val="000000"/>
          <w:sz w:val="21"/>
        </w:rPr>
        <w:t xml:space="preserve"> (Notice ARC 0473C, IAB 11/28/12)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2870C</w:t>
      </w:r>
      <w:r>
        <w:rPr>
          <w:rFonts w:ascii="Times New Roman" w:hAnsi="Times New Roman"/>
          <w:b w:val="false"/>
          <w:i w:val="false"/>
          <w:color w:val="000000"/>
          <w:sz w:val="21"/>
        </w:rPr>
        <w:t xml:space="preserve"> (Notice ARC 2701C, IAB 8/31/16)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3488C</w:t>
      </w:r>
      <w:r>
        <w:rPr>
          <w:rFonts w:ascii="Times New Roman" w:hAnsi="Times New Roman"/>
          <w:b w:val="false"/>
          <w:i w:val="false"/>
          <w:color w:val="000000"/>
          <w:sz w:val="21"/>
        </w:rPr>
        <w:t xml:space="preserve"> (Notice ARC 3252C, IAB 8/16/17)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3961C</w:t>
      </w:r>
      <w:r>
        <w:rPr>
          <w:rFonts w:ascii="Times New Roman" w:hAnsi="Times New Roman"/>
          <w:b w:val="false"/>
          <w:i w:val="false"/>
          <w:color w:val="000000"/>
          <w:sz w:val="21"/>
        </w:rPr>
        <w:t xml:space="preserve"> (Notice ARC 3705C, IAB 3/28/18)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4187C</w:t>
      </w:r>
      <w:r>
        <w:rPr>
          <w:rFonts w:ascii="Times New Roman" w:hAnsi="Times New Roman"/>
          <w:b w:val="false"/>
          <w:i w:val="false"/>
          <w:color w:val="000000"/>
          <w:sz w:val="21"/>
        </w:rPr>
        <w:t xml:space="preserve"> (Notice ARC 4005C, IAB 9/26/18)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4747C</w:t>
      </w:r>
      <w:r>
        <w:rPr>
          <w:rFonts w:ascii="Times New Roman" w:hAnsi="Times New Roman"/>
          <w:b w:val="false"/>
          <w:i w:val="false"/>
          <w:color w:val="000000"/>
          <w:sz w:val="21"/>
        </w:rPr>
        <w:t xml:space="preserve"> (Notice ARC 4526C, IAB 7/3/19)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5366C</w:t>
      </w:r>
      <w:r>
        <w:rPr>
          <w:rFonts w:ascii="Times New Roman" w:hAnsi="Times New Roman"/>
          <w:b w:val="false"/>
          <w:i w:val="false"/>
          <w:color w:val="000000"/>
          <w:sz w:val="21"/>
        </w:rPr>
        <w:t xml:space="preserve"> (Notice ARC 5264C, IAB 11/4/20)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5539C</w:t>
      </w:r>
      <w:r>
        <w:rPr>
          <w:rFonts w:ascii="Times New Roman" w:hAnsi="Times New Roman"/>
          <w:b w:val="false"/>
          <w:i w:val="false"/>
          <w:color w:val="000000"/>
          <w:sz w:val="21"/>
        </w:rPr>
        <w:t xml:space="preserve"> (Notice ARC 5382C, IAB 1/13/21)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5747C</w:t>
      </w:r>
      <w:r>
        <w:rPr>
          <w:rFonts w:ascii="Times New Roman" w:hAnsi="Times New Roman"/>
          <w:b w:val="false"/>
          <w:i w:val="false"/>
          <w:color w:val="000000"/>
          <w:sz w:val="21"/>
        </w:rPr>
        <w:t xml:space="preserve"> (Notice ARC 5371C,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6673C</w:t>
      </w:r>
      <w:r>
        <w:rPr>
          <w:rFonts w:ascii="Times New Roman" w:hAnsi="Times New Roman"/>
          <w:b w:val="false"/>
          <w:i w:val="false"/>
          <w:color w:val="000000"/>
          <w:sz w:val="21"/>
        </w:rPr>
        <w:t xml:space="preserve"> (Notice ARC 6514C, IAB 9/7/22)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6940C</w:t>
      </w:r>
      <w:r>
        <w:rPr>
          <w:rFonts w:ascii="Times New Roman" w:hAnsi="Times New Roman"/>
          <w:b w:val="false"/>
          <w:i w:val="false"/>
          <w:color w:val="000000"/>
          <w:sz w:val="21"/>
        </w:rPr>
        <w:t xml:space="preserve"> (Notice ARC 6666C, IAB 11/16/22)</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2.pdf" Type="http://schemas.openxmlformats.org/officeDocument/2006/relationships/hyperlink" Id="rId5"/>
    <Relationship TargetMode="External" Target="https://www.legis.iowa.gov/docs/ico/chapter/153.39.pdf" Type="http://schemas.openxmlformats.org/officeDocument/2006/relationships/hyperlink" Id="rId6"/>
    <Relationship TargetMode="External" Target="https://www.legis.iowa.gov/docs/iac/rule/650.11.3.pdf" Type="http://schemas.openxmlformats.org/officeDocument/2006/relationships/hyperlink" Id="rId7"/>
    <Relationship TargetMode="External" Target="https://www.legis.iowa.gov/docs/iac/rule/650.11.4.pdf" Type="http://schemas.openxmlformats.org/officeDocument/2006/relationships/hyperlink" Id="rId8"/>
    <Relationship TargetMode="External" Target="https://www.legis.iowa.gov/docs/iac/chapter/650.15.pdf" Type="http://schemas.openxmlformats.org/officeDocument/2006/relationships/hyperlink" Id="rId9"/>
    <Relationship TargetMode="External" Target="https://www.legis.iowa.gov/docs/ico/chapter/147.3.pdf" Type="http://schemas.openxmlformats.org/officeDocument/2006/relationships/hyperlink" Id="rId10"/>
    <Relationship TargetMode="External" Target="https://www.legis.iowa.gov/docs/ico/chapter/147.29.pdf" Type="http://schemas.openxmlformats.org/officeDocument/2006/relationships/hyperlink" Id="rId11"/>
    <Relationship TargetMode="External" Target="https://www.legis.iowa.gov/docs/ico/chapter/147.34.pdf" Type="http://schemas.openxmlformats.org/officeDocument/2006/relationships/hyperlink" Id="rId12"/>
    <Relationship TargetMode="External" Target="https://www.legis.iowa.gov/docs/iac/rule/650.11.4.pdf" Type="http://schemas.openxmlformats.org/officeDocument/2006/relationships/hyperlink" Id="rId13"/>
    <Relationship TargetMode="External" Target="https://www.legis.iowa.gov/docs/iac/rule/650.11.2.pdf" Type="http://schemas.openxmlformats.org/officeDocument/2006/relationships/hyperlink" Id="rId14"/>
    <Relationship TargetMode="External" Target="https://www.legis.iowa.gov/docs/iac/chapter/650.15.pdf" Type="http://schemas.openxmlformats.org/officeDocument/2006/relationships/hyperlink" Id="rId15"/>
    <Relationship TargetMode="External" Target="https://www.legis.iowa.gov/docs/iac/rule/650.11.12.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53.pdf" Type="http://schemas.openxmlformats.org/officeDocument/2006/relationships/hyperlink" Id="rId18"/>
    <Relationship TargetMode="External" Target="https://www.legis.iowa.gov/docs/iac/rule/650.11.2.pdf" Type="http://schemas.openxmlformats.org/officeDocument/2006/relationships/hyperlink" Id="rId19"/>
    <Relationship TargetMode="External" Target="https://www.legis.iowa.gov/docs/iac/rule/650.11.3.pdf" Type="http://schemas.openxmlformats.org/officeDocument/2006/relationships/hyperlink" Id="rId20"/>
    <Relationship TargetMode="External" Target="https://www.legis.iowa.gov/docs/iac/rule/650.11.12.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53.pdf" Type="http://schemas.openxmlformats.org/officeDocument/2006/relationships/hyperlink" Id="rId23"/>
    <Relationship TargetMode="External" Target="https://www.legis.iowa.gov/docs/iac/rule/650.11.6.pdf" Type="http://schemas.openxmlformats.org/officeDocument/2006/relationships/hyperlink" Id="rId24"/>
    <Relationship TargetMode="External" Target="https://www.legis.iowa.gov/docs/iac/chapter/650.15.pdf" Type="http://schemas.openxmlformats.org/officeDocument/2006/relationships/hyperlink" Id="rId25"/>
    <Relationship TargetMode="External" Target="https://www.legis.iowa.gov/docs/iac/chapter/650.1.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153.pdf" Type="http://schemas.openxmlformats.org/officeDocument/2006/relationships/hyperlink" Id="rId28"/>
    <Relationship TargetMode="External" Target="https://www.legis.iowa.gov/docs/iac/rule/650.11.5.pdf" Type="http://schemas.openxmlformats.org/officeDocument/2006/relationships/hyperlink" Id="rId29"/>
    <Relationship TargetMode="External" Target="https://www.legis.iowa.gov/docs/iac/chapter/650.15.pdf" Type="http://schemas.openxmlformats.org/officeDocument/2006/relationships/hyperlink" Id="rId30"/>
    <Relationship TargetMode="External" Target="https://www.legis.iowa.gov/docs/iac/chapter/650.1.pdf" Type="http://schemas.openxmlformats.org/officeDocument/2006/relationships/hyperlink" Id="rId31"/>
    <Relationship TargetMode="External" Target="https://www.legis.iowa.gov/docs/iac/rule/650.11.12.pdf" Type="http://schemas.openxmlformats.org/officeDocument/2006/relationships/hyperlink" Id="rId32"/>
    <Relationship TargetMode="External" Target="https://www.legis.iowa.gov/docs/ico/chapter/147.80.pdf" Type="http://schemas.openxmlformats.org/officeDocument/2006/relationships/hyperlink" Id="rId33"/>
    <Relationship TargetMode="External" Target="https://www.legis.iowa.gov/docs/ico/chapter/153.pdf" Type="http://schemas.openxmlformats.org/officeDocument/2006/relationships/hyperlink" Id="rId34"/>
    <Relationship TargetMode="External" Target="https://www.legis.iowa.gov/docs/iac/chapter/650.15.pdf" Type="http://schemas.openxmlformats.org/officeDocument/2006/relationships/hyperlink" Id="rId35"/>
    <Relationship TargetMode="External" Target="https://www.legis.iowa.gov/docs/iac/chapter/650.15.pdf" Type="http://schemas.openxmlformats.org/officeDocument/2006/relationships/hyperlink" Id="rId36"/>
    <Relationship TargetMode="External" Target="https://www.legis.iowa.gov/docs/iac/chapter/650.15.pdf" Type="http://schemas.openxmlformats.org/officeDocument/2006/relationships/hyperlink" Id="rId37"/>
    <Relationship TargetMode="External" Target="https://www.legis.iowa.gov/docs/iac/rule/650.11.7.pdf" Type="http://schemas.openxmlformats.org/officeDocument/2006/relationships/hyperlink" Id="rId38"/>
    <Relationship TargetMode="External" Target="https://www.legis.iowa.gov/docs/iac/chapter/650.15.pdf" Type="http://schemas.openxmlformats.org/officeDocument/2006/relationships/hyperlink" Id="rId39"/>
    <Relationship TargetMode="External" Target="https://www.legis.iowa.gov/docs/ico/chapter/147.10.pdf" Type="http://schemas.openxmlformats.org/officeDocument/2006/relationships/hyperlink" Id="rId40"/>
    <Relationship TargetMode="External" Target="https://www.legis.iowa.gov/docs/ico/chapter/147.80.pdf" Type="http://schemas.openxmlformats.org/officeDocument/2006/relationships/hyperlink" Id="rId41"/>
    <Relationship TargetMode="External" Target="https://www.legis.iowa.gov/docs/ico/chapter/153.pdf" Type="http://schemas.openxmlformats.org/officeDocument/2006/relationships/hyperlink" Id="rId42"/>
    <Relationship TargetMode="External" Target="https://www.legis.iowa.gov/docs/iac/rule/650.11.8.pdf" Type="http://schemas.openxmlformats.org/officeDocument/2006/relationships/hyperlink" Id="rId43"/>
    <Relationship TargetMode="External" Target="https://www.legis.iowa.gov/docs/iac/rule/650.11.8.pdf" Type="http://schemas.openxmlformats.org/officeDocument/2006/relationships/hyperlink" Id="rId44"/>
    <Relationship TargetMode="External" Target="https://www.legis.iowa.gov/docs/iac/rule/650.22.5.pdf" Type="http://schemas.openxmlformats.org/officeDocument/2006/relationships/hyperlink" Id="rId45"/>
    <Relationship TargetMode="External" Target="https://www.legis.iowa.gov/docs/iac/rule/650.11.8.pdf" Type="http://schemas.openxmlformats.org/officeDocument/2006/relationships/hyperlink" Id="rId46"/>
    <Relationship TargetMode="External" Target="https://www.legis.iowa.gov/docs/iac/chapter/650.15.pdf" Type="http://schemas.openxmlformats.org/officeDocument/2006/relationships/hyperlink" Id="rId47"/>
    <Relationship TargetMode="External" Target="https://www.legis.iowa.gov/docs/iac/rule/650.11.8.pdf" Type="http://schemas.openxmlformats.org/officeDocument/2006/relationships/hyperlink" Id="rId48"/>
    <Relationship TargetMode="External" Target="https://www.legis.iowa.gov/docs/iac/rule/650.11.8.pdf" Type="http://schemas.openxmlformats.org/officeDocument/2006/relationships/hyperlink" Id="rId49"/>
    <Relationship TargetMode="External" Target="https://www.legis.iowa.gov/docs/iac/rule/650.22.5.pdf" Type="http://schemas.openxmlformats.org/officeDocument/2006/relationships/hyperlink" Id="rId50"/>
    <Relationship TargetMode="External" Target="https://www.legis.iowa.gov/docs/iac/chapter/650.22.pdf" Type="http://schemas.openxmlformats.org/officeDocument/2006/relationships/hyperlink" Id="rId51"/>
    <Relationship TargetMode="External" Target="https://www.legis.iowa.gov/docs/iac/rule/650.11.9.pdf" Type="http://schemas.openxmlformats.org/officeDocument/2006/relationships/hyperlink" Id="rId52"/>
    <Relationship TargetMode="External" Target="https://www.legis.iowa.gov/docs/ico/chapter/153.39.pdf" Type="http://schemas.openxmlformats.org/officeDocument/2006/relationships/hyperlink" Id="rId53"/>
    <Relationship TargetMode="External" Target="https://www.legis.iowa.gov/docs/ico/chapter/272C.12.pdf" Type="http://schemas.openxmlformats.org/officeDocument/2006/relationships/hyperlink" Id="rId54"/>
    <Relationship TargetMode="External" Target="https://www.legis.iowa.gov/docs/iac/rule/650.10.2.pdf" Type="http://schemas.openxmlformats.org/officeDocument/2006/relationships/hyperlink" Id="rId55"/>
    <Relationship TargetMode="External" Target="https://www.legis.iowa.gov/docs/ico/chapter/272C.12.pdf" Type="http://schemas.openxmlformats.org/officeDocument/2006/relationships/hyperlink" Id="rId56"/>
    <Relationship TargetMode="External" Target="https://www.legis.iowa.gov/docs/iac/chapter/650.1.pdf" Type="http://schemas.openxmlformats.org/officeDocument/2006/relationships/hyperlink" Id="rId57"/>
    <Relationship TargetMode="External" Target="https://www.legis.iowa.gov/docs/ico/chapter/153.33B.pdf" Type="http://schemas.openxmlformats.org/officeDocument/2006/relationships/hyperlink" Id="rId58"/>
    <Relationship TargetMode="External" Target="https://www.legis.iowa.gov/docs/ico/chapter/147.4.pdf" Type="http://schemas.openxmlformats.org/officeDocument/2006/relationships/hyperlink" Id="rId59"/>
    <Relationship TargetMode="External" Target="https://www.legis.iowa.gov/docs/iac/chapter/650.50.pdf" Type="http://schemas.openxmlformats.org/officeDocument/2006/relationships/hyperlink" Id="rId60"/>
    <Relationship TargetMode="External" Target="https://www.legis.iowa.gov/docs/ico/chapter/147.4.pdf" Type="http://schemas.openxmlformats.org/officeDocument/2006/relationships/hyperlink" Id="rId61"/>
    <Relationship TargetMode="External" Target="https://www.legis.iowa.gov/docs/iac/rule/650.51.20.pdf" Type="http://schemas.openxmlformats.org/officeDocument/2006/relationships/hyperlink" Id="rId62"/>
    <Relationship TargetMode="External" Target="https://www.legis.iowa.gov/docs/ico/chapter/17A.19.pdf" Type="http://schemas.openxmlformats.org/officeDocument/2006/relationships/hyperlink" Id="rId63"/>
    <Relationship TargetMode="External" Target="https://www.legis.iowa.gov/docs/iac/rule/650.11.10.pdf" Type="http://schemas.openxmlformats.org/officeDocument/2006/relationships/hyperlink" Id="rId64"/>
    <Relationship TargetMode="External" Target="https://www.legis.iowa.gov/docs/iac/chapter/650.50.pdf" Type="http://schemas.openxmlformats.org/officeDocument/2006/relationships/hyperlink" Id="rId65"/>
    <Relationship TargetMode="External" Target="https://www.legis.iowa.gov/docs/ico/chapter/147.3.pdf" Type="http://schemas.openxmlformats.org/officeDocument/2006/relationships/hyperlink" Id="rId66"/>
    <Relationship TargetMode="External" Target="https://www.legis.iowa.gov/docs/ico/chapter/147.4.pdf" Type="http://schemas.openxmlformats.org/officeDocument/2006/relationships/hyperlink" Id="rId67"/>
    <Relationship TargetMode="External" Target="https://www.legis.iowa.gov/docs/ico/chapter/252J.pdf" Type="http://schemas.openxmlformats.org/officeDocument/2006/relationships/hyperlink" Id="rId68"/>
    <Relationship TargetMode="External" Target="https://www.legis.iowa.gov/docs/iac/chapter/650.33.pdf" Type="http://schemas.openxmlformats.org/officeDocument/2006/relationships/hyperlink" Id="rId69"/>
    <Relationship TargetMode="External" Target="https://www.legis.iowa.gov/docs/ico/chapter/252J.pdf" Type="http://schemas.openxmlformats.org/officeDocument/2006/relationships/hyperlink" Id="rId70"/>
    <Relationship TargetMode="External" Target="https://www.legis.iowa.gov/docs/ico/chapter/272C.12.pdf" Type="http://schemas.openxmlformats.org/officeDocument/2006/relationships/hyperlink" Id="rId71"/>
    <Relationship TargetMode="External" Target="https://www.legis.iowa.gov/docs/iac/rule/650.10.2.pdf" Type="http://schemas.openxmlformats.org/officeDocument/2006/relationships/hyperlink" Id="rId72"/>
    <Relationship TargetMode="External" Target="https://www.legis.iowa.gov/docs/ico/chapter/272C.12.pdf" Type="http://schemas.openxmlformats.org/officeDocument/2006/relationships/hyperlink"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