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LICENSING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GENERAL REQUIREMENTS</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650—10.1</w:t>
      </w:r>
      <w:r>
        <w:rPr>
          <w:rFonts w:ascii="Times New Roman" w:hAnsi="Times New Roman"/>
          <w:b/>
          <w:i w:val="false"/>
          <w:color w:val="000000"/>
          <w:sz w:val="22"/>
        </w:rPr>
        <w:t xml:space="preserve">(153) </w:t>
      </w:r>
      <w:r>
        <w:rPr>
          <w:rFonts w:ascii="Times New Roman" w:hAnsi="Times New Roman"/>
          <w:b/>
          <w:i w:val="false"/>
          <w:color w:val="000000"/>
          <w:sz w:val="22"/>
        </w:rPr>
        <w:t xml:space="preserve">Licensed or registered personnel. </w:t>
      </w:r>
      <w:r>
        <w:rPr>
          <w:rFonts w:ascii="Times New Roman" w:hAnsi="Times New Roman"/>
          <w:b w:val="false"/>
          <w:i w:val="false"/>
          <w:color w:val="000000"/>
          <w:sz w:val="22"/>
        </w:rPr>
        <w:t xml:space="preserve">Persons engaged in the practice of dentistry in Iowa must be licensed by the board as a dentist, and persons performing services under Iowa Code section </w:t>
      </w:r>
      <w:hyperlink r:id="rId5">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must be licensed by the board as a dental hygienist. Persons engaged in the practice of dental assisting must be registered by the board pursuant to </w:t>
      </w:r>
      <w:hyperlink r:id="rId6">
        <w:r>
          <w:rPr>
            <w:rStyle w:val="Hyperlink"/>
            <w:rFonts w:ascii="Times New Roman" w:hAnsi="Times New Roman"/>
            <w:b w:val="false"/>
            <w:i w:val="false"/>
            <w:color w:val="000000"/>
            <w:sz w:val="22"/>
          </w:rPr>
          <w:t>650—Chapter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650—10.2</w:t>
      </w:r>
      <w:r>
        <w:rPr>
          <w:rFonts w:ascii="Times New Roman" w:hAnsi="Times New Roman"/>
          <w:b/>
          <w:i w:val="false"/>
          <w:color w:val="000000"/>
          <w:sz w:val="22"/>
        </w:rPr>
        <w:t xml:space="preserve">(147,153) </w:t>
      </w:r>
      <w:r>
        <w:rPr>
          <w:rFonts w:ascii="Times New Roman" w:hAnsi="Times New Roman"/>
          <w:b/>
          <w:i w:val="false"/>
          <w:color w:val="000000"/>
          <w:sz w:val="22"/>
        </w:rPr>
        <w:t xml:space="preserve">Display of license, registration, permit, and renewal. </w:t>
      </w:r>
      <w:r>
        <w:rPr>
          <w:rFonts w:ascii="Times New Roman" w:hAnsi="Times New Roman"/>
          <w:b w:val="false"/>
          <w:i w:val="false"/>
          <w:color w:val="000000"/>
          <w:sz w:val="22"/>
        </w:rPr>
        <w:t>The license to practice dentistry or dental hygiene or the registration as a dental assistant and the current renewal must be prominently displayed by the licensee or registrant at each permanent practice location. A dentist who holds a permit to administer deep sedation/general anesthesia or conscious sedation, or a dental hygienist who holds a permit to administer local anesthesia, shall also prominently display the permit and the current renewal at each permanent practice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Additional certificates shall be obtained from the board whenever a licensee or registrant practices at more than one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Duplicate licenses, certificates of registration, or permits shall be issued by the board upon satisfactory proof of loss or destruction of the original license, certificate of registration, or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147.80(17)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650—10.3</w:t>
      </w:r>
      <w:r>
        <w:rPr>
          <w:rFonts w:ascii="Times New Roman" w:hAnsi="Times New Roman"/>
          <w:b/>
          <w:i w:val="false"/>
          <w:color w:val="000000"/>
          <w:sz w:val="22"/>
        </w:rPr>
        <w:t xml:space="preserve">(153) </w:t>
      </w:r>
      <w:r>
        <w:rPr>
          <w:rFonts w:ascii="Times New Roman" w:hAnsi="Times New Roman"/>
          <w:b/>
          <w:i w:val="false"/>
          <w:color w:val="000000"/>
          <w:sz w:val="22"/>
        </w:rPr>
        <w:t xml:space="preserve">Authorized practice of a dental hygienist.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of dental hygiene” as defined in Iowa Code section </w:t>
      </w:r>
      <w:hyperlink r:id="rId12">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means the performance of the following educational, therapeutic, preventive and diagnostic dental hygiene services. Such services, except educational services, shall be delegated by and performed under the supervision of a dentist licensed pursuant to Iowa Code chapter </w:t>
      </w:r>
      <w:hyperlink r:id="rId1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Assessing the need for, planning, implementing, and evaluating oral health education programs for individual patients and community groups; conducting workshops and in-service training sessions on dental health for nurses, school personnel, institutional staff, community groups and other agencies providing consultation and technical assistance for promotional, preventive and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Therapeutic. Identifying and evaluating factors which indicate the need for and performing (1) oral prophylaxis, which includes supragingival and subgingival debridement of plaque, and detection and removal of calculus with instruments or any other devices; (2) periodontal scaling and root planing; (3) removing and polishing hardened excess restorative material; (4) administering local anesthesia with the proper permit; (5) administering nitrous oxide inhalation analgesia in accordance with </w:t>
      </w:r>
      <w:hyperlink r:id="rId14">
        <w:r>
          <w:rPr>
            <w:rStyle w:val="Hyperlink"/>
            <w:rFonts w:ascii="Times New Roman" w:hAnsi="Times New Roman"/>
            <w:b w:val="false"/>
            <w:i w:val="false"/>
            <w:color w:val="000000"/>
            <w:sz w:val="22"/>
          </w:rPr>
          <w:t>650—subrules 29.6(4)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29.6(5)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applying or administering medicaments prescribed by a dentist, including chemotherapeutic agents and medicaments or therapies for the treatment of periodontal disease and caries; (7) removal of adhesives.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Preventive. Applying pit and fissure sealants and other medications or methods for caries and periodontal disease control; organizing and administering fluoride rinse or sealant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Diagnostic. Reviewing medical and dental health histories; performing oral inspection; indexing dental and periodontal disease; preliminary charting of existing dental restorations and teeth; making occlusal registrations for mounting study casts; testing pulp vitality; testing glucose levels; analyzing dietary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services may only be delegated by a dentist to a dental hygienist: administration of local anesthesia, placement of sealants except as permitted by </w:t>
      </w:r>
      <w:hyperlink r:id="rId17">
        <w:r>
          <w:rPr>
            <w:rStyle w:val="Hyperlink"/>
            <w:rFonts w:ascii="Times New Roman" w:hAnsi="Times New Roman"/>
            <w:b w:val="false"/>
            <w:i w:val="false"/>
            <w:color w:val="000000"/>
            <w:sz w:val="22"/>
          </w:rPr>
          <w:t>650—subrule 23.6(2)</w:t>
        </w:r>
      </w:hyperlink>
      <w:r>
        <w:rPr>
          <w:rFonts w:ascii="Times New Roman" w:hAnsi="Times New Roman"/>
          <w:b w:val="false"/>
          <w:i w:val="false"/>
          <w:color w:val="000000"/>
          <w:sz w:val="22"/>
        </w:rPr>
        <w:t>, and the removal of any plaque, stain, calculus, or hard natural or synthetic material except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18">
        <w:r>
          <w:rPr>
            <w:rStyle w:val="Hyperlink"/>
            <w:rFonts w:ascii="Times New Roman" w:hAnsi="Times New Roman"/>
            <w:b w:val="false"/>
            <w:i w:val="false"/>
            <w:color w:val="000000"/>
            <w:sz w:val="22"/>
          </w:rPr>
          <w:t>650—Chapter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authorized services provided by a dental hygienist, except educational services, shall be performed under the general, direct, or public health supervision of a dentist currently licensed in the state of Iowa in accordance with </w:t>
      </w:r>
      <w:hyperlink r:id="rId19">
        <w:r>
          <w:rPr>
            <w:rStyle w:val="Hyperlink"/>
            <w:rFonts w:ascii="Times New Roman" w:hAnsi="Times New Roman"/>
            <w:b w:val="false"/>
            <w:i w:val="false"/>
            <w:color w:val="000000"/>
            <w:sz w:val="22"/>
          </w:rPr>
          <w:t>650—1.1</w:t>
        </w:r>
      </w:hyperlink>
      <w:r>
        <w:rPr>
          <w:rFonts w:ascii="Times New Roman" w:hAnsi="Times New Roman"/>
          <w:b w:val="false"/>
          <w:i w:val="false"/>
          <w:color w:val="000000"/>
          <w:sz w:val="22"/>
        </w:rPr>
        <w:t xml:space="preserve">(153) and </w:t>
      </w:r>
      <w:hyperlink r:id="rId20">
        <w:r>
          <w:rPr>
            <w:rStyle w:val="Hyperlink"/>
            <w:rFonts w:ascii="Times New Roman" w:hAnsi="Times New Roman"/>
            <w:b w:val="false"/>
            <w:i w:val="false"/>
            <w:color w:val="000000"/>
            <w:sz w:val="22"/>
          </w:rPr>
          <w:t>650—10.5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Under the general or public health supervision of a dentist, a dental hygienist may provide educational services, assessment, screening, or data collection for the preparation of preliminary written records for evaluation by a licensed dentist. A dentist is not required to examine a patient prior to the provision of these dental hygiene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administration of local anesthesia or nitrous oxide inhalation analgesia shall only be provided under the direct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All other authorized services provided by a dental hygienist to a new patient shall be provided under the direct or public health supervision of a dentist. An examination by the dentist must take place during an initial visit by a new patient, except when hygiene services are provided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val="false"/>
          <w:color w:val="000000"/>
          <w:sz w:val="22"/>
        </w:rPr>
        <w:t>Subsequent examination and monitoring of the patient, including definitive diagnosis and treatment planning, is the responsibility of the dentist and shall be carried out in a reasonable period of time in accordance with the professional judgment of the dentist based upon the individual needs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w:t>
      </w:r>
      <w:r>
        <w:rPr>
          <w:rFonts w:ascii="Times New Roman" w:hAnsi="Times New Roman"/>
          <w:b w:val="false"/>
          <w:i w:val="false"/>
          <w:color w:val="000000"/>
          <w:sz w:val="22"/>
        </w:rPr>
        <w:t> </w:t>
      </w:r>
      <w:r>
        <w:rPr>
          <w:rFonts w:ascii="Times New Roman" w:hAnsi="Times New Roman"/>
          <w:b w:val="false"/>
          <w:i w:val="false"/>
          <w:color w:val="000000"/>
          <w:sz w:val="22"/>
        </w:rPr>
        <w:t>General supervision shall not preclude the use of direct supervision when in the professional judgment of the dentist such supervision is necessary to meet the individual needs of the 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2141C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3487C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650—10.4</w:t>
      </w:r>
      <w:r>
        <w:rPr>
          <w:rFonts w:ascii="Times New Roman" w:hAnsi="Times New Roman"/>
          <w:b/>
          <w:i w:val="false"/>
          <w:color w:val="000000"/>
          <w:sz w:val="22"/>
        </w:rPr>
        <w:t xml:space="preserve">(153) </w:t>
      </w:r>
      <w:r>
        <w:rPr>
          <w:rFonts w:ascii="Times New Roman" w:hAnsi="Times New Roman"/>
          <w:b/>
          <w:i w:val="false"/>
          <w:color w:val="000000"/>
          <w:sz w:val="22"/>
        </w:rPr>
        <w:t xml:space="preserve">Unauthorized practice of a dental hygienist. </w:t>
      </w:r>
      <w:r>
        <w:rPr>
          <w:rFonts w:ascii="Times New Roman" w:hAnsi="Times New Roman"/>
          <w:b w:val="false"/>
          <w:i w:val="false"/>
          <w:color w:val="000000"/>
          <w:sz w:val="22"/>
        </w:rPr>
        <w:t>A dental hygienist who renders hygiene services, except educational services, that have not been delegated by a licensed dentist or that are not performed under the supervision of a licensed dentist as provided by rule shall be deemed to be practicing illegally.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unauthorized practice of dental hygiene means allowing a person not licensed in dentistry or dental hygiene to perform dental hygiene services authorized in Iowa Code section </w:t>
      </w:r>
      <w:hyperlink r:id="rId22">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rule </w:t>
      </w:r>
      <w:hyperlink r:id="rId23">
        <w:r>
          <w:rPr>
            <w:rStyle w:val="Hyperlink"/>
            <w:rFonts w:ascii="Times New Roman" w:hAnsi="Times New Roman"/>
            <w:b w:val="false"/>
            <w:i w:val="false"/>
            <w:color w:val="000000"/>
            <w:sz w:val="22"/>
          </w:rPr>
          <w:t>650—10.3</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unauthorized practice of dental hygiene also means the performance of services by a dental hygienist that exceeds the scope of practice granted in Iowa Code section </w:t>
      </w:r>
      <w:hyperlink r:id="rId24">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Students enrolled in dental hygiene programs. Students enrolled in an accredited dental hygiene program are not considered to be engaged in the unlawful practice of dental hygiene provided that such practice is in connection with their regular course of instruction and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must be under the direct supervision of a program instructor with an active Iowa dental hygiene license, Iowa faculty permit, or Iowa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must be under the general supervision of a dentist with an active Iowa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involving the administration or monitoring of nitrous oxide or the administration of local anesthesia must be under the direct supervision of a dentist with an active Iowa dental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147.57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2592C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3487C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650—10.5</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A dentist who meets the requirements of this rule may provide public health supervision to a dental hygienist if the dentist has an active Iowa license and the services are provided in public health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Public health settings defined. </w:t>
      </w:r>
      <w:r>
        <w:rPr>
          <w:rFonts w:ascii="Times New Roman" w:hAnsi="Times New Roman"/>
          <w:b w:val="false"/>
          <w:i w:val="false"/>
          <w:color w:val="000000"/>
          <w:sz w:val="22"/>
        </w:rPr>
        <w:t xml:space="preserve">For the purposes of this rule, public health settings are limited to schools; Head Start programs; programs affiliated with the early childhood Iowa (ECI) initiative authorized by Iowa Code chapter </w:t>
      </w:r>
      <w:hyperlink r:id="rId28">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 child care centers (excluding home-based child care centers); federally qualified health centers; public health dental vans; free clinics; nonprofit community health centers; nursing facilities; and federal, state, or local public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defined. </w:t>
      </w:r>
      <w:r>
        <w:rPr>
          <w:rFonts w:ascii="Times New Roman" w:hAnsi="Times New Roman"/>
          <w:b w:val="false"/>
          <w:i w:val="false"/>
          <w:color w:val="000000"/>
          <w:sz w:val="22"/>
        </w:rPr>
        <w:t>“Public health supervision” means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authorizes and delegates the services provided by a dental hygienist to a patient in a public health setting, with the exception that hygiene services may be rendered without the patient’s first being examined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is not required to provide future dental treatment to patients served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and the dental hygienist have entered into a written supervision agreement that details the responsibilities of each licensee, as specified in subrule </w:t>
      </w:r>
      <w:hyperlink r:id="rId29">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dental hygienist has an active Iowa license with a minimum of one year of clinical practice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w:t>
      </w:r>
      <w:r>
        <w:rPr>
          <w:rFonts w:ascii="Times New Roman" w:hAnsi="Times New Roman"/>
          <w:b w:val="false"/>
          <w:i w:val="false"/>
          <w:color w:val="000000"/>
          <w:sz w:val="22"/>
        </w:rPr>
        <w:t>When working together in a public health supervision relationship, a dentist and dental hygienist shall enter into a written agreement that specifies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providing public health supervision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available to provide communication and consultation with the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age- and procedure-specific standing orders for the performance of dental hygiene services. Those standing orders must include consideration for medically compromised patients and medical conditions for which a dental evaluation must occur prior to the provision of dental hygiene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a period of time in which an examination by a dentist must occur prior to providing further hygiene services. However, this examination requirement does not apply to educational services, assessments, screenings, and fluoride if specified in the supervision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hygiene services will be provided under public health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board-approved training on silver diamine fluoride if the supervision agreement permits the use of silver diamine fluoride. The supervision agreement must specify guidelines for use of silver diamine fluoride and must follow board-approved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providing services under public health supervision may provide assessments; screenings; data collection; and educational, therapeutic, preventive, and diagnostic services as defined in rule </w:t>
      </w:r>
      <w:hyperlink r:id="rId30">
        <w:r>
          <w:rPr>
            <w:rStyle w:val="Hyperlink"/>
            <w:rFonts w:ascii="Times New Roman" w:hAnsi="Times New Roman"/>
            <w:b w:val="false"/>
            <w:i w:val="false"/>
            <w:color w:val="000000"/>
            <w:sz w:val="22"/>
          </w:rPr>
          <w:t>650—10.3</w:t>
        </w:r>
      </w:hyperlink>
      <w:r>
        <w:rPr>
          <w:rFonts w:ascii="Times New Roman" w:hAnsi="Times New Roman"/>
          <w:b w:val="false"/>
          <w:i w:val="false"/>
          <w:color w:val="000000"/>
          <w:sz w:val="22"/>
        </w:rPr>
        <w:t>(153), except for the administration of local anesthesia or nitrous oxide inhalation analgesia,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contact and communication with the dentist providing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according to age- and procedure-specific standing orders as directed by the supervising dentist, unless otherwise directed by the dentist for a specific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patient, parent, or guardian a written plan for referral to a dentist and assessment of further dental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Have each patient sign a consent form that notifies the patient that the services that will be received do not take the place of regular dental checkups at a dental office and are meant for people who otherwise would not have access to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Specify a procedure for creating and maintaining dental records for the patients that are treated by the dental hygienist, including where these records are to be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Complete board-approved training on silver diamine fluoride if the supervision agreement permits the use of silver diamine fluoride. The supervision agreement must specify guidelines for use of silver diamine fluoride and must follow board-approved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agreement for public health supervision must be maintained by the dentist and the dental hygienist and must be made available to the board upon request. The dentist and dental hygienist must review the agreement at least biennially.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for public health supervision shall be filed with the Bureau of Oral and Health Delivery Systems, Iowa Department of Public Health, Lucas State Office Building,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dental hygienist who has rendered services under public health supervision must complete a summary report at the completion of a program or, in the case of an ongoing program, at least annually. The report shall be filed with the bureau of oral and health delivery systems of the Iowa department of public health on forms provided by the department and shall include information related to the number of patients seen and services provided so that the department may assess the impact of the program. The department will provide summary reports to the board on an annual basis.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0629C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2141C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650—10.6</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Each person licensed or registered by the board must notify the board, by written correspondence, of a change of legal name within 60 days of such change. Proof of a legal name change, such as a copy of a notarized letter, marriage certificate, or other legal document establishing the change must accompany the request for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Each person licensed or registered by the board must notify the board within 60 days, through the board’s online system, of changes in email and mailing addresses. Address changes shall be submitted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Primary mailing address. </w:t>
      </w:r>
      <w:r>
        <w:rPr>
          <w:rFonts w:ascii="Times New Roman" w:hAnsi="Times New Roman"/>
          <w:b w:val="false"/>
          <w:i w:val="false"/>
          <w:color w:val="000000"/>
          <w:sz w:val="22"/>
        </w:rPr>
        <w:t>Licensees or registrants shall designate a primary mailing address. The primary mailing address may be a designated work or home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Practice locations. </w:t>
      </w:r>
      <w:r>
        <w:rPr>
          <w:rFonts w:ascii="Times New Roman" w:hAnsi="Times New Roman"/>
          <w:b w:val="false"/>
          <w:i w:val="false"/>
          <w:color w:val="000000"/>
          <w:sz w:val="22"/>
        </w:rPr>
        <w:t>Licensees or registrants shall report addresses for all practice locations. Practice locations include full-time and part-time practice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Email address. </w:t>
      </w:r>
      <w:r>
        <w:rPr>
          <w:rFonts w:ascii="Times New Roman" w:hAnsi="Times New Roman"/>
          <w:b w:val="false"/>
          <w:i w:val="false"/>
          <w:color w:val="000000"/>
          <w:sz w:val="22"/>
        </w:rPr>
        <w:t xml:space="preserve">Each licensee or registrant shall report, when available, an email address for the purpose of electronic communications from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Licensees or registrants who regularly examine, attend, counsel or treat children or adults in Iowa must obtain mandatory training in child and dependent adult abuse identification and reporting in accordance with </w:t>
      </w:r>
      <w:hyperlink r:id="rId32">
        <w:r>
          <w:rPr>
            <w:rStyle w:val="Hyperlink"/>
            <w:rFonts w:ascii="Times New Roman" w:hAnsi="Times New Roman"/>
            <w:b w:val="false"/>
            <w:i w:val="false"/>
            <w:color w:val="000000"/>
            <w:sz w:val="22"/>
          </w:rPr>
          <w:t>650—subrule 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licensee and registrant shall be responsible for reporting to the board, within 30 days,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adverse judgment in a professional malpractice action to which the licensee or registrant was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license or registration revocation, suspension or other disciplinary action taken by a licensing authority of another state, territory or country within 30 days of the final action by the licensing authority.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147.9</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 xml:space="preserve">; </w:t>
      </w:r>
      <w:r>
        <w:rPr>
          <w:rFonts w:ascii="Times New Roman" w:hAnsi="Times New Roman"/>
          <w:b/>
          <w:i w:val="false"/>
          <w:color w:val="000000"/>
          <w:sz w:val="16"/>
        </w:rPr>
        <w:t>ARC 4846C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7/28/95, Notice 5/10/95—published 8/16/95, effective 9/20/95]</w:t>
      </w:r>
    </w:p>
    <w:p>
      <w:pPr>
        <w:spacing w:before="0" w:after="0"/>
        <w:ind w:left="120"/>
        <w:jc w:val="center"/>
      </w:pPr>
      <w:r>
        <w:rPr>
          <w:rFonts w:ascii="Times New Roman" w:hAnsi="Times New Roman"/>
          <w:b w:val="false"/>
          <w:i w:val="false"/>
          <w:color w:val="000000"/>
          <w:sz w:val="21"/>
        </w:rPr>
        <w:t>[Filed 10/30/98, Notice 5/20/98—published 11/18/98, effective 12/23/98]</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7/23/99, Notice 5/19/99—published 8/11/99, effective 9/15/99]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1/21/00, Notice 12/15/99—published 2/9/00, effective 3/15/00]</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6/21/02, Notice 2/20/02—published 7/10/02, effective 8/14/02]</w:t>
      </w:r>
    </w:p>
    <w:p>
      <w:pPr>
        <w:spacing w:before="0" w:after="0"/>
        <w:ind w:left="120"/>
        <w:jc w:val="center"/>
      </w:pPr>
      <w:r>
        <w:rPr>
          <w:rFonts w:ascii="Times New Roman" w:hAnsi="Times New Roman"/>
          <w:b w:val="false"/>
          <w:i w:val="false"/>
          <w:color w:val="000000"/>
          <w:sz w:val="21"/>
        </w:rPr>
        <w:t>[Filed 12/4/03, Notice 9/17/03—published 12/24/03, effective 1/28/04]</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4/22/05, Notice 2/2/05—published 5/11/05, effective 6/15/05]</w:t>
      </w:r>
    </w:p>
    <w:p>
      <w:pPr>
        <w:spacing w:before="0" w:after="0"/>
        <w:ind w:left="120"/>
        <w:jc w:val="center"/>
      </w:pPr>
      <w:r>
        <w:rPr>
          <w:rFonts w:ascii="Times New Roman" w:hAnsi="Times New Roman"/>
          <w:b w:val="false"/>
          <w:i w:val="false"/>
          <w:color w:val="000000"/>
          <w:sz w:val="21"/>
        </w:rPr>
        <w:t>[Filed 1/27/06, Notice 9/28/05—published 2/15/06, effective 3/22/06]</w:t>
      </w:r>
    </w:p>
    <w:p>
      <w:pPr>
        <w:spacing w:before="0" w:after="0"/>
        <w:ind w:left="120"/>
        <w:jc w:val="center"/>
      </w:pPr>
      <w:r>
        <w:rPr>
          <w:rFonts w:ascii="Times New Roman" w:hAnsi="Times New Roman"/>
          <w:b w:val="false"/>
          <w:i w:val="false"/>
          <w:color w:val="000000"/>
          <w:sz w:val="22"/>
        </w:rPr>
        <w:t>[Nullified language editorially removed 5/24/06]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4/23/07 after Notice 2/28/07—published 5/23/07, effective 4/23/07]</w:t>
      </w:r>
    </w:p>
    <w:p>
      <w:pPr>
        <w:spacing w:before="0" w:after="0"/>
        <w:ind w:left="120"/>
        <w:jc w:val="center"/>
      </w:pPr>
      <w:r>
        <w:rPr>
          <w:rFonts w:ascii="Times New Roman" w:hAnsi="Times New Roman"/>
          <w:b w:val="false"/>
          <w:i w:val="false"/>
          <w:color w:val="000000"/>
          <w:sz w:val="21"/>
        </w:rPr>
        <w:t>[Filed ARC 7767B</w:t>
      </w:r>
      <w:r>
        <w:rPr>
          <w:rFonts w:ascii="Times New Roman" w:hAnsi="Times New Roman"/>
          <w:b w:val="false"/>
          <w:i w:val="false"/>
          <w:color w:val="000000"/>
          <w:sz w:val="21"/>
        </w:rPr>
        <w:t xml:space="preserve"> (Notice ARC 7555B, IAB 2/11/09)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0629C</w:t>
      </w:r>
      <w:r>
        <w:rPr>
          <w:rFonts w:ascii="Times New Roman" w:hAnsi="Times New Roman"/>
          <w:b w:val="false"/>
          <w:i w:val="false"/>
          <w:color w:val="000000"/>
          <w:sz w:val="21"/>
        </w:rPr>
        <w:t xml:space="preserve"> (Notice ARC 0471C, IAB 11/28/12)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2141C</w:t>
      </w:r>
      <w:r>
        <w:rPr>
          <w:rFonts w:ascii="Times New Roman" w:hAnsi="Times New Roman"/>
          <w:b w:val="false"/>
          <w:i w:val="false"/>
          <w:color w:val="000000"/>
          <w:sz w:val="21"/>
        </w:rPr>
        <w:t xml:space="preserve"> (Notice ARC 2043C,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2592C</w:t>
      </w:r>
      <w:r>
        <w:rPr>
          <w:rFonts w:ascii="Times New Roman" w:hAnsi="Times New Roman"/>
          <w:b w:val="false"/>
          <w:i w:val="false"/>
          <w:color w:val="000000"/>
          <w:sz w:val="21"/>
        </w:rPr>
        <w:t xml:space="preserve"> (Notice ARC 2432C, IAB 3/2/16)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3487C</w:t>
      </w:r>
      <w:r>
        <w:rPr>
          <w:rFonts w:ascii="Times New Roman" w:hAnsi="Times New Roman"/>
          <w:b w:val="false"/>
          <w:i w:val="false"/>
          <w:color w:val="000000"/>
          <w:sz w:val="21"/>
        </w:rPr>
        <w:t xml:space="preserve"> (Notice ARC 3253C, IAB 8/16/17)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3987C</w:t>
      </w:r>
      <w:r>
        <w:rPr>
          <w:rFonts w:ascii="Times New Roman" w:hAnsi="Times New Roman"/>
          <w:b w:val="false"/>
          <w:i w:val="false"/>
          <w:color w:val="000000"/>
          <w:sz w:val="21"/>
        </w:rPr>
        <w:t xml:space="preserve"> (Notice ARC 3849C, IAB 6/20/18)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4676C</w:t>
      </w:r>
      <w:r>
        <w:rPr>
          <w:rFonts w:ascii="Times New Roman" w:hAnsi="Times New Roman"/>
          <w:b w:val="false"/>
          <w:i w:val="false"/>
          <w:color w:val="000000"/>
          <w:sz w:val="21"/>
        </w:rPr>
        <w:t xml:space="preserve"> (Notice ARC 4424C, IAB 5/8/19)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4846C</w:t>
      </w:r>
      <w:r>
        <w:rPr>
          <w:rFonts w:ascii="Times New Roman" w:hAnsi="Times New Roman"/>
          <w:b w:val="false"/>
          <w:i w:val="false"/>
          <w:color w:val="000000"/>
          <w:sz w:val="21"/>
        </w:rPr>
        <w:t xml:space="preserve"> (Notice ARC 4661C, IAB 9/25/19)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6733C</w:t>
      </w:r>
      <w:r>
        <w:rPr>
          <w:rFonts w:ascii="Times New Roman" w:hAnsi="Times New Roman"/>
          <w:b w:val="false"/>
          <w:i w:val="false"/>
          <w:color w:val="000000"/>
          <w:sz w:val="21"/>
        </w:rPr>
        <w:t xml:space="preserve"> (Notice ARC 6515C, IAB 9/7/22)</w:t>
      </w:r>
      <w:r>
        <w:rPr>
          <w:rFonts w:ascii="Times New Roman" w:hAnsi="Times New Roman"/>
          <w:b w:val="false"/>
          <w:i w:val="false"/>
          <w:color w:val="000000"/>
          <w:sz w:val="21"/>
        </w:rPr>
        <w:t>, IAB 12/14/22, effective 1/18/23]</w:t>
      </w:r>
    </w:p>
    <w:p>
      <w:pPr>
        <w:pBdr>
          <w:bottom w:space="2"/>
        </w:pBdr>
        <w:spacing w:before="0" w:after="0"/>
        <w:ind w:left="120"/>
        <w:jc w:val="both"/>
      </w:pPr>
      <w:r>
        <w:rPr>
          <w:rFonts w:ascii="Times New Roman" w:hAnsi="Times New Roman"/>
          <w:b w:val="false"/>
          <w:i w:val="false"/>
          <w:color w:val="000000"/>
          <w:sz w:val="22"/>
        </w:rPr>
        <w:t>Effective date of 10.3(1) delayed until the end of the 2000 Session of the General Assembly by the Administrative Rules Review Committee at its meeting held September 15, 1999.</w:t>
      </w:r>
    </w:p>
    <w:p>
      <w:pPr>
        <w:pBdr>
          <w:bottom w:space="2"/>
        </w:pBdr>
        <w:spacing w:before="0" w:after="0"/>
        <w:ind w:left="120"/>
        <w:jc w:val="both"/>
      </w:pPr>
      <w:r>
        <w:rPr>
          <w:rFonts w:ascii="Times New Roman" w:hAnsi="Times New Roman"/>
          <w:b w:val="false"/>
          <w:i w:val="false"/>
          <w:color w:val="000000"/>
          <w:sz w:val="22"/>
        </w:rPr>
        <w:t>See HJR 2006 of 2006 Session of the Eighty-first General Assembly regarding nullification of subrule 10.6(4).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15.pdf" Type="http://schemas.openxmlformats.org/officeDocument/2006/relationships/hyperlink" Id="rId5"/>
    <Relationship TargetMode="External" Target="https://www.legis.iowa.gov/docs/iac/chapter/650.20.pdf" Type="http://schemas.openxmlformats.org/officeDocument/2006/relationships/hyperlink" Id="rId6"/>
    <Relationship TargetMode="External" Target="https://www.legis.iowa.gov/docs/ico/chapter/147.2.pdf" Type="http://schemas.openxmlformats.org/officeDocument/2006/relationships/hyperlink" Id="rId7"/>
    <Relationship TargetMode="External" Target="https://www.legis.iowa.gov/docs/ico/chapter/153.17.pdf" Type="http://schemas.openxmlformats.org/officeDocument/2006/relationships/hyperlink" Id="rId8"/>
    <Relationship TargetMode="External" Target="https://www.legis.iowa.gov/docs/ico/chapter/147.7.pdf" Type="http://schemas.openxmlformats.org/officeDocument/2006/relationships/hyperlink" Id="rId9"/>
    <Relationship TargetMode="External" Target="https://www.legis.iowa.gov/docs/ico/chapter/147.10.pdf" Type="http://schemas.openxmlformats.org/officeDocument/2006/relationships/hyperlink" Id="rId10"/>
    <Relationship TargetMode="External" Target="https://www.legis.iowa.gov/docs/ico/chapter/147.80.pdf" Type="http://schemas.openxmlformats.org/officeDocument/2006/relationships/hyperlink" Id="rId11"/>
    <Relationship TargetMode="External" Target="https://www.legis.iowa.gov/docs/ico/chapter/153.15.pdf" Type="http://schemas.openxmlformats.org/officeDocument/2006/relationships/hyperlink" Id="rId12"/>
    <Relationship TargetMode="External" Target="https://www.legis.iowa.gov/docs/ico/chapter/153.pdf" Type="http://schemas.openxmlformats.org/officeDocument/2006/relationships/hyperlink" Id="rId13"/>
    <Relationship TargetMode="External" Target="https://www.legis.iowa.gov/docs/iac/rule/650.29.6.pdf" Type="http://schemas.openxmlformats.org/officeDocument/2006/relationships/hyperlink" Id="rId14"/>
    <Relationship TargetMode="External" Target="https://www.legis.iowa.gov/docs/iac/rule/650.29.6.pdf" Type="http://schemas.openxmlformats.org/officeDocument/2006/relationships/hyperlink" Id="rId15"/>
    <Relationship TargetMode="External" Target="https://www.legis.iowa.gov/docs/iac/rule/650.29.6.pdf" Type="http://schemas.openxmlformats.org/officeDocument/2006/relationships/hyperlink" Id="rId16"/>
    <Relationship TargetMode="External" Target="https://www.legis.iowa.gov/docs/iac/rule/650.23.6.pdf" Type="http://schemas.openxmlformats.org/officeDocument/2006/relationships/hyperlink" Id="rId17"/>
    <Relationship TargetMode="External" Target="https://www.legis.iowa.gov/docs/iac/chapter/650.23.pdf" Type="http://schemas.openxmlformats.org/officeDocument/2006/relationships/hyperlink" Id="rId18"/>
    <Relationship TargetMode="External" Target="https://www.legis.iowa.gov/docs/iac/rule/650.1.1.pdf" Type="http://schemas.openxmlformats.org/officeDocument/2006/relationships/hyperlink" Id="rId19"/>
    <Relationship TargetMode="External" Target="https://www.legis.iowa.gov/docs/iac/rule/650.10.5.pdf" Type="http://schemas.openxmlformats.org/officeDocument/2006/relationships/hyperlink" Id="rId20"/>
    <Relationship TargetMode="External" Target="https://www.legis.iowa.gov/docs/ico/chapter/153.15.pdf" Type="http://schemas.openxmlformats.org/officeDocument/2006/relationships/hyperlink" Id="rId21"/>
    <Relationship TargetMode="External" Target="https://www.legis.iowa.gov/docs/ico/chapter/153.15.pdf" Type="http://schemas.openxmlformats.org/officeDocument/2006/relationships/hyperlink" Id="rId22"/>
    <Relationship TargetMode="External" Target="https://www.legis.iowa.gov/docs/iac/rule/650.10.3.pdf" Type="http://schemas.openxmlformats.org/officeDocument/2006/relationships/hyperlink" Id="rId23"/>
    <Relationship TargetMode="External" Target="https://www.legis.iowa.gov/docs/ico/chapter/153.15.pdf" Type="http://schemas.openxmlformats.org/officeDocument/2006/relationships/hyperlink" Id="rId24"/>
    <Relationship TargetMode="External" Target="https://www.legis.iowa.gov/docs/ico/chapter/147.10.pdf" Type="http://schemas.openxmlformats.org/officeDocument/2006/relationships/hyperlink" Id="rId25"/>
    <Relationship TargetMode="External" Target="https://www.legis.iowa.gov/docs/ico/chapter/147.57.pdf" Type="http://schemas.openxmlformats.org/officeDocument/2006/relationships/hyperlink" Id="rId26"/>
    <Relationship TargetMode="External" Target="https://www.legis.iowa.gov/docs/ico/chapter/153.15.pdf" Type="http://schemas.openxmlformats.org/officeDocument/2006/relationships/hyperlink" Id="rId27"/>
    <Relationship TargetMode="External" Target="https://www.legis.iowa.gov/docs/ico/chapter/256I.pdf" Type="http://schemas.openxmlformats.org/officeDocument/2006/relationships/hyperlink" Id="rId28"/>
    <Relationship TargetMode="External" Target="https://www.legis.iowa.gov/docs/iac/rule/650.10.5.pdf" Type="http://schemas.openxmlformats.org/officeDocument/2006/relationships/hyperlink" Id="rId29"/>
    <Relationship TargetMode="External" Target="https://www.legis.iowa.gov/docs/iac/rule/650.10.3.pdf" Type="http://schemas.openxmlformats.org/officeDocument/2006/relationships/hyperlink" Id="rId30"/>
    <Relationship TargetMode="External" Target="https://www.legis.iowa.gov/docs/ico/chapter/153.15.pdf" Type="http://schemas.openxmlformats.org/officeDocument/2006/relationships/hyperlink" Id="rId31"/>
    <Relationship TargetMode="External" Target="https://www.legis.iowa.gov/docs/iac/rule/650.25.4.pdf" Type="http://schemas.openxmlformats.org/officeDocument/2006/relationships/hyperlink" Id="rId32"/>
    <Relationship TargetMode="External" Target="https://www.legis.iowa.gov/docs/ico/chapter/147.9.pdf" Type="http://schemas.openxmlformats.org/officeDocument/2006/relationships/hyperlink" Id="rId33"/>
    <Relationship TargetMode="External" Target="https://www.legis.iowa.gov/docs/ico/chapter/232.69.pdf" Type="http://schemas.openxmlformats.org/officeDocument/2006/relationships/hyperlink" Id="rId34"/>
    <Relationship TargetMode="External" Target="https://www.legis.iowa.gov/docs/ico/chapter/235B.16.pdf" Type="http://schemas.openxmlformats.org/officeDocument/2006/relationships/hyperlink" Id="rId35"/>
    <Relationship TargetMode="External" Target="https://www.legis.iowa.gov/docs/ico/chapter/272C.9.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