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DISCIPLINE FOR BARBERS, BARBER INSTRUCTORS,</w:t>
      </w:r>
      <w:r>
        <w:br/>
      </w:r>
      <w:r>
        <w:rPr>
          <w:rFonts w:ascii="Times New Roman" w:hAnsi="Times New Roman"/>
          <w:b w:val="false"/>
          <w:i w:val="false"/>
          <w:color w:val="000000"/>
          <w:sz w:val="21"/>
        </w:rPr>
        <w:t>BARBERSHOPS AND BARBER SCHOOLS</w:t>
      </w:r>
    </w:p>
    <w:p>
      <w:pPr>
        <w:spacing w:before="0" w:after="0"/>
        <w:ind w:left="120"/>
        <w:jc w:val="center"/>
      </w:pPr>
      <w:r>
        <w:rPr>
          <w:rFonts w:ascii="Times New Roman" w:hAnsi="Times New Roman"/>
          <w:b w:val="false"/>
          <w:i w:val="false"/>
          <w:color w:val="000000"/>
          <w:sz w:val="14"/>
        </w:rPr>
        <w:t>[Prior to 2/20/02, see 645—Chapter 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645—25.1</w:t>
      </w:r>
      <w:r>
        <w:rPr>
          <w:rFonts w:ascii="Times New Roman" w:hAnsi="Times New Roman"/>
          <w:b/>
          <w:i w:val="false"/>
          <w:color w:val="000000"/>
          <w:sz w:val="22"/>
        </w:rPr>
        <w:t xml:space="preserve">(158)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barbering.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means any sanction the board may impose upon licensees, barbershops or barber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means the granting of a license to practice as a barber or barber instructor or to operate a barbershop or barber school in Iowa.</w:t>
      </w:r>
    </w:p>
    <w:p>
      <w:pPr>
        <w:spacing w:before="0" w:after="0"/>
        <w:ind w:left="120"/>
        <w:jc w:val="both"/>
      </w:pPr>
      <w:r>
        <w:rPr>
          <w:rFonts w:ascii="Times New Roman" w:hAnsi="Times New Roman"/>
          <w:b/>
          <w:i w:val="false"/>
          <w:color w:val="000000"/>
          <w:sz w:val="22"/>
        </w:rPr>
        <w:t>645—25.2</w:t>
      </w:r>
      <w:r>
        <w:rPr>
          <w:rFonts w:ascii="Times New Roman" w:hAnsi="Times New Roman"/>
          <w:b/>
          <w:i w:val="false"/>
          <w:color w:val="000000"/>
          <w:sz w:val="22"/>
        </w:rPr>
        <w:t xml:space="preserve">(272C)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w:t>
      </w:r>
      <w:hyperlink r:id="rId5">
        <w:r>
          <w:rPr>
            <w:rStyle w:val="Hyperlink"/>
            <w:rFonts w:ascii="Times New Roman" w:hAnsi="Times New Roman"/>
            <w:b w:val="false"/>
            <w:i w:val="false"/>
            <w:color w:val="000000"/>
            <w:sz w:val="22"/>
          </w:rPr>
          <w:t>rule 645—25.3(152A,272C)</w:t>
        </w:r>
      </w:hyperlink>
      <w:r>
        <w:rPr>
          <w:rFonts w:ascii="Times New Roman" w:hAnsi="Times New Roman"/>
          <w:b w:val="false"/>
          <w:i w:val="false"/>
          <w:color w:val="000000"/>
          <w:sz w:val="22"/>
        </w:rPr>
        <w:t xml:space="preserve"> when the board determines that any of the following acts or offenses have been committed: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w:t>
      </w:r>
      <w:r>
        <w:rPr>
          <w:rFonts w:ascii="Times New Roman" w:hAnsi="Times New Roman"/>
          <w:b w:val="false"/>
          <w:i w:val="false"/>
          <w:color w:val="000000"/>
          <w:sz w:val="22"/>
        </w:rPr>
        <w:t> </w:t>
      </w:r>
      <w:r>
        <w:rPr>
          <w:rFonts w:ascii="Times New Roman" w:hAnsi="Times New Roman"/>
          <w:b w:val="false"/>
          <w:i w:val="false"/>
          <w:color w:val="000000"/>
          <w:sz w:val="22"/>
        </w:rPr>
        <w:t>Fraud in procuring a license. Fraud in procuring a license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intentional perversion of the truth in making application for a license to practice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False representation of a material fact, whether by word or by conduct, by false or misleading allegations, or by concealment of that which should have been disclosed when making application for a license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board or the department of public health any false or forged diploma or certificate or affidavit or identification or qualification in making an application for a license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barbers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which is ordinarily exercised by a barber acting in the same or similar circumstances;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 of acceptable and prevailing practice of licensed barbers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w:t>
      </w:r>
      <w:r>
        <w:rPr>
          <w:rFonts w:ascii="Times New Roman" w:hAnsi="Times New Roman"/>
          <w:b w:val="false"/>
          <w:i w:val="false"/>
          <w:color w:val="000000"/>
          <w:sz w:val="22"/>
        </w:rPr>
        <w:t> </w:t>
      </w:r>
      <w:r>
        <w:rPr>
          <w:rFonts w:ascii="Times New Roman" w:hAnsi="Times New Roman"/>
          <w:b w:val="false"/>
          <w:i w:val="false"/>
          <w:color w:val="000000"/>
          <w:sz w:val="22"/>
        </w:rPr>
        <w:t>Practice outside the scope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Use of untruthful or improbable statements in advertisements includes, but is not limited to, acts which constitute making false, deceptive, misleading or fraudulent representations in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25.2(6)</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the use of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inability of a licensee to practice with reasonable skill and safety by reason of the excessive use of alcohol on a continuing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excessive use of drugs which may impair a licensee’s ability to practice with reasonable skill or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25.2(7)</w:t>
      </w:r>
      <w:r>
        <w:rPr>
          <w:rFonts w:ascii="Times New Roman" w:hAnsi="Times New Roman"/>
          <w:b w:val="false"/>
          <w:i w:val="false"/>
          <w:color w:val="000000"/>
          <w:sz w:val="22"/>
        </w:rPr>
        <w:t>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25.2(8)</w:t>
      </w:r>
      <w:r>
        <w:rPr>
          <w:rFonts w:ascii="Times New Roman" w:hAnsi="Times New Roman"/>
          <w:b w:val="false"/>
          <w:i w:val="false"/>
          <w:color w:val="000000"/>
          <w:sz w:val="22"/>
        </w:rPr>
        <w:t> </w:t>
      </w:r>
      <w:r>
        <w:rPr>
          <w:rFonts w:ascii="Times New Roman" w:hAnsi="Times New Roman"/>
          <w:b w:val="false"/>
          <w:i w:val="false"/>
          <w:color w:val="000000"/>
          <w:sz w:val="22"/>
        </w:rPr>
        <w:t>Falsification of client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25.2(9)</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25.2(10)</w:t>
      </w:r>
      <w:r>
        <w:rPr>
          <w:rFonts w:ascii="Times New Roman" w:hAnsi="Times New Roman"/>
          <w:b w:val="false"/>
          <w:i w:val="false"/>
          <w:color w:val="000000"/>
          <w:sz w:val="22"/>
        </w:rPr>
        <w:t> </w:t>
      </w:r>
      <w:r>
        <w:rPr>
          <w:rFonts w:ascii="Times New Roman" w:hAnsi="Times New Roman"/>
          <w:b w:val="false"/>
          <w:i w:val="false"/>
          <w:color w:val="000000"/>
          <w:sz w:val="22"/>
        </w:rPr>
        <w:t>Negligence in the practice of the profession. Negligence in the practice of the profession includes a failure to exercise due care, including negligent delegation of duties or supervision of employees or other individuals, whether or not injury results; or any conduct, practice or conditions which impair the licensee’s ability to safely and skillfully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25.2(11)</w:t>
      </w:r>
      <w:r>
        <w:rPr>
          <w:rFonts w:ascii="Times New Roman" w:hAnsi="Times New Roman"/>
          <w:b w:val="false"/>
          <w:i w:val="false"/>
          <w:color w:val="000000"/>
          <w:sz w:val="22"/>
        </w:rPr>
        <w:t> </w:t>
      </w:r>
      <w:r>
        <w:rPr>
          <w:rFonts w:ascii="Times New Roman" w:hAnsi="Times New Roman"/>
          <w:b w:val="false"/>
          <w:i w:val="false"/>
          <w:color w:val="000000"/>
          <w:sz w:val="22"/>
        </w:rPr>
        <w:t>Being convicted of an offense that directly relates to the duties and responsibilities of the profession. A conviction includes a guilty plea, including Alford and nolo contendere pleas, or a finding or verdict of guilt, even if the adjudication of guilt is deferred, withheld, or not entered. A copy of the guilty plea or order of conviction constitutes conclusive evidence of conviction. An offense directly relates to the duties and responsibilities of the profession if the actions taken in furtherance of the offense are actions customarily performed within the scope of practice of the profession or the circumstances under which the offense was committed are circumstances customary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25.2(12)</w:t>
      </w:r>
      <w:r>
        <w:rPr>
          <w:rFonts w:ascii="Times New Roman" w:hAnsi="Times New Roman"/>
          <w:b w:val="false"/>
          <w:i w:val="false"/>
          <w:color w:val="000000"/>
          <w:sz w:val="22"/>
        </w:rPr>
        <w:t> </w:t>
      </w:r>
      <w:r>
        <w:rPr>
          <w:rFonts w:ascii="Times New Roman" w:hAnsi="Times New Roman"/>
          <w:b w:val="false"/>
          <w:i w:val="false"/>
          <w:color w:val="000000"/>
          <w:sz w:val="22"/>
        </w:rPr>
        <w:t>Violation of a regulation, rule, or law of this state, another state, or the United States, which relates to the practice of barbering.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25.2(13)</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the professional licensing authority of this state or another state, territory, or country; or failure to report such action within 30 days of the final action by such licensing authority. A stay by an appellate court shall not negate this requirement; however, if such disciplinary action is overturned or reversed by a court of last resort, such report shall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25.2(14)</w:t>
      </w:r>
      <w:r>
        <w:rPr>
          <w:rFonts w:ascii="Times New Roman" w:hAnsi="Times New Roman"/>
          <w:b w:val="false"/>
          <w:i w:val="false"/>
          <w:color w:val="000000"/>
          <w:sz w:val="22"/>
        </w:rPr>
        <w:t> </w:t>
      </w:r>
      <w:r>
        <w:rPr>
          <w:rFonts w:ascii="Times New Roman" w:hAnsi="Times New Roman"/>
          <w:b w:val="false"/>
          <w:i w:val="false"/>
          <w:color w:val="000000"/>
          <w:sz w:val="22"/>
        </w:rPr>
        <w:t>Failure of a licensee or an applicant for licensure in this state to report any voluntary agreements restricting the individual’s practice in another state, district,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25.2(15)</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of a criminal conviction within 30 days of the action,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25.2(16)</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within 30 days after occurrence of any judgment or settlement of a malpractice claim or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25.2(17)</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board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25.2(18)</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30 days to a communication of the board which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25.2(19)</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board or failure to cooperate with an investigation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25.2(20)</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board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25.2(21)</w:t>
      </w:r>
      <w:r>
        <w:rPr>
          <w:rFonts w:ascii="Times New Roman" w:hAnsi="Times New Roman"/>
          <w:b w:val="false"/>
          <w:i w:val="false"/>
          <w:color w:val="000000"/>
          <w:sz w:val="22"/>
        </w:rPr>
        <w:t> </w:t>
      </w:r>
      <w:r>
        <w:rPr>
          <w:rFonts w:ascii="Times New Roman" w:hAnsi="Times New Roman"/>
          <w:b w:val="false"/>
          <w:i w:val="false"/>
          <w:color w:val="000000"/>
          <w:sz w:val="22"/>
        </w:rPr>
        <w:t>Failure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25.2(22)</w:t>
      </w:r>
      <w:r>
        <w:rPr>
          <w:rFonts w:ascii="Times New Roman" w:hAnsi="Times New Roman"/>
          <w:b w:val="false"/>
          <w:i w:val="false"/>
          <w:color w:val="000000"/>
          <w:sz w:val="22"/>
        </w:rPr>
        <w:t> </w:t>
      </w:r>
      <w:r>
        <w:rPr>
          <w:rFonts w:ascii="Times New Roman" w:hAnsi="Times New Roman"/>
          <w:b w:val="false"/>
          <w:i w:val="false"/>
          <w:color w:val="000000"/>
          <w:sz w:val="22"/>
        </w:rPr>
        <w:t>Submission of a false report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another licensee to the board for any violations listed in these rules, pursuant to Iowa Code section </w:t>
      </w:r>
      <w:hyperlink r:id="rId6">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25.2(24)</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as a barber.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25.2(25)</w:t>
      </w:r>
      <w:r>
        <w:rPr>
          <w:rFonts w:ascii="Times New Roman" w:hAnsi="Times New Roman"/>
          <w:b w:val="false"/>
          <w:i w:val="false"/>
          <w:color w:val="000000"/>
          <w:sz w:val="22"/>
        </w:rPr>
        <w:t> </w:t>
      </w:r>
      <w:r>
        <w:rPr>
          <w:rFonts w:ascii="Times New Roman" w:hAnsi="Times New Roman"/>
          <w:b w:val="false"/>
          <w:i w:val="false"/>
          <w:color w:val="000000"/>
          <w:sz w:val="22"/>
        </w:rPr>
        <w:t>Failure to report a change of name or address within 30 days after it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25.2(26)</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licensed barber or barber instructor when the person’s license has been suspended or revoked, or when the person’s license is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25.2(27)</w:t>
      </w:r>
      <w:r>
        <w:rPr>
          <w:rFonts w:ascii="Times New Roman" w:hAnsi="Times New Roman"/>
          <w:b w:val="false"/>
          <w:i w:val="false"/>
          <w:color w:val="000000"/>
          <w:sz w:val="22"/>
        </w:rPr>
        <w:t> </w:t>
      </w:r>
      <w:r>
        <w:rPr>
          <w:rFonts w:ascii="Times New Roman" w:hAnsi="Times New Roman"/>
          <w:b w:val="false"/>
          <w:i w:val="false"/>
          <w:color w:val="000000"/>
          <w:sz w:val="22"/>
        </w:rPr>
        <w:t>Representing a barbershop or barber school as being licensed when the license has been suspended or revoked, or when the license is inactive.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25.2(28)</w:t>
      </w:r>
      <w:r>
        <w:rPr>
          <w:rFonts w:ascii="Times New Roman" w:hAnsi="Times New Roman"/>
          <w:b w:val="false"/>
          <w:i w:val="false"/>
          <w:color w:val="000000"/>
          <w:sz w:val="22"/>
        </w:rPr>
        <w:t> </w:t>
      </w:r>
      <w:r>
        <w:rPr>
          <w:rFonts w:ascii="Times New Roman" w:hAnsi="Times New Roman"/>
          <w:b w:val="false"/>
          <w:i w:val="false"/>
          <w:color w:val="000000"/>
          <w:sz w:val="22"/>
        </w:rPr>
        <w:t>Permitting another person to use one’s barber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25.2(29)</w:t>
      </w:r>
      <w:r>
        <w:rPr>
          <w:rFonts w:ascii="Times New Roman" w:hAnsi="Times New Roman"/>
          <w:b w:val="false"/>
          <w:i w:val="false"/>
          <w:color w:val="000000"/>
          <w:sz w:val="22"/>
        </w:rPr>
        <w:t> </w:t>
      </w:r>
      <w:r>
        <w:rPr>
          <w:rFonts w:ascii="Times New Roman" w:hAnsi="Times New Roman"/>
          <w:b w:val="false"/>
          <w:i w:val="false"/>
          <w:color w:val="000000"/>
          <w:sz w:val="22"/>
        </w:rPr>
        <w:t>Permitting an unlicensed employee or person under the licensee’s or the entity’s control to perform activities that require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25.2(30)</w:t>
      </w:r>
      <w:r>
        <w:rPr>
          <w:rFonts w:ascii="Times New Roman" w:hAnsi="Times New Roman"/>
          <w:b w:val="false"/>
          <w:i w:val="false"/>
          <w:color w:val="000000"/>
          <w:sz w:val="22"/>
        </w:rPr>
        <w:t> </w:t>
      </w:r>
      <w:r>
        <w:rPr>
          <w:rFonts w:ascii="Times New Roman" w:hAnsi="Times New Roman"/>
          <w:b w:val="false"/>
          <w:i w:val="false"/>
          <w:color w:val="000000"/>
          <w:sz w:val="22"/>
        </w:rPr>
        <w:t>Permitting a licensed person under the licensee’s or the entity’s control to practice outside the scope of the person’s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25.2(31)</w:t>
      </w:r>
      <w:r>
        <w:rPr>
          <w:rFonts w:ascii="Times New Roman" w:hAnsi="Times New Roman"/>
          <w:b w:val="false"/>
          <w:i w:val="false"/>
          <w:color w:val="000000"/>
          <w:sz w:val="22"/>
        </w:rPr>
        <w:t> </w:t>
      </w:r>
      <w:r>
        <w:rPr>
          <w:rFonts w:ascii="Times New Roman" w:hAnsi="Times New Roman"/>
          <w:b w:val="false"/>
          <w:i w:val="false"/>
          <w:color w:val="000000"/>
          <w:sz w:val="22"/>
        </w:rPr>
        <w:t xml:space="preserve">Unethical conduct. In accordance with Iowa Code section </w:t>
      </w:r>
      <w:hyperlink r:id="rId7">
        <w:r>
          <w:rPr>
            <w:rStyle w:val="Hyperlink"/>
            <w:rFonts w:ascii="Times New Roman" w:hAnsi="Times New Roman"/>
            <w:b w:val="false"/>
            <w:i w:val="false"/>
            <w:color w:val="000000"/>
            <w:sz w:val="22"/>
          </w:rPr>
          <w:t>147.55(3)</w:t>
        </w:r>
      </w:hyperlink>
      <w:r>
        <w:rPr>
          <w:rFonts w:ascii="Times New Roman" w:hAnsi="Times New Roman"/>
          <w:b w:val="false"/>
          <w:i w:val="false"/>
          <w:color w:val="000000"/>
          <w:sz w:val="22"/>
        </w:rPr>
        <w:t>, behavior (i.e., acts, knowledge, and practices) which constitutes unethical conduct may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Verbally or physically abusing a client or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Improper sexual contact with or making suggestive, lewd, lascivious or improper remarks or advances to a client or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Betrayal of a professional confidence.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Mental or physical inability reasonably related to and adversely affecting the licensee’s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25.2(32)</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standard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25.2(33)</w:t>
      </w:r>
      <w:r>
        <w:rPr>
          <w:rFonts w:ascii="Times New Roman" w:hAnsi="Times New Roman"/>
          <w:b w:val="false"/>
          <w:i w:val="false"/>
          <w:color w:val="000000"/>
          <w:sz w:val="22"/>
        </w:rPr>
        <w:t> </w:t>
      </w:r>
      <w:r>
        <w:rPr>
          <w:rFonts w:ascii="Times New Roman" w:hAnsi="Times New Roman"/>
          <w:b w:val="false"/>
          <w:i w:val="false"/>
          <w:color w:val="000000"/>
          <w:sz w:val="22"/>
        </w:rPr>
        <w:t>Violation of the terms of an initial agreement with the impaired practitioner review committee or violation of the terms of an impaired practitioner recovery contract with the impaired practitioner review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7578B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5754C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645—25.3</w:t>
      </w:r>
      <w:r>
        <w:rPr>
          <w:rFonts w:ascii="Times New Roman" w:hAnsi="Times New Roman"/>
          <w:b/>
          <w:i w:val="false"/>
          <w:color w:val="000000"/>
          <w:sz w:val="22"/>
        </w:rPr>
        <w:t xml:space="preserve">(158,272C) </w:t>
      </w:r>
      <w:r>
        <w:rPr>
          <w:rFonts w:ascii="Times New Roman" w:hAnsi="Times New Roman"/>
          <w:b/>
          <w:i w:val="false"/>
          <w:color w:val="000000"/>
          <w:sz w:val="22"/>
        </w:rPr>
        <w:t xml:space="preserve">Method of discipline. </w:t>
      </w:r>
      <w:r>
        <w:rPr>
          <w:rFonts w:ascii="Times New Roman" w:hAnsi="Times New Roman"/>
          <w:b w:val="false"/>
          <w:i w:val="false"/>
          <w:color w:val="000000"/>
          <w:sz w:val="22"/>
        </w:rPr>
        <w:t>The board has the authority to impose the following disciplinary sanctions: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Revocation of license.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Suspension of license until further order of the board or for a specific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Prohibit permanently, until further order of the board, or for a specific period the licensee’s engaging in specified procedures, methods, or acts.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Probation.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Require additional education or training.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Require a reexamination.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Order a physical or mental evaluation, or order alcohol and drug screening within a time specified by the board.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Impose civil penalties not to exceed $1000.</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Issue a citation and warning.</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Such other sanctions allowed by law as may be appropriate.</w:t>
      </w:r>
    </w:p>
    <w:p>
      <w:pPr>
        <w:spacing w:before="0" w:after="0"/>
        <w:ind w:left="120"/>
        <w:jc w:val="both"/>
      </w:pPr>
      <w:r>
        <w:rPr>
          <w:rFonts w:ascii="Times New Roman" w:hAnsi="Times New Roman"/>
          <w:b/>
          <w:i w:val="false"/>
          <w:color w:val="000000"/>
          <w:sz w:val="22"/>
        </w:rPr>
        <w:t>645—25.4</w:t>
      </w:r>
      <w:r>
        <w:rPr>
          <w:rFonts w:ascii="Times New Roman" w:hAnsi="Times New Roman"/>
          <w:b/>
          <w:i w:val="false"/>
          <w:color w:val="000000"/>
          <w:sz w:val="22"/>
        </w:rPr>
        <w:t xml:space="preserve">(272C) </w:t>
      </w:r>
      <w:r>
        <w:rPr>
          <w:rFonts w:ascii="Times New Roman" w:hAnsi="Times New Roman"/>
          <w:b/>
          <w:i w:val="false"/>
          <w:color w:val="000000"/>
          <w:sz w:val="22"/>
        </w:rPr>
        <w:t xml:space="preserve">Discretion of board. </w:t>
      </w:r>
      <w:r>
        <w:rPr>
          <w:rFonts w:ascii="Times New Roman" w:hAnsi="Times New Roman"/>
          <w:b w:val="false"/>
          <w:i w:val="false"/>
          <w:color w:val="000000"/>
          <w:sz w:val="22"/>
        </w:rPr>
        <w:t>The following factors may be considered by the board in determining the nature and severity of the disciplinary sanction to be imposed: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relative serious nature of the violation as it relates to ensuring a high standard of professional care for citizens of this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facts of the particular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extenuating facts or other countervailing considerations;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number of prior violations or complaints;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seriousness of prior violations or complaints;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remedial action has been taken;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Such other factors as may reflect upon the competency, ethical standards, and professional conduct of the licensee.</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2/1/02, Notice 11/28/01—published 2/20/02, effective 3/27/02]</w:t>
      </w:r>
    </w:p>
    <w:p>
      <w:pPr>
        <w:spacing w:before="0" w:after="0"/>
        <w:ind w:left="120"/>
        <w:jc w:val="center"/>
      </w:pPr>
      <w:r>
        <w:rPr>
          <w:rFonts w:ascii="Times New Roman" w:hAnsi="Times New Roman"/>
          <w:b w:val="false"/>
          <w:i w:val="false"/>
          <w:color w:val="000000"/>
          <w:sz w:val="21"/>
        </w:rPr>
        <w:t>[Filed 11/6/03, Notice 8/20/03—published 11/26/03, effective 12/31/03]</w:t>
      </w:r>
    </w:p>
    <w:p>
      <w:pPr>
        <w:spacing w:before="0" w:after="0"/>
        <w:ind w:left="120"/>
        <w:jc w:val="center"/>
      </w:pPr>
      <w:r>
        <w:rPr>
          <w:rFonts w:ascii="Times New Roman" w:hAnsi="Times New Roman"/>
          <w:b w:val="false"/>
          <w:i w:val="false"/>
          <w:color w:val="000000"/>
          <w:sz w:val="21"/>
        </w:rPr>
        <w:t>[Filed 7/26/05, Notice 5/25/05—published 8/17/05, effective 9/21/05]</w:t>
      </w:r>
    </w:p>
    <w:p>
      <w:pPr>
        <w:spacing w:before="0" w:after="0"/>
        <w:ind w:left="120"/>
        <w:jc w:val="center"/>
      </w:pPr>
      <w:r>
        <w:rPr>
          <w:rFonts w:ascii="Times New Roman" w:hAnsi="Times New Roman"/>
          <w:b w:val="false"/>
          <w:i w:val="false"/>
          <w:color w:val="000000"/>
          <w:sz w:val="21"/>
        </w:rPr>
        <w:t>[Filed 2/1/06, Notice 11/23/05—published 3/1/06, effective 4/5/06]</w:t>
      </w:r>
    </w:p>
    <w:p>
      <w:pPr>
        <w:spacing w:before="0" w:after="0"/>
        <w:ind w:left="120"/>
        <w:jc w:val="center"/>
      </w:pPr>
      <w:r>
        <w:rPr>
          <w:rFonts w:ascii="Times New Roman" w:hAnsi="Times New Roman"/>
          <w:b w:val="false"/>
          <w:i w:val="false"/>
          <w:color w:val="000000"/>
          <w:sz w:val="21"/>
        </w:rPr>
        <w:t>[Filed 4/25/06, Notice 3/1/06—published 5/24/06, effective 6/28/06]</w:t>
      </w:r>
    </w:p>
    <w:p>
      <w:pPr>
        <w:spacing w:before="0" w:after="0"/>
        <w:ind w:left="120"/>
        <w:jc w:val="center"/>
      </w:pPr>
      <w:r>
        <w:rPr>
          <w:rFonts w:ascii="Times New Roman" w:hAnsi="Times New Roman"/>
          <w:b w:val="false"/>
          <w:i w:val="false"/>
          <w:color w:val="000000"/>
          <w:sz w:val="21"/>
        </w:rPr>
        <w:t>[Filed 8/1/07, Notice 5/23/07—published 8/29/07, effective 10/3/07]</w:t>
      </w:r>
    </w:p>
    <w:p>
      <w:pPr>
        <w:spacing w:before="0" w:after="0"/>
        <w:ind w:left="120"/>
        <w:jc w:val="center"/>
      </w:pPr>
      <w:r>
        <w:rPr>
          <w:rFonts w:ascii="Times New Roman" w:hAnsi="Times New Roman"/>
          <w:b w:val="false"/>
          <w:i w:val="false"/>
          <w:color w:val="000000"/>
          <w:sz w:val="21"/>
        </w:rPr>
        <w:t>[Filed ARC 7578B</w:t>
      </w:r>
      <w:r>
        <w:rPr>
          <w:rFonts w:ascii="Times New Roman" w:hAnsi="Times New Roman"/>
          <w:b w:val="false"/>
          <w:i w:val="false"/>
          <w:color w:val="000000"/>
          <w:sz w:val="21"/>
        </w:rPr>
        <w:t xml:space="preserve"> (Notice ARC 7401B, IAB 12/3/08)</w:t>
      </w:r>
      <w:r>
        <w:rPr>
          <w:rFonts w:ascii="Times New Roman" w:hAnsi="Times New Roman"/>
          <w:b w:val="false"/>
          <w:i w:val="false"/>
          <w:color w:val="000000"/>
          <w:sz w:val="21"/>
        </w:rPr>
        <w:t>, IAB 2/25/09, effective 4/1/09]</w:t>
      </w:r>
    </w:p>
    <w:p>
      <w:pPr>
        <w:spacing w:before="0" w:after="0"/>
        <w:ind w:left="120"/>
        <w:jc w:val="center"/>
      </w:pPr>
      <w:r>
        <w:rPr>
          <w:rFonts w:ascii="Times New Roman" w:hAnsi="Times New Roman"/>
          <w:b w:val="false"/>
          <w:i w:val="false"/>
          <w:color w:val="000000"/>
          <w:sz w:val="21"/>
        </w:rPr>
        <w:t>[Filed ARC 5754C</w:t>
      </w:r>
      <w:r>
        <w:rPr>
          <w:rFonts w:ascii="Times New Roman" w:hAnsi="Times New Roman"/>
          <w:b w:val="false"/>
          <w:i w:val="false"/>
          <w:color w:val="000000"/>
          <w:sz w:val="21"/>
        </w:rPr>
        <w:t xml:space="preserve"> (Notice ARC 5450C, IAB 2/24/21)</w:t>
      </w:r>
      <w:r>
        <w:rPr>
          <w:rFonts w:ascii="Times New Roman" w:hAnsi="Times New Roman"/>
          <w:b w:val="false"/>
          <w:i w:val="false"/>
          <w:color w:val="000000"/>
          <w:sz w:val="21"/>
        </w:rPr>
        <w:t>, IAB 7/14/21, effective 8/18/21]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5.25.3.pdf" Type="http://schemas.openxmlformats.org/officeDocument/2006/relationships/hyperlink" Id="rId5"/>
    <Relationship TargetMode="External" Target="https://www.legis.iowa.gov/docs/ico/chapter/272C.9.pdf" Type="http://schemas.openxmlformats.org/officeDocument/2006/relationships/hyperlink" Id="rId6"/>
    <Relationship TargetMode="External" Target="https://www.legis.iowa.gov/docs/ico/chapter/147.55.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8.pdf" Type="http://schemas.openxmlformats.org/officeDocument/2006/relationships/hyperlink" Id="rId9"/>
    <Relationship TargetMode="External" Target="https://www.legis.iowa.gov/docs/ico/chapter/272C.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