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CONTINUING EDUCATION FOR BARBERS</w:t>
      </w:r>
    </w:p>
    <w:p>
      <w:pPr>
        <w:spacing w:before="0" w:after="0"/>
        <w:ind w:left="120"/>
        <w:jc w:val="center"/>
      </w:pPr>
      <w:r>
        <w:rPr>
          <w:rFonts w:ascii="Times New Roman" w:hAnsi="Times New Roman"/>
          <w:b w:val="false"/>
          <w:i w:val="false"/>
          <w:color w:val="000000"/>
          <w:sz w:val="14"/>
        </w:rPr>
        <w:t>[Prior to 2/20/02, see 645—Chapter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645—24.1</w:t>
      </w:r>
      <w:r>
        <w:rPr>
          <w:rFonts w:ascii="Times New Roman" w:hAnsi="Times New Roman"/>
          <w:b/>
          <w:i w:val="false"/>
          <w:color w:val="000000"/>
          <w:sz w:val="22"/>
        </w:rPr>
        <w:t xml:space="preserve">(158)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barbering.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barber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6898C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645—24.2</w:t>
      </w:r>
      <w:r>
        <w:rPr>
          <w:rFonts w:ascii="Times New Roman" w:hAnsi="Times New Roman"/>
          <w:b/>
          <w:i w:val="false"/>
          <w:color w:val="000000"/>
          <w:sz w:val="22"/>
        </w:rPr>
        <w:t xml:space="preserve">(158)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shall extend for a two-year period beginning on July 1 and ending on June 30 of each even-numbered year. Each biennium, each person who is licensed to practice as a barber in this state shall be required to complete a minimum of three hours of continuing education that meet the requirements of rule </w:t>
      </w:r>
      <w:hyperlink r:id="rId5">
        <w:r>
          <w:rPr>
            <w:rStyle w:val="Hyperlink"/>
            <w:rFonts w:ascii="Times New Roman" w:hAnsi="Times New Roman"/>
            <w:b w:val="false"/>
            <w:i w:val="false"/>
            <w:color w:val="000000"/>
            <w:sz w:val="22"/>
          </w:rPr>
          <w:t>645—24.3</w:t>
        </w:r>
      </w:hyperlink>
      <w:r>
        <w:rPr>
          <w:rFonts w:ascii="Times New Roman" w:hAnsi="Times New Roman"/>
          <w:b w:val="false"/>
          <w:i w:val="false"/>
          <w:color w:val="000000"/>
          <w:sz w:val="22"/>
        </w:rPr>
        <w:t>(158,272C). A minimum of one hour of the three hours shall be in the content areas of Iowa barbering laws and administrative rules and sanitation. A licensee who is a barber instructor shall obtain four hours in teaching methodology in addition to meeting all continuing education requirements for renewal of the barber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three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i w:val="false"/>
          <w:color w:val="000000"/>
          <w:sz w:val="16"/>
        </w:rPr>
        <w:t>ARC 2722C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645—24.3</w:t>
      </w:r>
      <w:r>
        <w:rPr>
          <w:rFonts w:ascii="Times New Roman" w:hAnsi="Times New Roman"/>
          <w:b/>
          <w:i w:val="false"/>
          <w:color w:val="000000"/>
          <w:sz w:val="22"/>
        </w:rPr>
        <w:t xml:space="preserve">(158,272C)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which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which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which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may be obtained by attending programs that meet the criteria in </w:t>
      </w:r>
      <w:hyperlink r:id="rId6">
        <w:r>
          <w:rPr>
            <w:rStyle w:val="Hyperlink"/>
            <w:rFonts w:ascii="Times New Roman" w:hAnsi="Times New Roman"/>
            <w:b w:val="false"/>
            <w:i w:val="false"/>
            <w:color w:val="000000"/>
            <w:sz w:val="22"/>
          </w:rPr>
          <w:t>24.3(1)</w:t>
        </w:r>
      </w:hyperlink>
      <w:r>
        <w:rPr>
          <w:rFonts w:ascii="Times New Roman" w:hAnsi="Times New Roman"/>
          <w:b w:val="false"/>
          <w:i w:val="false"/>
          <w:color w:val="000000"/>
          <w:sz w:val="22"/>
        </w:rPr>
        <w:t xml:space="preserve"> approved or offered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barber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Barber schools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offered for cosmetology continuing education credit will be accepted for barber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Beginning August 1, 2010, one hour of continuing education per biennium must be specific to Iowa barbering laws and administrative rules and sanitation.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645—24.4</w:t>
      </w:r>
      <w:r>
        <w:rPr>
          <w:rFonts w:ascii="Times New Roman" w:hAnsi="Times New Roman"/>
          <w:b/>
          <w:i w:val="false"/>
          <w:color w:val="000000"/>
          <w:sz w:val="22"/>
        </w:rPr>
        <w:t xml:space="preserve">(158,272C) </w:t>
      </w:r>
      <w:r>
        <w:rPr>
          <w:rFonts w:ascii="Times New Roman" w:hAnsi="Times New Roman"/>
          <w:b/>
          <w:i w:val="false"/>
          <w:color w:val="000000"/>
          <w:sz w:val="22"/>
        </w:rPr>
        <w:t xml:space="preserve">Audit of continuing education report.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4/1/09.</w:t>
      </w:r>
    </w:p>
    <w:p>
      <w:pPr>
        <w:spacing w:before="210" w:after="0"/>
        <w:ind w:left="120"/>
        <w:jc w:val="both"/>
      </w:pPr>
      <w:r>
        <w:rPr>
          <w:rFonts w:ascii="Times New Roman" w:hAnsi="Times New Roman"/>
          <w:b/>
          <w:i w:val="false"/>
          <w:color w:val="000000"/>
          <w:sz w:val="22"/>
        </w:rPr>
        <w:t>645—24.5</w:t>
      </w:r>
      <w:r>
        <w:rPr>
          <w:rFonts w:ascii="Times New Roman" w:hAnsi="Times New Roman"/>
          <w:b/>
          <w:i w:val="false"/>
          <w:color w:val="000000"/>
          <w:sz w:val="22"/>
        </w:rPr>
        <w:t xml:space="preserve">(158,272C)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4/1/09.</w:t>
      </w:r>
    </w:p>
    <w:p>
      <w:pPr>
        <w:spacing w:before="210" w:after="0"/>
        <w:ind w:left="120"/>
        <w:jc w:val="both"/>
      </w:pPr>
      <w:r>
        <w:rPr>
          <w:rFonts w:ascii="Times New Roman" w:hAnsi="Times New Roman"/>
          <w:b/>
          <w:i w:val="false"/>
          <w:color w:val="000000"/>
          <w:sz w:val="22"/>
        </w:rPr>
        <w:t>645—24.6</w:t>
      </w:r>
      <w:r>
        <w:rPr>
          <w:rFonts w:ascii="Times New Roman" w:hAnsi="Times New Roman"/>
          <w:b/>
          <w:i w:val="false"/>
          <w:color w:val="000000"/>
          <w:sz w:val="22"/>
        </w:rPr>
        <w:t xml:space="preserve">(158,272C) </w:t>
      </w:r>
      <w:r>
        <w:rPr>
          <w:rFonts w:ascii="Times New Roman" w:hAnsi="Times New Roman"/>
          <w:b/>
          <w:i w:val="false"/>
          <w:color w:val="000000"/>
          <w:sz w:val="22"/>
        </w:rPr>
        <w:t xml:space="preserve">Continuing education exemption for disability or illness.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4/1/09.</w:t>
      </w:r>
    </w:p>
    <w:p>
      <w:pPr>
        <w:spacing w:before="210" w:after="0"/>
        <w:ind w:left="120"/>
        <w:jc w:val="both"/>
      </w:pPr>
      <w:r>
        <w:rPr>
          <w:rFonts w:ascii="Times New Roman" w:hAnsi="Times New Roman"/>
          <w:b/>
          <w:i w:val="false"/>
          <w:color w:val="000000"/>
          <w:sz w:val="22"/>
        </w:rPr>
        <w:t>645—24.7</w:t>
      </w:r>
      <w:r>
        <w:rPr>
          <w:rFonts w:ascii="Times New Roman" w:hAnsi="Times New Roman"/>
          <w:b/>
          <w:i w:val="false"/>
          <w:color w:val="000000"/>
          <w:sz w:val="22"/>
        </w:rPr>
        <w:t xml:space="preserve">(158,272C) </w:t>
      </w:r>
      <w:r>
        <w:rPr>
          <w:rFonts w:ascii="Times New Roman" w:hAnsi="Times New Roman"/>
          <w:b/>
          <w:i w:val="false"/>
          <w:color w:val="000000"/>
          <w:sz w:val="22"/>
        </w:rPr>
        <w:t xml:space="preserve">Grounds for disciplinary action.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4/1/09.</w:t>
      </w:r>
    </w:p>
    <w:p>
      <w:pPr>
        <w:spacing w:before="210" w:after="0"/>
        <w:ind w:left="120"/>
        <w:jc w:val="both"/>
      </w:pPr>
      <w:r>
        <w:rPr>
          <w:rFonts w:ascii="Times New Roman" w:hAnsi="Times New Roman"/>
          <w:b/>
          <w:i w:val="false"/>
          <w:color w:val="000000"/>
          <w:sz w:val="22"/>
        </w:rPr>
        <w:t>645—24.8</w:t>
      </w:r>
      <w:r>
        <w:rPr>
          <w:rFonts w:ascii="Times New Roman" w:hAnsi="Times New Roman"/>
          <w:b/>
          <w:i w:val="false"/>
          <w:color w:val="000000"/>
          <w:sz w:val="22"/>
        </w:rPr>
        <w:t xml:space="preserve">(158,272C) </w:t>
      </w:r>
      <w:r>
        <w:rPr>
          <w:rFonts w:ascii="Times New Roman" w:hAnsi="Times New Roman"/>
          <w:b/>
          <w:i w:val="false"/>
          <w:color w:val="000000"/>
          <w:sz w:val="22"/>
        </w:rPr>
        <w:t xml:space="preserve">Continuing education exemption for inactive practitioners.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8/17/05</w:t>
      </w:r>
      <w:r>
        <w:rPr>
          <w:rFonts w:ascii="Times New Roman" w:hAnsi="Times New Roman"/>
          <w:b w:val="false"/>
          <w:i w:val="false"/>
          <w:color w:val="000000"/>
          <w:sz w:val="22"/>
        </w:rPr>
        <w:t>, effective 9/21/05.</w:t>
      </w:r>
    </w:p>
    <w:p>
      <w:pPr>
        <w:spacing w:before="210" w:after="0"/>
        <w:ind w:left="120"/>
        <w:jc w:val="both"/>
      </w:pPr>
      <w:r>
        <w:rPr>
          <w:rFonts w:ascii="Times New Roman" w:hAnsi="Times New Roman"/>
          <w:b/>
          <w:i w:val="false"/>
          <w:color w:val="000000"/>
          <w:sz w:val="22"/>
        </w:rPr>
        <w:t>645—24.9</w:t>
      </w:r>
      <w:r>
        <w:rPr>
          <w:rFonts w:ascii="Times New Roman" w:hAnsi="Times New Roman"/>
          <w:b/>
          <w:i w:val="false"/>
          <w:color w:val="000000"/>
          <w:sz w:val="22"/>
        </w:rPr>
        <w:t xml:space="preserve">(158,272C) </w:t>
      </w:r>
      <w:r>
        <w:rPr>
          <w:rFonts w:ascii="Times New Roman" w:hAnsi="Times New Roman"/>
          <w:b/>
          <w:i w:val="false"/>
          <w:color w:val="000000"/>
          <w:sz w:val="22"/>
        </w:rPr>
        <w:t xml:space="preserve">Continuing education exemption for disability or illness.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8/17/05</w:t>
      </w:r>
      <w:r>
        <w:rPr>
          <w:rFonts w:ascii="Times New Roman" w:hAnsi="Times New Roman"/>
          <w:b w:val="false"/>
          <w:i w:val="false"/>
          <w:color w:val="000000"/>
          <w:sz w:val="22"/>
        </w:rPr>
        <w:t>, effective 9/21/05.</w:t>
      </w:r>
    </w:p>
    <w:p>
      <w:pPr>
        <w:spacing w:before="210" w:after="0"/>
        <w:ind w:left="120"/>
        <w:jc w:val="both"/>
      </w:pPr>
      <w:r>
        <w:rPr>
          <w:rFonts w:ascii="Times New Roman" w:hAnsi="Times New Roman"/>
          <w:b/>
          <w:i w:val="false"/>
          <w:color w:val="000000"/>
          <w:sz w:val="22"/>
        </w:rPr>
        <w:t>645—24.10</w:t>
      </w:r>
      <w:r>
        <w:rPr>
          <w:rFonts w:ascii="Times New Roman" w:hAnsi="Times New Roman"/>
          <w:b/>
          <w:i w:val="false"/>
          <w:color w:val="000000"/>
          <w:sz w:val="22"/>
        </w:rPr>
        <w:t xml:space="preserve">(158,272C) </w:t>
      </w:r>
      <w:r>
        <w:rPr>
          <w:rFonts w:ascii="Times New Roman" w:hAnsi="Times New Roman"/>
          <w:b/>
          <w:i w:val="false"/>
          <w:color w:val="000000"/>
          <w:sz w:val="22"/>
        </w:rPr>
        <w:t xml:space="preserve">Reinstatement of inactive practitioners.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8/17/05</w:t>
      </w:r>
      <w:r>
        <w:rPr>
          <w:rFonts w:ascii="Times New Roman" w:hAnsi="Times New Roman"/>
          <w:b w:val="false"/>
          <w:i w:val="false"/>
          <w:color w:val="000000"/>
          <w:sz w:val="22"/>
        </w:rPr>
        <w:t>, effective 9/21/05.</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8/23/00—published 11/29/00, effective 1/3/01]</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11/6/03, Notice 8/20/03—published 11/26/03, effective 12/31/03]</w:t>
      </w:r>
    </w:p>
    <w:p>
      <w:pPr>
        <w:spacing w:before="0" w:after="0"/>
        <w:ind w:left="120"/>
        <w:jc w:val="center"/>
      </w:pPr>
      <w:r>
        <w:rPr>
          <w:rFonts w:ascii="Times New Roman" w:hAnsi="Times New Roman"/>
          <w:b w:val="false"/>
          <w:i w:val="false"/>
          <w:color w:val="000000"/>
          <w:sz w:val="21"/>
        </w:rPr>
        <w:t>[Filed 7/26/05, Notice 5/25/05—published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8/1/07, Notice 5/23/07—published 8/29/07, effective 10/3/07]</w:t>
      </w:r>
    </w:p>
    <w:p>
      <w:pPr>
        <w:spacing w:before="0" w:after="0"/>
        <w:ind w:left="120"/>
        <w:jc w:val="center"/>
      </w:pPr>
      <w:r>
        <w:rPr>
          <w:rFonts w:ascii="Times New Roman" w:hAnsi="Times New Roman"/>
          <w:b w:val="false"/>
          <w:i w:val="false"/>
          <w:color w:val="000000"/>
          <w:sz w:val="21"/>
        </w:rPr>
        <w:t>[Filed ARC 7578B</w:t>
      </w:r>
      <w:r>
        <w:rPr>
          <w:rFonts w:ascii="Times New Roman" w:hAnsi="Times New Roman"/>
          <w:b w:val="false"/>
          <w:i w:val="false"/>
          <w:color w:val="000000"/>
          <w:sz w:val="21"/>
        </w:rPr>
        <w:t xml:space="preserve"> (Notice ARC 7401B, IAB 12/3/08)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2722C</w:t>
      </w:r>
      <w:r>
        <w:rPr>
          <w:rFonts w:ascii="Times New Roman" w:hAnsi="Times New Roman"/>
          <w:b w:val="false"/>
          <w:i w:val="false"/>
          <w:color w:val="000000"/>
          <w:sz w:val="21"/>
        </w:rPr>
        <w:t xml:space="preserve"> (Notice ARC 2670C,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6898C</w:t>
      </w:r>
      <w:r>
        <w:rPr>
          <w:rFonts w:ascii="Times New Roman" w:hAnsi="Times New Roman"/>
          <w:b w:val="false"/>
          <w:i w:val="false"/>
          <w:color w:val="000000"/>
          <w:sz w:val="21"/>
        </w:rPr>
        <w:t xml:space="preserve"> (Notice ARC 6459C, IAB 8/10/22)</w:t>
      </w:r>
      <w:r>
        <w:rPr>
          <w:rFonts w:ascii="Times New Roman" w:hAnsi="Times New Roman"/>
          <w:b w:val="false"/>
          <w:i w:val="false"/>
          <w:color w:val="000000"/>
          <w:sz w:val="21"/>
        </w:rPr>
        <w:t>, IAB 2/22/23, effective 3/29/23]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5.24.3.pdf" Type="http://schemas.openxmlformats.org/officeDocument/2006/relationships/hyperlink" Id="rId5"/>
    <Relationship TargetMode="External" Target="https://www.legis.iowa.gov/docs/iac/rule/645.24.3.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co/chapter/15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