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BARBERS</w:t>
      </w:r>
    </w:p>
    <w:tbl>
      <w:tblPr>
        <w:tblW w:w="5000" w:type="pct"/>
        <w:tblCellSpacing w:w="0" w:type="auto"/>
        <w:tblInd w:w="795" w:type="dxa"/>
        <w:tblBorders>
          <w:top w:val="none"/>
          <w:left w:val="none"/>
          <w:bottom w:val="none"/>
          <w:right w:val="none"/>
          <w:insideH w:val="none"/>
          <w:insideV w:val="none"/>
        </w:tblBorders>
      </w:tblPr>
      <w:tblGrid>
        <w:gridCol w:w="1536"/>
        <w:gridCol w:w="8064"/>
      </w:tblGrid>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21</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LICENSURE</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22</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INFECTION CONTROL FOR BARBERSHOPS AND BARBER SCHOOLS</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23</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BARBER SCHOOLS</w:t>
            </w:r>
          </w:p>
        </w:tc>
      </w:tr>
      <w:tr>
        <w:trPr>
          <w:trHeight w:val="24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24</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CONTINUING EDUCATION FOR BARBERS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25</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DISCIPLINE FOR BARBERS, BARBER INSTRUCTORS, BARBERSHOPS AND BARBER SCHOOLS</w:t>
            </w:r>
          </w:p>
        </w:tc>
      </w:tr>
    </w:tbl>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LICENSURE</w:t>
      </w:r>
    </w:p>
    <w:p>
      <w:pPr>
        <w:spacing w:before="0" w:after="0"/>
        <w:ind w:left="120"/>
        <w:jc w:val="center"/>
      </w:pPr>
      <w:r>
        <w:rPr>
          <w:rFonts w:ascii="Times New Roman" w:hAnsi="Times New Roman"/>
          <w:b w:val="false"/>
          <w:i w:val="false"/>
          <w:color w:val="000000"/>
          <w:sz w:val="14"/>
        </w:rPr>
        <w:t>[Prior to 7/29/87, Health Department[470] Ch 152]</w:t>
      </w:r>
    </w:p>
    <w:p>
      <w:pPr>
        <w:spacing w:before="0" w:after="0"/>
        <w:ind w:left="120"/>
        <w:jc w:val="center"/>
      </w:pPr>
      <w:r>
        <w:rPr>
          <w:rFonts w:ascii="Times New Roman" w:hAnsi="Times New Roman"/>
          <w:b w:val="false"/>
          <w:i w:val="false"/>
          <w:color w:val="000000"/>
          <w:sz w:val="14"/>
        </w:rPr>
        <w:t>[Prior to 2/20/02, see 645—Chapter 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645—21.1</w:t>
      </w:r>
      <w:r>
        <w:rPr>
          <w:rFonts w:ascii="Times New Roman" w:hAnsi="Times New Roman"/>
          <w:b/>
          <w:i w:val="false"/>
          <w:color w:val="000000"/>
          <w:sz w:val="22"/>
        </w:rPr>
        <w:t xml:space="preserve">(158)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 </w:t>
      </w:r>
      <w:r>
        <w:rPr>
          <w:rFonts w:ascii="Times New Roman" w:hAnsi="Times New Roman"/>
          <w:b w:val="false"/>
          <w:i w:val="false"/>
          <w:color w:val="000000"/>
          <w:sz w:val="22"/>
        </w:rPr>
        <w:t>means a person who is at least 16 years of age, who is employed in an apprenticeable occupation, who is a resident of the state of Iowa, and who is registered in Iowa by the Office of Apprenticeship of the United States Department of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“Apprenticeship program” </w:t>
      </w:r>
      <w:r>
        <w:rPr>
          <w:rFonts w:ascii="Times New Roman" w:hAnsi="Times New Roman"/>
          <w:b w:val="false"/>
          <w:i w:val="false"/>
          <w:color w:val="000000"/>
          <w:sz w:val="22"/>
        </w:rPr>
        <w:t xml:space="preserve">means a program registered by the Office of Apprenticeship of the United States Department of Labor which includes terms and conditions for the qualification, recruitment, selection, employment, and training of apprentices, including the requirement for a written apprenticeship agreement between an apprentice and an active licensee in an active licensed barbershop as outlined in Iowa Code section </w:t>
      </w:r>
      <w:hyperlink r:id="rId5">
        <w:r>
          <w:rPr>
            <w:rStyle w:val="Hyperlink"/>
            <w:rFonts w:ascii="Times New Roman" w:hAnsi="Times New Roman"/>
            <w:b w:val="false"/>
            <w:i w:val="false"/>
            <w:color w:val="000000"/>
            <w:sz w:val="22"/>
          </w:rPr>
          <w:t>272C.16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“Apprenticeship sponsor” </w:t>
      </w:r>
      <w:r>
        <w:rPr>
          <w:rFonts w:ascii="Times New Roman" w:hAnsi="Times New Roman"/>
          <w:b w:val="false"/>
          <w:i w:val="false"/>
          <w:color w:val="000000"/>
          <w:sz w:val="22"/>
        </w:rPr>
        <w:t>means an entity operating an apprenticeship program or an entity in whose name an apprenticeship program is being operated, which is registered by or approved by the Office of Apprenticeship of the United States Department of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barbering.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“Examination” </w:t>
      </w:r>
      <w:r>
        <w:rPr>
          <w:rFonts w:ascii="Times New Roman" w:hAnsi="Times New Roman"/>
          <w:b w:val="false"/>
          <w:i w:val="false"/>
          <w:color w:val="000000"/>
          <w:sz w:val="22"/>
        </w:rPr>
        <w:t>means any of the tests used by the board to determine minimum competency prior to the issuance of a barber or barber instructor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means the 30-day period following expiration of a license when the license is still considered to be active. In order to renew a license during the grace period, a licensee is required to pay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barber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June 30 of even-numbered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as a barber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“NIC” </w:t>
      </w:r>
      <w:r>
        <w:rPr>
          <w:rFonts w:ascii="Times New Roman" w:hAnsi="Times New Roman"/>
          <w:b w:val="false"/>
          <w:i w:val="false"/>
          <w:color w:val="000000"/>
          <w:sz w:val="22"/>
        </w:rPr>
        <w:t>means the National Interstate Council of State Boards of Cosmetology, Inc.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6">
        <w:r>
          <w:rPr>
            <w:rStyle w:val="Hyperlink"/>
            <w:rFonts w:ascii="Times New Roman" w:hAnsi="Times New Roman"/>
            <w:b w:val="false"/>
            <w:i w:val="false"/>
            <w:color w:val="000000"/>
            <w:sz w:val="22"/>
          </w:rPr>
          <w:t>645—21.16(17A,147,272C)</w:t>
        </w:r>
      </w:hyperlink>
      <w:r>
        <w:rPr>
          <w:rFonts w:ascii="Times New Roman" w:hAnsi="Times New Roman"/>
          <w:b w:val="false"/>
          <w:i w:val="false"/>
          <w:color w:val="000000"/>
          <w:sz w:val="22"/>
        </w:rPr>
        <w:t xml:space="preserve">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“Reciprocal license” </w:t>
      </w:r>
      <w:r>
        <w:rPr>
          <w:rFonts w:ascii="Times New Roman" w:hAnsi="Times New Roman"/>
          <w:b w:val="false"/>
          <w:i w:val="false"/>
          <w:color w:val="000000"/>
          <w:sz w:val="22"/>
        </w:rPr>
        <w:t>means the issuance of an Iowa license to practice barbering to an applicant who is currently licensed in another state and which state has a mutual agreement to license persons who have the same or similar qualifications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w:t>
      </w:r>
      <w:hyperlink r:id="rId7">
        <w:r>
          <w:rPr>
            <w:rStyle w:val="Hyperlink"/>
            <w:rFonts w:ascii="Times New Roman" w:hAnsi="Times New Roman"/>
            <w:b w:val="false"/>
            <w:i w:val="false"/>
            <w:color w:val="000000"/>
            <w:sz w:val="22"/>
          </w:rPr>
          <w:t>645—11.31(272C)</w:t>
        </w:r>
      </w:hyperlink>
      <w:r>
        <w:rPr>
          <w:rFonts w:ascii="Times New Roman" w:hAnsi="Times New Roman"/>
          <w:b w:val="false"/>
          <w:i w:val="false"/>
          <w:color w:val="000000"/>
          <w:sz w:val="22"/>
        </w:rPr>
        <w:t xml:space="preserve">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“Testing service” </w:t>
      </w:r>
      <w:r>
        <w:rPr>
          <w:rFonts w:ascii="Times New Roman" w:hAnsi="Times New Roman"/>
          <w:b w:val="false"/>
          <w:i w:val="false"/>
          <w:color w:val="000000"/>
          <w:sz w:val="22"/>
        </w:rPr>
        <w:t>means a national testing service selected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8349B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 xml:space="preserve">; </w:t>
      </w:r>
      <w:r>
        <w:rPr>
          <w:rFonts w:ascii="Times New Roman" w:hAnsi="Times New Roman"/>
          <w:b/>
          <w:i w:val="false"/>
          <w:color w:val="000000"/>
          <w:sz w:val="16"/>
        </w:rPr>
        <w:t>ARC 5039C</w:t>
      </w:r>
      <w:r>
        <w:rPr>
          <w:rFonts w:ascii="Times New Roman" w:hAnsi="Times New Roman"/>
          <w:b w:val="false"/>
          <w:i w:val="false"/>
          <w:color w:val="000000"/>
          <w:sz w:val="16"/>
        </w:rPr>
        <w:t>, IAB 5/6/20, effective 6/10/20</w:t>
      </w:r>
      <w:r>
        <w:rPr>
          <w:rFonts w:ascii="Times New Roman" w:hAnsi="Times New Roman"/>
          <w:b w:val="false"/>
          <w:i w:val="false"/>
          <w:color w:val="000000"/>
          <w:sz w:val="16"/>
        </w:rPr>
        <w:t xml:space="preserve">; </w:t>
      </w:r>
      <w:r>
        <w:rPr>
          <w:rFonts w:ascii="Times New Roman" w:hAnsi="Times New Roman"/>
          <w:b/>
          <w:i w:val="false"/>
          <w:color w:val="000000"/>
          <w:sz w:val="16"/>
        </w:rPr>
        <w:t>ARC 6396C</w:t>
      </w:r>
      <w:r>
        <w:rPr>
          <w:rFonts w:ascii="Times New Roman" w:hAnsi="Times New Roman"/>
          <w:b w:val="false"/>
          <w:i w:val="false"/>
          <w:color w:val="000000"/>
          <w:sz w:val="16"/>
        </w:rPr>
        <w:t>, IAB 6/29/22, effective 8/3/22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645—21.2</w:t>
      </w:r>
      <w:r>
        <w:rPr>
          <w:rFonts w:ascii="Times New Roman" w:hAnsi="Times New Roman"/>
          <w:b/>
          <w:i w:val="false"/>
          <w:color w:val="000000"/>
          <w:sz w:val="22"/>
        </w:rPr>
        <w:t xml:space="preserve">(158) </w:t>
      </w:r>
      <w:r>
        <w:rPr>
          <w:rFonts w:ascii="Times New Roman" w:hAnsi="Times New Roman"/>
          <w:b/>
          <w:i w:val="false"/>
          <w:color w:val="000000"/>
          <w:sz w:val="22"/>
        </w:rPr>
        <w:t xml:space="preserve">Requirements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val="false"/>
          <w:color w:val="000000"/>
          <w:sz w:val="22"/>
        </w:rPr>
        <w:t>The following criteria shall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Applicants shall complete a board-approved application form. Application forms may be obtained from the board’s website (</w:t>
      </w:r>
      <w:hyperlink r:id="rId8">
        <w:r>
          <w:rPr>
            <w:rStyle w:val="Hyperlink"/>
            <w:rFonts w:ascii="Times New Roman" w:hAnsi="Times New Roman"/>
            <w:b w:val="false"/>
            <w:i w:val="false"/>
            <w:color w:val="000000"/>
            <w:sz w:val="22"/>
            <w:u w:val="single"/>
          </w:rPr>
          <w:t>www.idph.iowa.gov/licensure</w:t>
        </w:r>
      </w:hyperlink>
      <w:r>
        <w:rPr>
          <w:rFonts w:ascii="Times New Roman" w:hAnsi="Times New Roman"/>
          <w:b w:val="false"/>
          <w:i w:val="false"/>
          <w:color w:val="000000"/>
          <w:sz w:val="22"/>
        </w:rPr>
        <w:t>) or directly from the board office. The application and licensure fees shall be sent to the Board of Barbering, Professional Licensure Division, Fifth Floor, Lucas State Office Building, Des Moines, Iowa 50319-0075.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Applicants shall present proof of completion of the tenth grade or equivalent education. In the event the applicant is a refugee or immigrant from a country where high school records no longer exist, the applicant shall be considered to have met this requirement when the applicant submits an affidavit attesting to the fact that the applicant has met the tenth-grade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shall provide an official copy of the transcript or diploma sent directly from the school to the board showing proof of completion of training at a barber school licensed by the board. If the applicant graduated from a school that is not licensed by the board, the applicant shall direct the school to provide an official transcript showing completion of a course of study that meets the requirements of rule </w:t>
      </w:r>
      <w:hyperlink r:id="rId9">
        <w:r>
          <w:rPr>
            <w:rStyle w:val="Hyperlink"/>
            <w:rFonts w:ascii="Times New Roman" w:hAnsi="Times New Roman"/>
            <w:b w:val="false"/>
            <w:i w:val="false"/>
            <w:color w:val="000000"/>
            <w:sz w:val="22"/>
          </w:rPr>
          <w:t>645—23.8</w:t>
        </w:r>
      </w:hyperlink>
      <w:r>
        <w:rPr>
          <w:rFonts w:ascii="Times New Roman" w:hAnsi="Times New Roman"/>
          <w:b w:val="false"/>
          <w:i w:val="false"/>
          <w:color w:val="000000"/>
          <w:sz w:val="22"/>
        </w:rPr>
        <w:t xml:space="preserve">(158).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applicant has graduated from an apprenticeship program, the applicant must direct the United States Department of Labor to submit a certificate of completion. If the applicant completed all or part of a barbering apprenticeship training program registered by the Office of Apprenticeship of the United States Department of Labor while committed to the custody of the director of the department of corrections, the applicant shall request the department of corrections to provide an official transcript showing completion of all or part of the apprenticeship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Applicants shall pass both the NIC theory examination and the NIC practical examination with a score of 70 percent or better on each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submit the test registration fee for the written theory and the practical examination directly to the test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NIC examinations are administered according to guidelines set forth by the National Interstate Council of State Boards of Cosmetology.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applicant shall provide verification of license from the state in which the applicant has most recently been licensed as a barber, sent directly from the state to the Iowa board of barbering office. The applicant must also disclose any public or pending complaints against the applicant in any 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Applications for a barber license must be received in the board office a minimum of five business days prior to the NIC practical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Licensees who were issued their licenses within six months prior to renewal shall not be required to renew their licenses until the renewal month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Considered invalid and shall be destroyed;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Maintained upon written request of the applicant. The applicant is responsible for requesting that the file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val="false"/>
          <w:color w:val="000000"/>
          <w:sz w:val="22"/>
        </w:rPr>
        <w:t>Foreign-trained barbers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an equivalency evaluation of their educational credentials by one of the following: International Educational Research Foundation, Inc., Credentials Evaluation Service, P.O. Box 3665, Culver City, CA 90231-3665, telephone (310)258-9451, website </w:t>
      </w:r>
      <w:hyperlink r:id="rId10">
        <w:r>
          <w:rPr>
            <w:rStyle w:val="Hyperlink"/>
            <w:rFonts w:ascii="Times New Roman" w:hAnsi="Times New Roman"/>
            <w:b w:val="false"/>
            <w:i w:val="false"/>
            <w:color w:val="000000"/>
            <w:sz w:val="22"/>
            <w:u w:val="single"/>
          </w:rPr>
          <w:t>www.ierf.org</w:t>
        </w:r>
      </w:hyperlink>
      <w:r>
        <w:rPr>
          <w:rFonts w:ascii="Times New Roman" w:hAnsi="Times New Roman"/>
          <w:b w:val="false"/>
          <w:i w:val="false"/>
          <w:color w:val="000000"/>
          <w:sz w:val="22"/>
        </w:rPr>
        <w:t xml:space="preserve"> or email at </w:t>
      </w:r>
      <w:hyperlink r:id="rId11">
        <w:r>
          <w:rPr>
            <w:rStyle w:val="Hyperlink"/>
            <w:rFonts w:ascii="Times New Roman" w:hAnsi="Times New Roman"/>
            <w:b w:val="false"/>
            <w:i w:val="false"/>
            <w:color w:val="000000"/>
            <w:sz w:val="22"/>
            <w:u w:val="single"/>
          </w:rPr>
          <w:t>info@ierf.org</w:t>
        </w:r>
      </w:hyperlink>
      <w:r>
        <w:rPr>
          <w:rFonts w:ascii="Times New Roman" w:hAnsi="Times New Roman"/>
          <w:b w:val="false"/>
          <w:i w:val="false"/>
          <w:color w:val="000000"/>
          <w:sz w:val="22"/>
        </w:rPr>
        <w:t xml:space="preserve">; or World Education Services (WES) at (212)966-6311, electronically at </w:t>
      </w:r>
      <w:hyperlink r:id="rId12">
        <w:r>
          <w:rPr>
            <w:rStyle w:val="Hyperlink"/>
            <w:rFonts w:ascii="Times New Roman" w:hAnsi="Times New Roman"/>
            <w:b w:val="false"/>
            <w:i w:val="false"/>
            <w:color w:val="000000"/>
            <w:sz w:val="22"/>
            <w:u w:val="single"/>
          </w:rPr>
          <w:t>www.wes.org</w:t>
        </w:r>
      </w:hyperlink>
      <w:r>
        <w:rPr>
          <w:rFonts w:ascii="Times New Roman" w:hAnsi="Times New Roman"/>
          <w:b w:val="false"/>
          <w:i w:val="false"/>
          <w:color w:val="000000"/>
          <w:sz w:val="22"/>
        </w:rPr>
        <w:t xml:space="preserve"> or by writing to WES, P.O. Box 745, Old Chelsea Station, New York, NY 10113-0745. The professional curriculum must be equivalent to that stated in these rules. An applicant shall bear the expense of the curriculum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 copy of the certificate or diploma awarded to the applicant from a barber school in the country in which the applicant was educated.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Receive a final determination from the board regarding the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21.2(3)</w:t>
      </w:r>
      <w:r>
        <w:rPr>
          <w:rFonts w:ascii="Times New Roman" w:hAnsi="Times New Roman"/>
          <w:b w:val="false"/>
          <w:i w:val="false"/>
          <w:color w:val="000000"/>
          <w:sz w:val="22"/>
        </w:rPr>
        <w:t> </w:t>
      </w:r>
      <w:r>
        <w:rPr>
          <w:rFonts w:ascii="Times New Roman" w:hAnsi="Times New Roman"/>
          <w:b w:val="false"/>
          <w:i w:val="false"/>
          <w:color w:val="000000"/>
          <w:sz w:val="22"/>
        </w:rPr>
        <w:t>Requirements for an instructor’s license. Applicants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all requirements stated in paragraphs </w:t>
      </w:r>
      <w:hyperlink r:id="rId13">
        <w:r>
          <w:rPr>
            <w:rStyle w:val="Hyperlink"/>
            <w:rFonts w:ascii="Times New Roman" w:hAnsi="Times New Roman"/>
            <w:b w:val="false"/>
            <w:i w:val="false"/>
            <w:color w:val="000000"/>
            <w:sz w:val="22"/>
          </w:rPr>
          <w:t>21.2(1)</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Present proof of graduation from an accredited high school or the equivalent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licensed in the state of Iowa as a barber for not less than two years;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Pass both the NIC instructor theory examination and the NIC instructor practical examination with a score of 70 percent or better on each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21.2(4)</w:t>
      </w:r>
      <w:r>
        <w:rPr>
          <w:rFonts w:ascii="Times New Roman" w:hAnsi="Times New Roman"/>
          <w:b w:val="false"/>
          <w:i w:val="false"/>
          <w:color w:val="000000"/>
          <w:sz w:val="22"/>
        </w:rPr>
        <w:t> </w:t>
      </w:r>
      <w:r>
        <w:rPr>
          <w:rFonts w:ascii="Times New Roman" w:hAnsi="Times New Roman"/>
          <w:b w:val="false"/>
          <w:i w:val="false"/>
          <w:color w:val="000000"/>
          <w:sz w:val="22"/>
        </w:rPr>
        <w:t>Instructors who were issued their licenses within six months prior to renewal shall not be required to renew their licenses until the renewal month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21.2(5)</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shall be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Maintained upon written request of the applicant. The applicant is responsible for requesting that the file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21.2(6)</w:t>
      </w:r>
      <w:r>
        <w:rPr>
          <w:rFonts w:ascii="Times New Roman" w:hAnsi="Times New Roman"/>
          <w:b w:val="false"/>
          <w:i w:val="false"/>
          <w:color w:val="000000"/>
          <w:sz w:val="22"/>
        </w:rPr>
        <w:t> </w:t>
      </w:r>
      <w:r>
        <w:rPr>
          <w:rFonts w:ascii="Times New Roman" w:hAnsi="Times New Roman"/>
          <w:b w:val="false"/>
          <w:i w:val="false"/>
          <w:color w:val="000000"/>
          <w:sz w:val="22"/>
        </w:rPr>
        <w:t>An applicant who meets the requirements for an instructor’s license except for the instructor examinations may apply for a temporary permit to be an instructor. The temporary permit shall be valid for a maximum of six months from the issue date of the permit and shall not be renewable.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21.2(7)</w:t>
      </w:r>
      <w:r>
        <w:rPr>
          <w:rFonts w:ascii="Times New Roman" w:hAnsi="Times New Roman"/>
          <w:b w:val="false"/>
          <w:i w:val="false"/>
          <w:color w:val="000000"/>
          <w:sz w:val="22"/>
        </w:rPr>
        <w:t> </w:t>
      </w:r>
      <w:r>
        <w:rPr>
          <w:rFonts w:ascii="Times New Roman" w:hAnsi="Times New Roman"/>
          <w:b w:val="false"/>
          <w:i w:val="false"/>
          <w:color w:val="000000"/>
          <w:sz w:val="22"/>
        </w:rPr>
        <w:t>Persons licensed under this chapter who provide apprenticeship programs must hold an active license sufficient to provide on-the-job training, must operate an actively licensed establishment and must comply with relevant United States Department of Labor laws and regulations for the operation of an apprenticeship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7578B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8349B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 xml:space="preserve">; </w:t>
      </w:r>
      <w:r>
        <w:rPr>
          <w:rFonts w:ascii="Times New Roman" w:hAnsi="Times New Roman"/>
          <w:b/>
          <w:i w:val="false"/>
          <w:color w:val="000000"/>
          <w:sz w:val="16"/>
        </w:rPr>
        <w:t>ARC 5039C</w:t>
      </w:r>
      <w:r>
        <w:rPr>
          <w:rFonts w:ascii="Times New Roman" w:hAnsi="Times New Roman"/>
          <w:b w:val="false"/>
          <w:i w:val="false"/>
          <w:color w:val="000000"/>
          <w:sz w:val="16"/>
        </w:rPr>
        <w:t>, IAB 5/6/20, effective 6/10/20</w:t>
      </w:r>
      <w:r>
        <w:rPr>
          <w:rFonts w:ascii="Times New Roman" w:hAnsi="Times New Roman"/>
          <w:b w:val="false"/>
          <w:i w:val="false"/>
          <w:color w:val="000000"/>
          <w:sz w:val="16"/>
        </w:rPr>
        <w:t xml:space="preserve">; </w:t>
      </w:r>
      <w:r>
        <w:rPr>
          <w:rFonts w:ascii="Times New Roman" w:hAnsi="Times New Roman"/>
          <w:b/>
          <w:i w:val="false"/>
          <w:color w:val="000000"/>
          <w:sz w:val="16"/>
        </w:rPr>
        <w:t>ARC 6396C</w:t>
      </w:r>
      <w:r>
        <w:rPr>
          <w:rFonts w:ascii="Times New Roman" w:hAnsi="Times New Roman"/>
          <w:b w:val="false"/>
          <w:i w:val="false"/>
          <w:color w:val="000000"/>
          <w:sz w:val="16"/>
        </w:rPr>
        <w:t>, IAB 6/29/22, effective 8/3/22</w:t>
      </w:r>
      <w:r>
        <w:rPr>
          <w:rFonts w:ascii="Times New Roman" w:hAnsi="Times New Roman"/>
          <w:b w:val="false"/>
          <w:i w:val="false"/>
          <w:color w:val="000000"/>
          <w:sz w:val="16"/>
        </w:rPr>
        <w:t xml:space="preserve">; </w:t>
      </w:r>
      <w:r>
        <w:rPr>
          <w:rFonts w:ascii="Times New Roman" w:hAnsi="Times New Roman"/>
          <w:b/>
          <w:i w:val="false"/>
          <w:color w:val="000000"/>
          <w:sz w:val="16"/>
        </w:rPr>
        <w:t>ARC 6898C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i w:val="false"/>
          <w:color w:val="000000"/>
          <w:sz w:val="16"/>
        </w:rPr>
        <w:t>ARC 6983C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645—21.3</w:t>
      </w:r>
      <w:r>
        <w:rPr>
          <w:rFonts w:ascii="Times New Roman" w:hAnsi="Times New Roman"/>
          <w:b/>
          <w:i w:val="false"/>
          <w:color w:val="000000"/>
          <w:sz w:val="22"/>
        </w:rPr>
        <w:t xml:space="preserve">(158) </w:t>
      </w:r>
      <w:r>
        <w:rPr>
          <w:rFonts w:ascii="Times New Roman" w:hAnsi="Times New Roman"/>
          <w:b/>
          <w:i w:val="false"/>
          <w:color w:val="000000"/>
          <w:sz w:val="22"/>
        </w:rPr>
        <w:t xml:space="preserve">Examination requirements for barbers and barber instructors. </w:t>
      </w:r>
      <w:r>
        <w:rPr>
          <w:rFonts w:ascii="Times New Roman" w:hAnsi="Times New Roman"/>
          <w:b w:val="false"/>
          <w:i w:val="false"/>
          <w:color w:val="000000"/>
          <w:sz w:val="22"/>
        </w:rPr>
        <w:t xml:space="preserve">Rescinded </w:t>
      </w:r>
      <w:r>
        <w:rPr>
          <w:rFonts w:ascii="Times New Roman" w:hAnsi="Times New Roman"/>
          <w:b/>
          <w:i w:val="false"/>
          <w:color w:val="000000"/>
          <w:sz w:val="22"/>
        </w:rPr>
        <w:t>ARC 6983C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4/19/23</w:t>
      </w:r>
      <w:r>
        <w:rPr>
          <w:rFonts w:ascii="Times New Roman" w:hAnsi="Times New Roman"/>
          <w:b w:val="false"/>
          <w:i w:val="false"/>
          <w:color w:val="000000"/>
          <w:sz w:val="22"/>
        </w:rPr>
        <w:t xml:space="preserve">, effective 5/24/23. </w:t>
      </w:r>
    </w:p>
    <w:p>
      <w:pPr>
        <w:spacing w:before="210" w:after="0"/>
        <w:ind w:left="120"/>
        <w:jc w:val="both"/>
      </w:pPr>
      <w:r>
        <w:rPr>
          <w:rFonts w:ascii="Times New Roman" w:hAnsi="Times New Roman"/>
          <w:b/>
          <w:i w:val="false"/>
          <w:color w:val="000000"/>
          <w:sz w:val="22"/>
        </w:rPr>
        <w:t>645—21.4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645—21.5</w:t>
      </w:r>
      <w:r>
        <w:rPr>
          <w:rFonts w:ascii="Times New Roman" w:hAnsi="Times New Roman"/>
          <w:b/>
          <w:i w:val="false"/>
          <w:color w:val="000000"/>
          <w:sz w:val="22"/>
        </w:rPr>
        <w:t xml:space="preserve">(158) </w:t>
      </w:r>
      <w:r>
        <w:rPr>
          <w:rFonts w:ascii="Times New Roman" w:hAnsi="Times New Roman"/>
          <w:b/>
          <w:i w:val="false"/>
          <w:color w:val="000000"/>
          <w:sz w:val="22"/>
        </w:rPr>
        <w:t xml:space="preserve">Licensure by endorsement. </w:t>
      </w:r>
      <w:r>
        <w:rPr>
          <w:rFonts w:ascii="Times New Roman" w:hAnsi="Times New Roman"/>
          <w:b w:val="false"/>
          <w:i w:val="false"/>
          <w:color w:val="000000"/>
          <w:sz w:val="22"/>
        </w:rPr>
        <w:t>The board may issue a license by endorsement to any applicant from the District of Columbia or another state, territory, province or foreign country who has held an active license under the laws of another jurisdiction for at least 12 months during the past 24 months and who: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Submits to the board a completed application and pays the licensure fee specified in </w:t>
      </w:r>
      <w:hyperlink r:id="rId14">
        <w:r>
          <w:rPr>
            <w:rStyle w:val="Hyperlink"/>
            <w:rFonts w:ascii="Times New Roman" w:hAnsi="Times New Roman"/>
            <w:b w:val="false"/>
            <w:i w:val="false"/>
            <w:color w:val="000000"/>
            <w:sz w:val="22"/>
          </w:rPr>
          <w:t>645—subrule 5.2(1)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val="false"/>
          <w:color w:val="000000"/>
          <w:sz w:val="22"/>
        </w:rPr>
        <w:t>Provides verification of license(s) from every state in which the applicant has been licensed as a barber, sent directly from the state(s) to the Iowa board of barbering office.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w:t>
      </w:r>
      <w:r>
        <w:rPr>
          <w:rFonts w:ascii="Times New Roman" w:hAnsi="Times New Roman"/>
          <w:b w:val="false"/>
          <w:i w:val="false"/>
          <w:color w:val="000000"/>
          <w:sz w:val="22"/>
        </w:rPr>
        <w:t> </w:t>
      </w:r>
      <w:r>
        <w:rPr>
          <w:rFonts w:ascii="Times New Roman" w:hAnsi="Times New Roman"/>
          <w:b w:val="false"/>
          <w:i w:val="false"/>
          <w:color w:val="000000"/>
          <w:sz w:val="22"/>
        </w:rPr>
        <w:t>Beginning August 1, 2010, completes one hour of Iowa barbering laws and administrative rules and sanitation.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21.5(4)</w:t>
      </w:r>
      <w:r>
        <w:rPr>
          <w:rFonts w:ascii="Times New Roman" w:hAnsi="Times New Roman"/>
          <w:b w:val="false"/>
          <w:i w:val="false"/>
          <w:color w:val="000000"/>
          <w:sz w:val="22"/>
        </w:rPr>
        <w:t> </w:t>
      </w:r>
      <w:r>
        <w:rPr>
          <w:rFonts w:ascii="Times New Roman" w:hAnsi="Times New Roman"/>
          <w:b w:val="false"/>
          <w:i w:val="false"/>
          <w:color w:val="000000"/>
          <w:sz w:val="22"/>
        </w:rPr>
        <w:t>Passes a national written and practical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21.5(5)</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licensed in another jurisdiction but who is unable to satisfy the requirements of licensure by endorsement may apply for licensure by verification, if eligible, in accordance with rule </w:t>
      </w:r>
      <w:hyperlink r:id="rId15">
        <w:r>
          <w:rPr>
            <w:rStyle w:val="Hyperlink"/>
            <w:rFonts w:ascii="Times New Roman" w:hAnsi="Times New Roman"/>
            <w:b w:val="false"/>
            <w:i w:val="false"/>
            <w:color w:val="000000"/>
            <w:sz w:val="22"/>
          </w:rPr>
          <w:t>645—19.1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7578B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8349B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 xml:space="preserve">; </w:t>
      </w:r>
      <w:r>
        <w:rPr>
          <w:rFonts w:ascii="Times New Roman" w:hAnsi="Times New Roman"/>
          <w:b/>
          <w:i w:val="false"/>
          <w:color w:val="000000"/>
          <w:sz w:val="16"/>
        </w:rPr>
        <w:t>ARC 5754C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645—21.6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645—21.7</w:t>
      </w:r>
      <w:r>
        <w:rPr>
          <w:rFonts w:ascii="Times New Roman" w:hAnsi="Times New Roman"/>
          <w:b/>
          <w:i w:val="false"/>
          <w:color w:val="000000"/>
          <w:sz w:val="22"/>
        </w:rPr>
        <w:t xml:space="preserve">(158) </w:t>
      </w:r>
      <w:r>
        <w:rPr>
          <w:rFonts w:ascii="Times New Roman" w:hAnsi="Times New Roman"/>
          <w:b/>
          <w:i w:val="false"/>
          <w:color w:val="000000"/>
          <w:sz w:val="22"/>
        </w:rPr>
        <w:t xml:space="preserve">Temporary permits to practice barbering. </w:t>
      </w:r>
      <w:r>
        <w:rPr>
          <w:rFonts w:ascii="Times New Roman" w:hAnsi="Times New Roman"/>
          <w:b w:val="false"/>
          <w:i w:val="false"/>
          <w:color w:val="000000"/>
          <w:sz w:val="22"/>
        </w:rPr>
        <w:t>An applicant must meet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applicant is applying for initial licensure and is not licensed in another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applicant has met the requirements for licensure except for passing the examinations required by the board. The temporary permit is valid from the date the application is approved for a maximum of six months and shall not be renewable.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8349B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645—21.8</w:t>
      </w:r>
      <w:r>
        <w:rPr>
          <w:rFonts w:ascii="Times New Roman" w:hAnsi="Times New Roman"/>
          <w:b/>
          <w:i w:val="false"/>
          <w:color w:val="000000"/>
          <w:sz w:val="22"/>
        </w:rPr>
        <w:t xml:space="preserve">(158) </w:t>
      </w:r>
      <w:r>
        <w:rPr>
          <w:rFonts w:ascii="Times New Roman" w:hAnsi="Times New Roman"/>
          <w:b/>
          <w:i w:val="false"/>
          <w:color w:val="000000"/>
          <w:sz w:val="22"/>
        </w:rPr>
        <w:t xml:space="preserve">Demonstrator’s permit. </w:t>
      </w:r>
      <w:r>
        <w:rPr>
          <w:rFonts w:ascii="Times New Roman" w:hAnsi="Times New Roman"/>
          <w:b w:val="false"/>
          <w:i w:val="false"/>
          <w:color w:val="000000"/>
          <w:sz w:val="22"/>
        </w:rPr>
        <w:t>The board may issue a demonstrator’s permit to a licensed barber for the purpose of demonstrating barbering to the public. The following criteria apply to the demonstrator’s permit: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demonstrator’s permit shall be valid for a barbershop, person or an event. The location, purpose and duration shall be stated on the permit.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demonstrator’s permit shall be valid for no more than 10 days.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completed application shall be submitted on a form provided by the board at least 30 days in advance of the intended use dates.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 application fee shall be submitted as set forth in these rules.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No more than four permits shall be issued to any applicant during a calendar year.</w:t>
      </w:r>
    </w:p>
    <w:p>
      <w:pPr>
        <w:spacing w:before="0" w:after="0"/>
        <w:ind w:left="120"/>
        <w:jc w:val="both"/>
      </w:pPr>
      <w:r>
        <w:rPr>
          <w:rFonts w:ascii="Times New Roman" w:hAnsi="Times New Roman"/>
          <w:b/>
          <w:i w:val="false"/>
          <w:color w:val="000000"/>
          <w:sz w:val="22"/>
        </w:rPr>
        <w:t>645—21.9</w:t>
      </w:r>
      <w:r>
        <w:rPr>
          <w:rFonts w:ascii="Times New Roman" w:hAnsi="Times New Roman"/>
          <w:b/>
          <w:i w:val="false"/>
          <w:color w:val="000000"/>
          <w:sz w:val="22"/>
        </w:rPr>
        <w:t xml:space="preserve">(158)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barbering shall begin on July 1 of each even-numbered year and end on June 30 of each even-numbered year. All licensees shall renew on a biennial basis.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21.9(2)</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16">
        <w:r>
          <w:rPr>
            <w:rStyle w:val="Hyperlink"/>
            <w:rFonts w:ascii="Times New Roman" w:hAnsi="Times New Roman"/>
            <w:b w:val="false"/>
            <w:i w:val="false"/>
            <w:color w:val="000000"/>
            <w:sz w:val="22"/>
          </w:rPr>
          <w:t>645—24.2(158)</w:t>
        </w:r>
      </w:hyperlink>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Persons licensed to practice as barbers shall keep their renewal licenses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Individuals who were issued a license within six months of the license renewal date will not be required to renew their licenses until the next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21.9(3)</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shall become late when the license has not been renewed by the expiration date on the wallet card. The licensee shall be assessed a late fee as specified in </w:t>
      </w:r>
      <w:hyperlink r:id="rId17">
        <w:r>
          <w:rPr>
            <w:rStyle w:val="Hyperlink"/>
            <w:rFonts w:ascii="Times New Roman" w:hAnsi="Times New Roman"/>
            <w:b w:val="false"/>
            <w:i w:val="false"/>
            <w:color w:val="000000"/>
            <w:sz w:val="22"/>
          </w:rPr>
          <w:t>645—subrule 5.2(9)</w:t>
        </w:r>
      </w:hyperlink>
      <w:r>
        <w:rPr>
          <w:rFonts w:ascii="Times New Roman" w:hAnsi="Times New Roman"/>
          <w:b w:val="false"/>
          <w:i w:val="false"/>
          <w:color w:val="000000"/>
          <w:sz w:val="22"/>
        </w:rPr>
        <w:t>. To renew a late license, the licensee shall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21.9(4)</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two-year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21.9(5)</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 barber in Iowa until the license is reactivated. A licensee who practices as a barber in the state of Iowa with an inactive license may be subject to disciplinary action by the board, injunctive action pursuant to Iowa Code section </w:t>
      </w:r>
      <w:hyperlink r:id="rId18">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19">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7578B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1680C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5754C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 xml:space="preserve">; </w:t>
      </w:r>
      <w:r>
        <w:rPr>
          <w:rFonts w:ascii="Times New Roman" w:hAnsi="Times New Roman"/>
          <w:b/>
          <w:i w:val="false"/>
          <w:color w:val="000000"/>
          <w:sz w:val="16"/>
        </w:rPr>
        <w:t>ARC 6983C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645—21.10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645—21.11</w:t>
      </w:r>
      <w:r>
        <w:rPr>
          <w:rFonts w:ascii="Times New Roman" w:hAnsi="Times New Roman"/>
          <w:b/>
          <w:i w:val="false"/>
          <w:color w:val="000000"/>
          <w:sz w:val="22"/>
        </w:rPr>
        <w:t xml:space="preserve">(158) </w:t>
      </w:r>
      <w:r>
        <w:rPr>
          <w:rFonts w:ascii="Times New Roman" w:hAnsi="Times New Roman"/>
          <w:b/>
          <w:i w:val="false"/>
          <w:color w:val="000000"/>
          <w:sz w:val="22"/>
        </w:rPr>
        <w:t xml:space="preserve">Requirements for a barbershop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21.11(1)</w:t>
      </w:r>
      <w:r>
        <w:rPr>
          <w:rFonts w:ascii="Times New Roman" w:hAnsi="Times New Roman"/>
          <w:b w:val="false"/>
          <w:i w:val="false"/>
          <w:color w:val="000000"/>
          <w:sz w:val="22"/>
        </w:rPr>
        <w:t> </w:t>
      </w:r>
      <w:r>
        <w:rPr>
          <w:rFonts w:ascii="Times New Roman" w:hAnsi="Times New Roman"/>
          <w:b w:val="false"/>
          <w:i w:val="false"/>
          <w:color w:val="000000"/>
          <w:sz w:val="22"/>
        </w:rPr>
        <w:t>A barbershop shall not operate unless the owner of the barbershop possesses a current barbershop license issued by the board. The following criteria shall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shall complete a board-approved application form. Application forms may be obtained from the board’s website (</w:t>
      </w:r>
      <w:hyperlink r:id="rId20">
        <w:r>
          <w:rPr>
            <w:rStyle w:val="Hyperlink"/>
            <w:rFonts w:ascii="Times New Roman" w:hAnsi="Times New Roman"/>
            <w:b w:val="false"/>
            <w:i w:val="false"/>
            <w:color w:val="000000"/>
            <w:sz w:val="22"/>
            <w:u w:val="single"/>
          </w:rPr>
          <w:t>www.idph.iowa.gov/licensure</w:t>
        </w:r>
      </w:hyperlink>
      <w:r>
        <w:rPr>
          <w:rFonts w:ascii="Times New Roman" w:hAnsi="Times New Roman"/>
          <w:b w:val="false"/>
          <w:i w:val="false"/>
          <w:color w:val="000000"/>
          <w:sz w:val="22"/>
        </w:rPr>
        <w:t>), or directly from the board office. The application and fee shall be submitted to the Board of Barbering, Professional Licensure Division, Fifth Floor, Lucas State Office Building, Des Moines, Iowa 50319-0075.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barbershop shall meet the requirements for sanitary conditions established in </w:t>
      </w:r>
      <w:hyperlink r:id="rId21">
        <w:r>
          <w:rPr>
            <w:rStyle w:val="Hyperlink"/>
            <w:rFonts w:ascii="Times New Roman" w:hAnsi="Times New Roman"/>
            <w:b w:val="false"/>
            <w:i w:val="false"/>
            <w:color w:val="000000"/>
            <w:sz w:val="22"/>
          </w:rPr>
          <w:t>645—Chapter 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barbershop license may be for a stationary barbershop or a mobile barbershop.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Stationary barbershop. A stationary barbershop license shall be issued for a specific location. A change in location or site of a stationary barbershop shall result in the cancellation of the existing license and necessitate application for a new license and payment of the fee required by </w:t>
      </w:r>
      <w:hyperlink r:id="rId22">
        <w:r>
          <w:rPr>
            <w:rStyle w:val="Hyperlink"/>
            <w:rFonts w:ascii="Times New Roman" w:hAnsi="Times New Roman"/>
            <w:b w:val="false"/>
            <w:i w:val="false"/>
            <w:color w:val="000000"/>
            <w:sz w:val="22"/>
          </w:rPr>
          <w:t>645—subrule 5.2(7)</w:t>
        </w:r>
      </w:hyperlink>
      <w:r>
        <w:rPr>
          <w:rFonts w:ascii="Times New Roman" w:hAnsi="Times New Roman"/>
          <w:b w:val="false"/>
          <w:i w:val="false"/>
          <w:color w:val="000000"/>
          <w:sz w:val="22"/>
        </w:rPr>
        <w:t>. A change of address without change of actual location shall not be construed as a new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Mobile barbershop. A mobile barbershop license shall be issued for a permanent physical address. The licensee is required to provide a permanent physical address for board correspondence. A mobile barbershop may operate in a legal parking spot or on private property, with the permission of the owner or the owner’s designee, anywhere in the state of Iowa provided the mobile barbershop is operating in compliance with applicable federal and state transportation, environmental, and sanitary regulations, including those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Barbershop owner’s contact information. The listed owner of either a stationary or mobile barbershop must update the board within 30 days of a change in contact information, which includes telephone number, email address, and mailing address.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barbershop license is not transferable. A change in ownership of a barbershop shall result in the cancellation of the existing license and necessitate application for a new license and payment of the fee required by </w:t>
      </w:r>
      <w:hyperlink r:id="rId23">
        <w:r>
          <w:rPr>
            <w:rStyle w:val="Hyperlink"/>
            <w:rFonts w:ascii="Times New Roman" w:hAnsi="Times New Roman"/>
            <w:b w:val="false"/>
            <w:i w:val="false"/>
            <w:color w:val="000000"/>
            <w:sz w:val="22"/>
          </w:rPr>
          <w:t>645—subrule 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change in the name of a barbershop shall be reported to the board within 30 days of the name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Upon closure of a barbershop, the barbershop license shall be submitted to the board office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barbershop that was issued a license within six months prior to renewal shall not be required to renew the license until the renewal month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21.11(2)</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shall be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Maintained upon written request of the candidate. The candidate is responsible for requesting that the file be maintained.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7578B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5686C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i w:val="false"/>
          <w:color w:val="000000"/>
          <w:sz w:val="16"/>
        </w:rPr>
        <w:t>ARC 6983C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645—21.12</w:t>
      </w:r>
      <w:r>
        <w:rPr>
          <w:rFonts w:ascii="Times New Roman" w:hAnsi="Times New Roman"/>
          <w:b/>
          <w:i w:val="false"/>
          <w:color w:val="000000"/>
          <w:sz w:val="22"/>
        </w:rPr>
        <w:t xml:space="preserve">(158) </w:t>
      </w:r>
      <w:r>
        <w:rPr>
          <w:rFonts w:ascii="Times New Roman" w:hAnsi="Times New Roman"/>
          <w:b/>
          <w:i w:val="false"/>
          <w:color w:val="000000"/>
          <w:sz w:val="22"/>
        </w:rPr>
        <w:t xml:space="preserve">Barbershop 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barbershop license shall begin on July 1 of each even-numbered year and end on June 30 of the next even-numbered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21.12(2)</w:t>
      </w:r>
      <w:r>
        <w:rPr>
          <w:rFonts w:ascii="Times New Roman" w:hAnsi="Times New Roman"/>
          <w:b w:val="false"/>
          <w:i w:val="false"/>
          <w:color w:val="000000"/>
          <w:sz w:val="22"/>
        </w:rPr>
        <w:t> </w:t>
      </w:r>
      <w:r>
        <w:rPr>
          <w:rFonts w:ascii="Times New Roman" w:hAnsi="Times New Roman"/>
          <w:b w:val="false"/>
          <w:i w:val="false"/>
          <w:color w:val="000000"/>
          <w:sz w:val="22"/>
        </w:rPr>
        <w:t>Failure to receive the renewal application from the board shall not relieve the barbershop of the obligation to pay the biennial renewal fee on or before the renewal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21.12(3)</w:t>
      </w:r>
      <w:r>
        <w:rPr>
          <w:rFonts w:ascii="Times New Roman" w:hAnsi="Times New Roman"/>
          <w:b w:val="false"/>
          <w:i w:val="false"/>
          <w:color w:val="000000"/>
          <w:sz w:val="22"/>
        </w:rPr>
        <w:t> </w:t>
      </w:r>
      <w:r>
        <w:rPr>
          <w:rFonts w:ascii="Times New Roman" w:hAnsi="Times New Roman"/>
          <w:b w:val="false"/>
          <w:i w:val="false"/>
          <w:color w:val="000000"/>
          <w:sz w:val="22"/>
        </w:rPr>
        <w:t>The completed application and renewal fee shall be submitted to the board office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barbershop shall be in full compliance with this chapter and </w:t>
      </w:r>
      <w:hyperlink r:id="rId24">
        <w:r>
          <w:rPr>
            <w:rStyle w:val="Hyperlink"/>
            <w:rFonts w:ascii="Times New Roman" w:hAnsi="Times New Roman"/>
            <w:b w:val="false"/>
            <w:i w:val="false"/>
            <w:color w:val="000000"/>
            <w:sz w:val="22"/>
          </w:rPr>
          <w:t>645—Chapter 22</w:t>
        </w:r>
      </w:hyperlink>
      <w:r>
        <w:rPr>
          <w:rFonts w:ascii="Times New Roman" w:hAnsi="Times New Roman"/>
          <w:b w:val="false"/>
          <w:i w:val="false"/>
          <w:color w:val="000000"/>
          <w:sz w:val="22"/>
        </w:rPr>
        <w:t xml:space="preserve"> to be eligible for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21.12(5)</w:t>
      </w:r>
      <w:r>
        <w:rPr>
          <w:rFonts w:ascii="Times New Roman" w:hAnsi="Times New Roman"/>
          <w:b w:val="false"/>
          <w:i w:val="false"/>
          <w:color w:val="000000"/>
          <w:sz w:val="22"/>
        </w:rPr>
        <w:t> </w:t>
      </w:r>
      <w:r>
        <w:rPr>
          <w:rFonts w:ascii="Times New Roman" w:hAnsi="Times New Roman"/>
          <w:b w:val="false"/>
          <w:i w:val="false"/>
          <w:color w:val="000000"/>
          <w:sz w:val="22"/>
        </w:rPr>
        <w:t>A barbershop that is issued an initial license within six months prior to the renewal date will not be required to renew the license until the next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21.12(6)</w:t>
      </w:r>
      <w:r>
        <w:rPr>
          <w:rFonts w:ascii="Times New Roman" w:hAnsi="Times New Roman"/>
          <w:b w:val="false"/>
          <w:i w:val="false"/>
          <w:color w:val="000000"/>
          <w:sz w:val="22"/>
        </w:rPr>
        <w:t> </w:t>
      </w:r>
      <w:r>
        <w:rPr>
          <w:rFonts w:ascii="Times New Roman" w:hAnsi="Times New Roman"/>
          <w:b w:val="false"/>
          <w:i w:val="false"/>
          <w:color w:val="000000"/>
          <w:sz w:val="22"/>
        </w:rPr>
        <w:t>Barbershop license late renewal. If the renewal fee and renewal application are received within 30 days after the license renewal expiration date, the late fee for failure to renew before expiration shall be charged.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21.12(7)</w:t>
      </w:r>
      <w:r>
        <w:rPr>
          <w:rFonts w:ascii="Times New Roman" w:hAnsi="Times New Roman"/>
          <w:b w:val="false"/>
          <w:i w:val="false"/>
          <w:color w:val="000000"/>
          <w:sz w:val="22"/>
        </w:rPr>
        <w:t> </w:t>
      </w:r>
      <w:r>
        <w:rPr>
          <w:rFonts w:ascii="Times New Roman" w:hAnsi="Times New Roman"/>
          <w:b w:val="false"/>
          <w:i w:val="false"/>
          <w:color w:val="000000"/>
          <w:sz w:val="22"/>
        </w:rPr>
        <w:t>Inactive barbershop license. If the renewal application and fee are not postmarked within 30 days after the license expiration date, the barbershop license is inactive. To reactivate a barbershop license, the reactivation application and fee shall be submitted to the board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7578B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1680C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i w:val="false"/>
          <w:color w:val="000000"/>
          <w:sz w:val="16"/>
        </w:rPr>
        <w:t>ARC 5754C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645—21.13</w:t>
      </w:r>
      <w:r>
        <w:rPr>
          <w:rFonts w:ascii="Times New Roman" w:hAnsi="Times New Roman"/>
          <w:b w:val="false"/>
          <w:i w:val="false"/>
          <w:color w:val="000000"/>
          <w:sz w:val="22"/>
        </w:rPr>
        <w:t xml:space="preserve"> to </w:t>
      </w:r>
      <w:r>
        <w:rPr>
          <w:rFonts w:ascii="Times New Roman" w:hAnsi="Times New Roman"/>
          <w:b/>
          <w:i w:val="false"/>
          <w:color w:val="000000"/>
          <w:sz w:val="22"/>
        </w:rPr>
        <w:t>21.15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645—21.16</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21.16(1)</w:t>
      </w:r>
      <w:r>
        <w:rPr>
          <w:rFonts w:ascii="Times New Roman" w:hAnsi="Times New Roman"/>
          <w:b w:val="false"/>
          <w:i w:val="false"/>
          <w:color w:val="000000"/>
          <w:sz w:val="22"/>
        </w:rPr>
        <w:t> </w:t>
      </w:r>
      <w:r>
        <w:rPr>
          <w:rFonts w:ascii="Times New Roman" w:hAnsi="Times New Roman"/>
          <w:b w:val="false"/>
          <w:i w:val="false"/>
          <w:color w:val="000000"/>
          <w:sz w:val="22"/>
        </w:rPr>
        <w:t>Submit a reactivation application on a form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21.16(2)</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that is due as specified in </w:t>
      </w:r>
      <w:hyperlink r:id="rId25">
        <w:r>
          <w:rPr>
            <w:rStyle w:val="Hyperlink"/>
            <w:rFonts w:ascii="Times New Roman" w:hAnsi="Times New Roman"/>
            <w:b w:val="false"/>
            <w:i w:val="false"/>
            <w:color w:val="000000"/>
            <w:sz w:val="22"/>
          </w:rPr>
          <w:t>645—subrule 5.2(10)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 barber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The applicant must also disclose any public or pending complaints against the applicant in any other jurisdiction.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completion of three hours of continuing education that meet the continuing education standards defined in rule </w:t>
      </w:r>
      <w:hyperlink r:id="rId26">
        <w:r>
          <w:rPr>
            <w:rStyle w:val="Hyperlink"/>
            <w:rFonts w:ascii="Times New Roman" w:hAnsi="Times New Roman"/>
            <w:b w:val="false"/>
            <w:i w:val="false"/>
            <w:color w:val="000000"/>
            <w:sz w:val="22"/>
          </w:rPr>
          <w:t>645—24.3</w:t>
        </w:r>
      </w:hyperlink>
      <w:r>
        <w:rPr>
          <w:rFonts w:ascii="Times New Roman" w:hAnsi="Times New Roman"/>
          <w:b w:val="false"/>
          <w:i w:val="false"/>
          <w:color w:val="000000"/>
          <w:sz w:val="22"/>
        </w:rPr>
        <w:t xml:space="preserve">(158,272C) within two years of application for reactivation; or verification of active practice, consisting of a minimum of 2,080 hours, in another state or jurisdiction during the two years preceding an application for reactivation.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The applicant must also disclose any public or pending complaints against the applicant in any other jurisdiction.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completion of three hours of continuing education that meet the continuing education standards defined in rule </w:t>
      </w:r>
      <w:hyperlink r:id="rId27">
        <w:r>
          <w:rPr>
            <w:rStyle w:val="Hyperlink"/>
            <w:rFonts w:ascii="Times New Roman" w:hAnsi="Times New Roman"/>
            <w:b w:val="false"/>
            <w:i w:val="false"/>
            <w:color w:val="000000"/>
            <w:sz w:val="22"/>
          </w:rPr>
          <w:t>645—24.3</w:t>
        </w:r>
      </w:hyperlink>
      <w:r>
        <w:rPr>
          <w:rFonts w:ascii="Times New Roman" w:hAnsi="Times New Roman"/>
          <w:b w:val="false"/>
          <w:i w:val="false"/>
          <w:color w:val="000000"/>
          <w:sz w:val="22"/>
        </w:rPr>
        <w:t>(158,272C) within two years of application for reactivation; or verification of active practice, consisting of a minimum of 2,080 hours, in another state or jurisdiction during the two years preceding an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21.16(4)</w:t>
      </w:r>
      <w:r>
        <w:rPr>
          <w:rFonts w:ascii="Times New Roman" w:hAnsi="Times New Roman"/>
          <w:b w:val="false"/>
          <w:i w:val="false"/>
          <w:color w:val="000000"/>
          <w:sz w:val="22"/>
        </w:rPr>
        <w:t> </w:t>
      </w:r>
      <w:r>
        <w:rPr>
          <w:rFonts w:ascii="Times New Roman" w:hAnsi="Times New Roman"/>
          <w:b w:val="false"/>
          <w:i w:val="false"/>
          <w:color w:val="000000"/>
          <w:sz w:val="22"/>
        </w:rPr>
        <w:t>Licensees who are barber instructors shall obtain an additional four hours of continuing education in teaching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21.16(5)</w:t>
      </w:r>
      <w:r>
        <w:rPr>
          <w:rFonts w:ascii="Times New Roman" w:hAnsi="Times New Roman"/>
          <w:b w:val="false"/>
          <w:i w:val="false"/>
          <w:color w:val="000000"/>
          <w:sz w:val="22"/>
        </w:rPr>
        <w:t> </w:t>
      </w:r>
      <w:r>
        <w:rPr>
          <w:rFonts w:ascii="Times New Roman" w:hAnsi="Times New Roman"/>
          <w:b w:val="false"/>
          <w:i w:val="false"/>
          <w:color w:val="000000"/>
          <w:sz w:val="22"/>
        </w:rPr>
        <w:t>Submit a sworn statement of previous barbering practice from an employer or professional associate, detailing places and dates of employment and verifying that the applicant has practiced barbering at least 2,080 hours or taught as the equivalent of a full-time faculty member for at least one of the immediately preceding years during the last two-year time period. Sole proprietors may submit the sworn statement on their own behalf.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7578B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8349B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 xml:space="preserve">; </w:t>
      </w:r>
      <w:r>
        <w:rPr>
          <w:rFonts w:ascii="Times New Roman" w:hAnsi="Times New Roman"/>
          <w:b/>
          <w:i w:val="false"/>
          <w:color w:val="000000"/>
          <w:sz w:val="16"/>
        </w:rPr>
        <w:t>ARC 2722C</w:t>
      </w:r>
      <w:r>
        <w:rPr>
          <w:rFonts w:ascii="Times New Roman" w:hAnsi="Times New Roman"/>
          <w:b w:val="false"/>
          <w:i w:val="false"/>
          <w:color w:val="000000"/>
          <w:sz w:val="16"/>
        </w:rPr>
        <w:t>, IAB 9/28/16, effective 11/2/16</w:t>
      </w:r>
      <w:r>
        <w:rPr>
          <w:rFonts w:ascii="Times New Roman" w:hAnsi="Times New Roman"/>
          <w:b w:val="false"/>
          <w:i w:val="false"/>
          <w:color w:val="000000"/>
          <w:sz w:val="16"/>
        </w:rPr>
        <w:t xml:space="preserve">; </w:t>
      </w:r>
      <w:r>
        <w:rPr>
          <w:rFonts w:ascii="Times New Roman" w:hAnsi="Times New Roman"/>
          <w:b/>
          <w:i w:val="false"/>
          <w:color w:val="000000"/>
          <w:sz w:val="16"/>
        </w:rPr>
        <w:t>ARC 6898C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i w:val="false"/>
          <w:color w:val="000000"/>
          <w:sz w:val="16"/>
        </w:rPr>
        <w:t>ARC 6983C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645—21.17</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Reactivation of a barbershop license.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21.17(1)</w:t>
      </w:r>
      <w:r>
        <w:rPr>
          <w:rFonts w:ascii="Times New Roman" w:hAnsi="Times New Roman"/>
          <w:b w:val="false"/>
          <w:i w:val="false"/>
          <w:color w:val="000000"/>
          <w:sz w:val="22"/>
        </w:rPr>
        <w:t> </w:t>
      </w:r>
      <w:r>
        <w:rPr>
          <w:rFonts w:ascii="Times New Roman" w:hAnsi="Times New Roman"/>
          <w:b w:val="false"/>
          <w:i w:val="false"/>
          <w:color w:val="000000"/>
          <w:sz w:val="22"/>
        </w:rPr>
        <w:t>Submit a reactivation application on a form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21.17(2)</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that is due as specified in </w:t>
      </w:r>
      <w:hyperlink r:id="rId28">
        <w:r>
          <w:rPr>
            <w:rStyle w:val="Hyperlink"/>
            <w:rFonts w:ascii="Times New Roman" w:hAnsi="Times New Roman"/>
            <w:b w:val="false"/>
            <w:i w:val="false"/>
            <w:color w:val="000000"/>
            <w:sz w:val="22"/>
          </w:rPr>
          <w:t>645—subrule 5.2(11)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21.17(3)</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requirements for sanitary conditions established in </w:t>
      </w:r>
      <w:hyperlink r:id="rId29">
        <w:r>
          <w:rPr>
            <w:rStyle w:val="Hyperlink"/>
            <w:rFonts w:ascii="Times New Roman" w:hAnsi="Times New Roman"/>
            <w:b w:val="false"/>
            <w:i w:val="false"/>
            <w:color w:val="000000"/>
            <w:sz w:val="22"/>
          </w:rPr>
          <w:t>645—Chapter 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7578B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6983C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645—21.18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w:t>
      </w:r>
      <w:hyperlink r:id="rId30">
        <w:r>
          <w:rPr>
            <w:rStyle w:val="Hyperlink"/>
            <w:rFonts w:ascii="Times New Roman" w:hAnsi="Times New Roman"/>
            <w:b w:val="false"/>
            <w:i w:val="false"/>
            <w:color w:val="000000"/>
            <w:sz w:val="22"/>
          </w:rPr>
          <w:t>645—11.31(272C)</w:t>
        </w:r>
      </w:hyperlink>
      <w:r>
        <w:rPr>
          <w:rFonts w:ascii="Times New Roman" w:hAnsi="Times New Roman"/>
          <w:b w:val="false"/>
          <w:i w:val="false"/>
          <w:color w:val="000000"/>
          <w:sz w:val="22"/>
        </w:rPr>
        <w:t xml:space="preserve"> and must apply for and be granted reactivation of the license in accordance with </w:t>
      </w:r>
      <w:hyperlink r:id="rId31">
        <w:r>
          <w:rPr>
            <w:rStyle w:val="Hyperlink"/>
            <w:rFonts w:ascii="Times New Roman" w:hAnsi="Times New Roman"/>
            <w:b w:val="false"/>
            <w:i w:val="false"/>
            <w:color w:val="000000"/>
            <w:sz w:val="22"/>
          </w:rPr>
          <w:t>645—21.16(17A,147,272C)</w:t>
        </w:r>
      </w:hyperlink>
      <w:r>
        <w:rPr>
          <w:rFonts w:ascii="Times New Roman" w:hAnsi="Times New Roman"/>
          <w:b w:val="false"/>
          <w:i w:val="false"/>
          <w:color w:val="000000"/>
          <w:sz w:val="22"/>
        </w:rPr>
        <w:t xml:space="preserve"> prior to practicing as a barber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7578B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645—21.19</w:t>
      </w:r>
      <w:r>
        <w:rPr>
          <w:rFonts w:ascii="Times New Roman" w:hAnsi="Times New Roman"/>
          <w:b/>
          <w:i w:val="false"/>
          <w:color w:val="000000"/>
          <w:sz w:val="22"/>
        </w:rPr>
        <w:t xml:space="preserve">(158) </w:t>
      </w:r>
      <w:r>
        <w:rPr>
          <w:rFonts w:ascii="Times New Roman" w:hAnsi="Times New Roman"/>
          <w:b/>
          <w:i w:val="false"/>
          <w:color w:val="000000"/>
          <w:sz w:val="22"/>
        </w:rPr>
        <w:t xml:space="preserve">Mobile barbershops. </w:t>
      </w:r>
      <w:r>
        <w:rPr>
          <w:rFonts w:ascii="Times New Roman" w:hAnsi="Times New Roman"/>
          <w:b w:val="false"/>
          <w:i w:val="false"/>
          <w:color w:val="000000"/>
          <w:sz w:val="22"/>
        </w:rPr>
        <w:t>A mobile home, motor home, trailer, or other recreational vehicle may be used as a mobile barbershop if it complies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shall possess a current mobile barbershop license issued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21.19(2)</w:t>
      </w:r>
      <w:r>
        <w:rPr>
          <w:rFonts w:ascii="Times New Roman" w:hAnsi="Times New Roman"/>
          <w:b w:val="false"/>
          <w:i w:val="false"/>
          <w:color w:val="000000"/>
          <w:sz w:val="22"/>
        </w:rPr>
        <w:t> </w:t>
      </w:r>
      <w:r>
        <w:rPr>
          <w:rFonts w:ascii="Times New Roman" w:hAnsi="Times New Roman"/>
          <w:b w:val="false"/>
          <w:i w:val="false"/>
          <w:color w:val="000000"/>
          <w:sz w:val="22"/>
        </w:rPr>
        <w:t>The owner shall complete a board-approved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21.19(3)</w:t>
      </w:r>
      <w:r>
        <w:rPr>
          <w:rFonts w:ascii="Times New Roman" w:hAnsi="Times New Roman"/>
          <w:b w:val="false"/>
          <w:i w:val="false"/>
          <w:color w:val="000000"/>
          <w:sz w:val="22"/>
        </w:rPr>
        <w:t> </w:t>
      </w:r>
      <w:r>
        <w:rPr>
          <w:rFonts w:ascii="Times New Roman" w:hAnsi="Times New Roman"/>
          <w:b w:val="false"/>
          <w:i w:val="false"/>
          <w:color w:val="000000"/>
          <w:sz w:val="22"/>
        </w:rPr>
        <w:t>The mobile barbershop’s owner’s telephone number, email address, and permanent address must be included on the mobile barbershop’s application for licensure and must be updated and accurate.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21.19(4)</w:t>
      </w:r>
      <w:r>
        <w:rPr>
          <w:rFonts w:ascii="Times New Roman" w:hAnsi="Times New Roman"/>
          <w:b w:val="false"/>
          <w:i w:val="false"/>
          <w:color w:val="000000"/>
          <w:sz w:val="22"/>
        </w:rPr>
        <w:t> </w:t>
      </w:r>
      <w:r>
        <w:rPr>
          <w:rFonts w:ascii="Times New Roman" w:hAnsi="Times New Roman"/>
          <w:b w:val="false"/>
          <w:i w:val="false"/>
          <w:color w:val="000000"/>
          <w:sz w:val="22"/>
        </w:rPr>
        <w:t>No service may be performed on a client in a moving vehicle. Services shall be performed in a mobile barbershop that is parked in a legal parking spot.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21.19(5)</w:t>
      </w:r>
      <w:r>
        <w:rPr>
          <w:rFonts w:ascii="Times New Roman" w:hAnsi="Times New Roman"/>
          <w:b w:val="false"/>
          <w:i w:val="false"/>
          <w:color w:val="000000"/>
          <w:sz w:val="22"/>
        </w:rPr>
        <w:t> </w:t>
      </w:r>
      <w:r>
        <w:rPr>
          <w:rFonts w:ascii="Times New Roman" w:hAnsi="Times New Roman"/>
          <w:b w:val="false"/>
          <w:i w:val="false"/>
          <w:color w:val="000000"/>
          <w:sz w:val="22"/>
        </w:rPr>
        <w:t>Mobile barbershops must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supply of hot and cold water;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Adequate 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floor surface in the service area that is nonabsorbent and easily cleanable;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Work surfaces that are easily cleaned;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Cabinets secured with safety catches wherein all chemicals shall be stored when the vehicle is moving;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first-aid kit that includes adhesive dressing, gauze and antiseptic, tape, triple antibiotics, eyewash, and gloves.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21.19(6)</w:t>
      </w:r>
      <w:r>
        <w:rPr>
          <w:rFonts w:ascii="Times New Roman" w:hAnsi="Times New Roman"/>
          <w:b w:val="false"/>
          <w:i w:val="false"/>
          <w:color w:val="000000"/>
          <w:sz w:val="22"/>
        </w:rPr>
        <w:t> </w:t>
      </w:r>
      <w:r>
        <w:rPr>
          <w:rFonts w:ascii="Times New Roman" w:hAnsi="Times New Roman"/>
          <w:b w:val="false"/>
          <w:i w:val="false"/>
          <w:color w:val="000000"/>
          <w:sz w:val="22"/>
        </w:rPr>
        <w:t xml:space="preserve">Mobile barbershops must comply with all rules in </w:t>
      </w:r>
      <w:hyperlink r:id="rId32">
        <w:r>
          <w:rPr>
            <w:rStyle w:val="Hyperlink"/>
            <w:rFonts w:ascii="Times New Roman" w:hAnsi="Times New Roman"/>
            <w:b w:val="false"/>
            <w:i w:val="false"/>
            <w:color w:val="000000"/>
            <w:sz w:val="22"/>
          </w:rPr>
          <w:t>645—Chapter 22</w:t>
        </w:r>
      </w:hyperlink>
      <w:r>
        <w:rPr>
          <w:rFonts w:ascii="Times New Roman" w:hAnsi="Times New Roman"/>
          <w:b w:val="false"/>
          <w:i w:val="false"/>
          <w:color w:val="000000"/>
          <w:sz w:val="22"/>
        </w:rPr>
        <w:t xml:space="preserve">, Infection Control for Barbershops and Barber Schools, except rules </w:t>
      </w:r>
      <w:hyperlink r:id="rId33">
        <w:r>
          <w:rPr>
            <w:rStyle w:val="Hyperlink"/>
            <w:rFonts w:ascii="Times New Roman" w:hAnsi="Times New Roman"/>
            <w:b w:val="false"/>
            <w:i w:val="false"/>
            <w:color w:val="000000"/>
            <w:sz w:val="22"/>
          </w:rPr>
          <w:t>645—22.5</w:t>
        </w:r>
      </w:hyperlink>
      <w:r>
        <w:rPr>
          <w:rFonts w:ascii="Times New Roman" w:hAnsi="Times New Roman"/>
          <w:b w:val="false"/>
          <w:i w:val="false"/>
          <w:color w:val="000000"/>
          <w:sz w:val="22"/>
        </w:rPr>
        <w:t xml:space="preserve">(158) through </w:t>
      </w:r>
      <w:hyperlink r:id="rId34">
        <w:r>
          <w:rPr>
            <w:rStyle w:val="Hyperlink"/>
            <w:rFonts w:ascii="Times New Roman" w:hAnsi="Times New Roman"/>
            <w:b w:val="false"/>
            <w:i w:val="false"/>
            <w:color w:val="000000"/>
            <w:sz w:val="22"/>
          </w:rPr>
          <w:t>645—22.7</w:t>
        </w:r>
      </w:hyperlink>
      <w:r>
        <w:rPr>
          <w:rFonts w:ascii="Times New Roman" w:hAnsi="Times New Roman"/>
          <w:b w:val="false"/>
          <w:i w:val="false"/>
          <w:color w:val="000000"/>
          <w:sz w:val="22"/>
        </w:rPr>
        <w:t>(158).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5686C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158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7/11/67]</w:t>
      </w:r>
    </w:p>
    <w:p>
      <w:pPr>
        <w:spacing w:before="0" w:after="0"/>
        <w:ind w:left="120"/>
        <w:jc w:val="center"/>
      </w:pPr>
      <w:r>
        <w:rPr>
          <w:rFonts w:ascii="Times New Roman" w:hAnsi="Times New Roman"/>
          <w:b w:val="false"/>
          <w:i w:val="false"/>
          <w:color w:val="000000"/>
          <w:sz w:val="21"/>
        </w:rPr>
        <w:t>[Filed 8/5/77, Notice 6/1/77—published 8/24/77, effective 10/1/77]</w:t>
      </w:r>
    </w:p>
    <w:p>
      <w:pPr>
        <w:spacing w:before="0" w:after="0"/>
        <w:ind w:left="120"/>
        <w:jc w:val="center"/>
      </w:pPr>
      <w:r>
        <w:rPr>
          <w:rFonts w:ascii="Times New Roman" w:hAnsi="Times New Roman"/>
          <w:b w:val="false"/>
          <w:i w:val="false"/>
          <w:color w:val="000000"/>
          <w:sz w:val="21"/>
        </w:rPr>
        <w:t>[Filed 4/28/78, Notice 11/30/77—published 5/17/78, effective 6/21/78]</w:t>
      </w:r>
    </w:p>
    <w:p>
      <w:pPr>
        <w:spacing w:before="0" w:after="0"/>
        <w:ind w:left="120"/>
        <w:jc w:val="center"/>
      </w:pPr>
      <w:r>
        <w:rPr>
          <w:rFonts w:ascii="Times New Roman" w:hAnsi="Times New Roman"/>
          <w:b w:val="false"/>
          <w:i w:val="false"/>
          <w:color w:val="000000"/>
          <w:sz w:val="21"/>
        </w:rPr>
        <w:t>[Filed 1/18/79, Notice 10/18/78—published 2/7/79, effective 4/1/79]</w:t>
      </w:r>
    </w:p>
    <w:p>
      <w:pPr>
        <w:spacing w:before="0" w:after="0"/>
        <w:ind w:left="120"/>
        <w:jc w:val="center"/>
      </w:pPr>
      <w:r>
        <w:rPr>
          <w:rFonts w:ascii="Times New Roman" w:hAnsi="Times New Roman"/>
          <w:b w:val="false"/>
          <w:i w:val="false"/>
          <w:color w:val="000000"/>
          <w:sz w:val="21"/>
        </w:rPr>
        <w:t>[Filed 4/24/79, Notice 3/7/79—published 5/16/79, effective 7/1/79]</w:t>
      </w:r>
    </w:p>
    <w:p>
      <w:pPr>
        <w:spacing w:before="0" w:after="0"/>
        <w:ind w:left="120"/>
        <w:jc w:val="center"/>
      </w:pPr>
      <w:r>
        <w:rPr>
          <w:rFonts w:ascii="Times New Roman" w:hAnsi="Times New Roman"/>
          <w:b w:val="false"/>
          <w:i w:val="false"/>
          <w:color w:val="000000"/>
          <w:sz w:val="21"/>
        </w:rPr>
        <w:t>[Filed 5/5/80, Notice 2/20/80—published 5/28/80, effective 7/7/80]</w:t>
      </w:r>
    </w:p>
    <w:p>
      <w:pPr>
        <w:spacing w:before="0" w:after="0"/>
        <w:ind w:left="120"/>
        <w:jc w:val="center"/>
      </w:pPr>
      <w:r>
        <w:rPr>
          <w:rFonts w:ascii="Times New Roman" w:hAnsi="Times New Roman"/>
          <w:b w:val="false"/>
          <w:i w:val="false"/>
          <w:color w:val="000000"/>
          <w:sz w:val="21"/>
        </w:rPr>
        <w:t>[Filed 11/4/80, Notice 9/3/80—published 11/26/80, effective 1/1/81]</w:t>
      </w:r>
    </w:p>
    <w:p>
      <w:pPr>
        <w:spacing w:before="0" w:after="0"/>
        <w:ind w:left="120"/>
        <w:jc w:val="center"/>
      </w:pPr>
      <w:r>
        <w:rPr>
          <w:rFonts w:ascii="Times New Roman" w:hAnsi="Times New Roman"/>
          <w:b w:val="false"/>
          <w:i w:val="false"/>
          <w:color w:val="000000"/>
          <w:sz w:val="21"/>
        </w:rPr>
        <w:t>[Filed 5/22/81, Notice 2/18/81—published 6/10/81, effective 7/17/81]</w:t>
      </w:r>
    </w:p>
    <w:p>
      <w:pPr>
        <w:spacing w:before="0" w:after="0"/>
        <w:ind w:left="120"/>
        <w:jc w:val="center"/>
      </w:pPr>
      <w:r>
        <w:rPr>
          <w:rFonts w:ascii="Times New Roman" w:hAnsi="Times New Roman"/>
          <w:b w:val="false"/>
          <w:i w:val="false"/>
          <w:color w:val="000000"/>
          <w:sz w:val="21"/>
        </w:rPr>
        <w:t>[Filed 2/12/82, Notice 12/23/81—published 3/3/82, effective 4/8/82]</w:t>
      </w:r>
    </w:p>
    <w:p>
      <w:pPr>
        <w:spacing w:before="0" w:after="0"/>
        <w:ind w:left="120"/>
        <w:jc w:val="center"/>
      </w:pPr>
      <w:r>
        <w:rPr>
          <w:rFonts w:ascii="Times New Roman" w:hAnsi="Times New Roman"/>
          <w:b w:val="false"/>
          <w:i w:val="false"/>
          <w:color w:val="000000"/>
          <w:sz w:val="21"/>
        </w:rPr>
        <w:t>[Filed 10/6/83, Notice 8/17/83—published 10/26/83, effective 11/30/83]</w:t>
      </w:r>
    </w:p>
    <w:p>
      <w:pPr>
        <w:spacing w:before="0" w:after="0"/>
        <w:ind w:left="120"/>
        <w:jc w:val="center"/>
      </w:pPr>
      <w:r>
        <w:rPr>
          <w:rFonts w:ascii="Times New Roman" w:hAnsi="Times New Roman"/>
          <w:b w:val="false"/>
          <w:i w:val="false"/>
          <w:color w:val="000000"/>
          <w:sz w:val="21"/>
        </w:rPr>
        <w:t>[Filed 10/6/83, Notice 8/3/83—published 10/26/83, effective 11/30/83]</w:t>
      </w:r>
    </w:p>
    <w:p>
      <w:pPr>
        <w:spacing w:before="0" w:after="0"/>
        <w:ind w:left="120"/>
        <w:jc w:val="center"/>
      </w:pPr>
      <w:r>
        <w:rPr>
          <w:rFonts w:ascii="Times New Roman" w:hAnsi="Times New Roman"/>
          <w:b w:val="false"/>
          <w:i w:val="false"/>
          <w:color w:val="000000"/>
          <w:sz w:val="21"/>
        </w:rPr>
        <w:t>[Filed 7/27/84, Notice 5/23/84—published 8/15/84, effective 9/19/84]</w:t>
      </w:r>
    </w:p>
    <w:p>
      <w:pPr>
        <w:spacing w:before="0" w:after="0"/>
        <w:ind w:left="120"/>
        <w:jc w:val="center"/>
      </w:pPr>
      <w:r>
        <w:rPr>
          <w:rFonts w:ascii="Times New Roman" w:hAnsi="Times New Roman"/>
          <w:b w:val="false"/>
          <w:i w:val="false"/>
          <w:color w:val="000000"/>
          <w:sz w:val="21"/>
        </w:rPr>
        <w:t>[Filed emergency 8/31/84—published 9/26/84, effective 8/31/84]</w:t>
      </w:r>
    </w:p>
    <w:p>
      <w:pPr>
        <w:spacing w:before="0" w:after="0"/>
        <w:ind w:left="120"/>
        <w:jc w:val="center"/>
      </w:pPr>
      <w:r>
        <w:rPr>
          <w:rFonts w:ascii="Times New Roman" w:hAnsi="Times New Roman"/>
          <w:b w:val="false"/>
          <w:i w:val="false"/>
          <w:color w:val="000000"/>
          <w:sz w:val="21"/>
        </w:rPr>
        <w:t>[Filed 11/15/84, Notice 9/12/84—published 12/5/84, effective 1/9/85]</w:t>
      </w:r>
    </w:p>
    <w:p>
      <w:pPr>
        <w:spacing w:before="0" w:after="0"/>
        <w:ind w:left="120"/>
        <w:jc w:val="center"/>
      </w:pPr>
      <w:r>
        <w:rPr>
          <w:rFonts w:ascii="Times New Roman" w:hAnsi="Times New Roman"/>
          <w:b w:val="false"/>
          <w:i w:val="false"/>
          <w:color w:val="000000"/>
          <w:sz w:val="21"/>
        </w:rPr>
        <w:t>[Filed 9/4/85, Notice 5/22/85—published 9/25/85, effective 10/30/85]</w:t>
      </w:r>
    </w:p>
    <w:p>
      <w:pPr>
        <w:spacing w:before="0" w:after="0"/>
        <w:ind w:left="120"/>
        <w:jc w:val="center"/>
      </w:pPr>
      <w:r>
        <w:rPr>
          <w:rFonts w:ascii="Times New Roman" w:hAnsi="Times New Roman"/>
          <w:b w:val="false"/>
          <w:i w:val="false"/>
          <w:color w:val="000000"/>
          <w:sz w:val="21"/>
        </w:rPr>
        <w:t>[Filed 9/5/85, Notice 7/17/85—published 9/25/85, effective 10/30/85]</w:t>
      </w:r>
    </w:p>
    <w:p>
      <w:pPr>
        <w:spacing w:before="0" w:after="0"/>
        <w:ind w:left="120"/>
        <w:jc w:val="center"/>
      </w:pPr>
      <w:r>
        <w:rPr>
          <w:rFonts w:ascii="Times New Roman" w:hAnsi="Times New Roman"/>
          <w:b w:val="false"/>
          <w:i w:val="false"/>
          <w:color w:val="000000"/>
          <w:sz w:val="21"/>
        </w:rPr>
        <w:t>[Filed 2/20/86, Notice 1/15/86—published 3/12/86, effective 4/16/86]</w:t>
      </w:r>
    </w:p>
    <w:p>
      <w:pPr>
        <w:spacing w:before="0" w:after="0"/>
        <w:ind w:left="120"/>
        <w:jc w:val="center"/>
      </w:pPr>
      <w:r>
        <w:rPr>
          <w:rFonts w:ascii="Times New Roman" w:hAnsi="Times New Roman"/>
          <w:b w:val="false"/>
          <w:i w:val="false"/>
          <w:color w:val="000000"/>
          <w:sz w:val="21"/>
        </w:rPr>
        <w:t>[Filed 8/22/86, Notice 6/18/86—published 9/10/86, effective 11/5/86]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11/17/88, Notice 8/24/88—published 12/14/88, effective 1/18/89]</w:t>
      </w:r>
    </w:p>
    <w:p>
      <w:pPr>
        <w:spacing w:before="0" w:after="0"/>
        <w:ind w:left="120"/>
        <w:jc w:val="center"/>
      </w:pPr>
      <w:r>
        <w:rPr>
          <w:rFonts w:ascii="Times New Roman" w:hAnsi="Times New Roman"/>
          <w:b w:val="false"/>
          <w:i w:val="false"/>
          <w:color w:val="000000"/>
          <w:sz w:val="21"/>
        </w:rPr>
        <w:t>[Filed 8/3/90, Notice 5/30/90—published 8/22/90, effective 9/26/90]</w:t>
      </w:r>
    </w:p>
    <w:p>
      <w:pPr>
        <w:spacing w:before="0" w:after="0"/>
        <w:ind w:left="120"/>
        <w:jc w:val="center"/>
      </w:pPr>
      <w:r>
        <w:rPr>
          <w:rFonts w:ascii="Times New Roman" w:hAnsi="Times New Roman"/>
          <w:b w:val="false"/>
          <w:i w:val="false"/>
          <w:color w:val="000000"/>
          <w:sz w:val="21"/>
        </w:rPr>
        <w:t>[Filed 11/9/90, Notice 8/22/90—published 11/28/90, effective 1/2/91]</w:t>
      </w:r>
    </w:p>
    <w:p>
      <w:pPr>
        <w:spacing w:before="0" w:after="0"/>
        <w:ind w:left="120"/>
        <w:jc w:val="center"/>
      </w:pPr>
      <w:r>
        <w:rPr>
          <w:rFonts w:ascii="Times New Roman" w:hAnsi="Times New Roman"/>
          <w:b w:val="false"/>
          <w:i w:val="false"/>
          <w:color w:val="000000"/>
          <w:sz w:val="21"/>
        </w:rPr>
        <w:t>[Filed 8/1/91, Notice 6/12/91—published 8/21/91, effective 9/25/91]</w:t>
      </w:r>
    </w:p>
    <w:p>
      <w:pPr>
        <w:spacing w:before="0" w:after="0"/>
        <w:ind w:left="120"/>
        <w:jc w:val="center"/>
      </w:pPr>
      <w:r>
        <w:rPr>
          <w:rFonts w:ascii="Times New Roman" w:hAnsi="Times New Roman"/>
          <w:b w:val="false"/>
          <w:i w:val="false"/>
          <w:color w:val="000000"/>
          <w:sz w:val="21"/>
        </w:rPr>
        <w:t>[Filed 11/8/91, Notice 9/4/91—published 11/27/91, effective 1/1/92]</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7/31/92, Notice 4/15/92—published 8/19/92, effective 10/1/92]</w:t>
      </w:r>
    </w:p>
    <w:p>
      <w:pPr>
        <w:spacing w:before="0" w:after="0"/>
        <w:ind w:left="120"/>
        <w:jc w:val="center"/>
      </w:pPr>
      <w:r>
        <w:rPr>
          <w:rFonts w:ascii="Times New Roman" w:hAnsi="Times New Roman"/>
          <w:b w:val="false"/>
          <w:i w:val="false"/>
          <w:color w:val="000000"/>
          <w:sz w:val="21"/>
        </w:rPr>
        <w:t>[Filed 11/16/92, Notice 7/8/92—published 12/9/92, effective 1/13/93]</w:t>
      </w:r>
    </w:p>
    <w:p>
      <w:pPr>
        <w:spacing w:before="0" w:after="0"/>
        <w:ind w:left="120"/>
        <w:jc w:val="center"/>
      </w:pPr>
      <w:r>
        <w:rPr>
          <w:rFonts w:ascii="Times New Roman" w:hAnsi="Times New Roman"/>
          <w:b w:val="false"/>
          <w:i w:val="false"/>
          <w:color w:val="000000"/>
          <w:sz w:val="21"/>
        </w:rPr>
        <w:t>[Filed 1/29/93, Notice 10/14/92—published 2/17/93, effective 4/7/93]</w:t>
      </w:r>
    </w:p>
    <w:p>
      <w:pPr>
        <w:spacing w:before="0" w:after="0"/>
        <w:ind w:left="120"/>
        <w:jc w:val="center"/>
      </w:pPr>
      <w:r>
        <w:rPr>
          <w:rFonts w:ascii="Times New Roman" w:hAnsi="Times New Roman"/>
          <w:b w:val="false"/>
          <w:i w:val="false"/>
          <w:color w:val="000000"/>
          <w:sz w:val="21"/>
        </w:rPr>
        <w:t>[Filed 1/29/93, Notice 12/9/92—published 2/17/93, effective 4/7/93]</w:t>
      </w:r>
    </w:p>
    <w:p>
      <w:pPr>
        <w:spacing w:before="0" w:after="0"/>
        <w:ind w:left="120"/>
        <w:jc w:val="center"/>
      </w:pPr>
      <w:r>
        <w:rPr>
          <w:rFonts w:ascii="Times New Roman" w:hAnsi="Times New Roman"/>
          <w:b w:val="false"/>
          <w:i w:val="false"/>
          <w:color w:val="000000"/>
          <w:sz w:val="21"/>
        </w:rPr>
        <w:t>[Filed 5/2/97, Notice 3/12/97—published 5/21/97, effective 6/25/97]</w:t>
      </w:r>
    </w:p>
    <w:p>
      <w:pPr>
        <w:spacing w:before="0" w:after="0"/>
        <w:ind w:left="120"/>
        <w:jc w:val="center"/>
      </w:pPr>
      <w:r>
        <w:rPr>
          <w:rFonts w:ascii="Times New Roman" w:hAnsi="Times New Roman"/>
          <w:b w:val="false"/>
          <w:i w:val="false"/>
          <w:color w:val="000000"/>
          <w:sz w:val="21"/>
        </w:rPr>
        <w:t>[Filed 5/15/98, Notice 2/25/98—published 6/3/98, effective 7/8/98]</w:t>
      </w:r>
    </w:p>
    <w:p>
      <w:pPr>
        <w:spacing w:before="0" w:after="0"/>
        <w:ind w:left="120"/>
        <w:jc w:val="center"/>
      </w:pPr>
      <w:r>
        <w:rPr>
          <w:rFonts w:ascii="Times New Roman" w:hAnsi="Times New Roman"/>
          <w:b w:val="false"/>
          <w:i w:val="false"/>
          <w:color w:val="000000"/>
          <w:sz w:val="21"/>
        </w:rPr>
        <w:t>[Filed 2/3/99, Notice 11/18/98—published 2/24/99, effective 3/31/99]</w:t>
      </w:r>
    </w:p>
    <w:p>
      <w:pPr>
        <w:spacing w:before="0" w:after="0"/>
        <w:ind w:left="120"/>
        <w:jc w:val="center"/>
      </w:pPr>
      <w:r>
        <w:rPr>
          <w:rFonts w:ascii="Times New Roman" w:hAnsi="Times New Roman"/>
          <w:b w:val="false"/>
          <w:i w:val="false"/>
          <w:color w:val="000000"/>
          <w:sz w:val="21"/>
        </w:rPr>
        <w:t>[Filed 5/28/99, Notice 4/7/99—published 6/16/99, effective 7/21/99]</w:t>
      </w:r>
    </w:p>
    <w:p>
      <w:pPr>
        <w:spacing w:before="0" w:after="0"/>
        <w:ind w:left="120"/>
        <w:jc w:val="center"/>
      </w:pPr>
      <w:r>
        <w:rPr>
          <w:rFonts w:ascii="Times New Roman" w:hAnsi="Times New Roman"/>
          <w:b w:val="false"/>
          <w:i w:val="false"/>
          <w:color w:val="000000"/>
          <w:sz w:val="21"/>
        </w:rPr>
        <w:t>[Filed 11/24/99, Notice 8/11/99—published 12/15/99, effective 1/19/00]</w:t>
      </w:r>
    </w:p>
    <w:p>
      <w:pPr>
        <w:spacing w:before="0" w:after="0"/>
        <w:ind w:left="120"/>
        <w:jc w:val="center"/>
      </w:pPr>
      <w:r>
        <w:rPr>
          <w:rFonts w:ascii="Times New Roman" w:hAnsi="Times New Roman"/>
          <w:b w:val="false"/>
          <w:i w:val="false"/>
          <w:color w:val="000000"/>
          <w:sz w:val="21"/>
        </w:rPr>
        <w:t>[Filed 11/9/00, Notice 8/23/00—published 11/29/00, effective 1/3/01]</w:t>
      </w:r>
    </w:p>
    <w:p>
      <w:pPr>
        <w:spacing w:before="0" w:after="0"/>
        <w:ind w:left="120"/>
        <w:jc w:val="center"/>
      </w:pPr>
      <w:r>
        <w:rPr>
          <w:rFonts w:ascii="Times New Roman" w:hAnsi="Times New Roman"/>
          <w:b w:val="false"/>
          <w:i w:val="false"/>
          <w:color w:val="000000"/>
          <w:sz w:val="21"/>
        </w:rPr>
        <w:t>[Filed 2/1/02, Notice 11/28/01—published 2/20/02, effective 3/27/02]</w:t>
      </w:r>
    </w:p>
    <w:p>
      <w:pPr>
        <w:spacing w:before="0" w:after="0"/>
        <w:ind w:left="120"/>
        <w:jc w:val="center"/>
      </w:pPr>
      <w:r>
        <w:rPr>
          <w:rFonts w:ascii="Times New Roman" w:hAnsi="Times New Roman"/>
          <w:b w:val="false"/>
          <w:i w:val="false"/>
          <w:color w:val="000000"/>
          <w:sz w:val="21"/>
        </w:rPr>
        <w:t>[Filed 1/30/03, Notice 11/27/02—published 2/19/03, effective 3/26/03]</w:t>
      </w:r>
    </w:p>
    <w:p>
      <w:pPr>
        <w:spacing w:before="0" w:after="0"/>
        <w:ind w:left="120"/>
        <w:jc w:val="center"/>
      </w:pPr>
      <w:r>
        <w:rPr>
          <w:rFonts w:ascii="Times New Roman" w:hAnsi="Times New Roman"/>
          <w:b w:val="false"/>
          <w:i w:val="false"/>
          <w:color w:val="000000"/>
          <w:sz w:val="21"/>
        </w:rPr>
        <w:t>[Filed 11/6/03, Notice 8/20/03—published 11/26/03, effective 12/31/03]</w:t>
      </w:r>
    </w:p>
    <w:p>
      <w:pPr>
        <w:spacing w:before="0" w:after="0"/>
        <w:ind w:left="120"/>
        <w:jc w:val="center"/>
      </w:pPr>
      <w:r>
        <w:rPr>
          <w:rFonts w:ascii="Times New Roman" w:hAnsi="Times New Roman"/>
          <w:b w:val="false"/>
          <w:i w:val="false"/>
          <w:color w:val="000000"/>
          <w:sz w:val="21"/>
        </w:rPr>
        <w:t>[Filed 7/26/05, Notice 5/25/05—published 8/17/05, effective 9/21/05]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2/1/06, Notice 11/23/05—published 3/1/06, effective 4/5/06]</w:t>
      </w:r>
    </w:p>
    <w:p>
      <w:pPr>
        <w:spacing w:before="0" w:after="0"/>
        <w:ind w:left="120"/>
        <w:jc w:val="center"/>
      </w:pPr>
      <w:r>
        <w:rPr>
          <w:rFonts w:ascii="Times New Roman" w:hAnsi="Times New Roman"/>
          <w:b w:val="false"/>
          <w:i w:val="false"/>
          <w:color w:val="000000"/>
          <w:sz w:val="21"/>
        </w:rPr>
        <w:t>[Filed 7/26/06, Notice 5/24/06—published 8/16/06, effective 9/20/06]</w:t>
      </w:r>
    </w:p>
    <w:p>
      <w:pPr>
        <w:spacing w:before="0" w:after="0"/>
        <w:ind w:left="120"/>
        <w:jc w:val="center"/>
      </w:pPr>
      <w:r>
        <w:rPr>
          <w:rFonts w:ascii="Times New Roman" w:hAnsi="Times New Roman"/>
          <w:b w:val="false"/>
          <w:i w:val="false"/>
          <w:color w:val="000000"/>
          <w:sz w:val="21"/>
        </w:rPr>
        <w:t>[Filed 8/1/07, Notice 5/23/07—published 8/29/07, effective 10/3/07]</w:t>
      </w:r>
    </w:p>
    <w:p>
      <w:pPr>
        <w:spacing w:before="0" w:after="0"/>
        <w:ind w:left="120"/>
        <w:jc w:val="center"/>
      </w:pPr>
      <w:r>
        <w:rPr>
          <w:rFonts w:ascii="Times New Roman" w:hAnsi="Times New Roman"/>
          <w:b w:val="false"/>
          <w:i w:val="false"/>
          <w:color w:val="000000"/>
          <w:sz w:val="21"/>
        </w:rPr>
        <w:t>[Filed ARC 7578B</w:t>
      </w:r>
      <w:r>
        <w:rPr>
          <w:rFonts w:ascii="Times New Roman" w:hAnsi="Times New Roman"/>
          <w:b w:val="false"/>
          <w:i w:val="false"/>
          <w:color w:val="000000"/>
          <w:sz w:val="21"/>
        </w:rPr>
        <w:t xml:space="preserve"> (Notice ARC 7401B, IAB 12/3/08)</w:t>
      </w:r>
      <w:r>
        <w:rPr>
          <w:rFonts w:ascii="Times New Roman" w:hAnsi="Times New Roman"/>
          <w:b w:val="false"/>
          <w:i w:val="false"/>
          <w:color w:val="000000"/>
          <w:sz w:val="21"/>
        </w:rPr>
        <w:t>, IAB 2/25/09, effective 4/1/09]</w:t>
      </w:r>
    </w:p>
    <w:p>
      <w:pPr>
        <w:spacing w:before="0" w:after="0"/>
        <w:ind w:left="120"/>
        <w:jc w:val="center"/>
      </w:pPr>
      <w:r>
        <w:rPr>
          <w:rFonts w:ascii="Times New Roman" w:hAnsi="Times New Roman"/>
          <w:b w:val="false"/>
          <w:i w:val="false"/>
          <w:color w:val="000000"/>
          <w:sz w:val="21"/>
        </w:rPr>
        <w:t>[Filed ARC 8349B</w:t>
      </w:r>
      <w:r>
        <w:rPr>
          <w:rFonts w:ascii="Times New Roman" w:hAnsi="Times New Roman"/>
          <w:b w:val="false"/>
          <w:i w:val="false"/>
          <w:color w:val="000000"/>
          <w:sz w:val="21"/>
        </w:rPr>
        <w:t xml:space="preserve"> (Notice ARC 8085B, IAB 8/26/09)</w:t>
      </w:r>
      <w:r>
        <w:rPr>
          <w:rFonts w:ascii="Times New Roman" w:hAnsi="Times New Roman"/>
          <w:b w:val="false"/>
          <w:i w:val="false"/>
          <w:color w:val="000000"/>
          <w:sz w:val="21"/>
        </w:rPr>
        <w:t>, IAB 12/2/09, effective 1/6/10]</w:t>
      </w:r>
    </w:p>
    <w:p>
      <w:pPr>
        <w:spacing w:before="0" w:after="0"/>
        <w:ind w:left="120"/>
        <w:jc w:val="center"/>
      </w:pPr>
      <w:r>
        <w:rPr>
          <w:rFonts w:ascii="Times New Roman" w:hAnsi="Times New Roman"/>
          <w:b w:val="false"/>
          <w:i w:val="false"/>
          <w:color w:val="000000"/>
          <w:sz w:val="21"/>
        </w:rPr>
        <w:t>[Filed ARC 1680C</w:t>
      </w:r>
      <w:r>
        <w:rPr>
          <w:rFonts w:ascii="Times New Roman" w:hAnsi="Times New Roman"/>
          <w:b w:val="false"/>
          <w:i w:val="false"/>
          <w:color w:val="000000"/>
          <w:sz w:val="21"/>
        </w:rPr>
        <w:t xml:space="preserve"> (Notice ARC 1584C, IAB 8/20/14)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2722C</w:t>
      </w:r>
      <w:r>
        <w:rPr>
          <w:rFonts w:ascii="Times New Roman" w:hAnsi="Times New Roman"/>
          <w:b w:val="false"/>
          <w:i w:val="false"/>
          <w:color w:val="000000"/>
          <w:sz w:val="21"/>
        </w:rPr>
        <w:t xml:space="preserve"> (Notice ARC 2670C, IAB 8/3/16)</w:t>
      </w:r>
      <w:r>
        <w:rPr>
          <w:rFonts w:ascii="Times New Roman" w:hAnsi="Times New Roman"/>
          <w:b w:val="false"/>
          <w:i w:val="false"/>
          <w:color w:val="000000"/>
          <w:sz w:val="21"/>
        </w:rPr>
        <w:t>, IAB 9/28/16, effective 11/2/16]</w:t>
      </w:r>
    </w:p>
    <w:p>
      <w:pPr>
        <w:spacing w:before="0" w:after="0"/>
        <w:ind w:left="120"/>
        <w:jc w:val="center"/>
      </w:pPr>
      <w:r>
        <w:rPr>
          <w:rFonts w:ascii="Times New Roman" w:hAnsi="Times New Roman"/>
          <w:b w:val="false"/>
          <w:i w:val="false"/>
          <w:color w:val="000000"/>
          <w:sz w:val="21"/>
        </w:rPr>
        <w:t>[Filed ARC 5039C</w:t>
      </w:r>
      <w:r>
        <w:rPr>
          <w:rFonts w:ascii="Times New Roman" w:hAnsi="Times New Roman"/>
          <w:b w:val="false"/>
          <w:i w:val="false"/>
          <w:color w:val="000000"/>
          <w:sz w:val="21"/>
        </w:rPr>
        <w:t xml:space="preserve"> (Notice ARC 4860C, IAB 1/15/20)</w:t>
      </w:r>
      <w:r>
        <w:rPr>
          <w:rFonts w:ascii="Times New Roman" w:hAnsi="Times New Roman"/>
          <w:b w:val="false"/>
          <w:i w:val="false"/>
          <w:color w:val="000000"/>
          <w:sz w:val="21"/>
        </w:rPr>
        <w:t>, IAB 5/6/20, effective 6/10/20]</w:t>
      </w:r>
    </w:p>
    <w:p>
      <w:pPr>
        <w:spacing w:before="0" w:after="0"/>
        <w:ind w:left="120"/>
        <w:jc w:val="center"/>
      </w:pPr>
      <w:r>
        <w:rPr>
          <w:rFonts w:ascii="Times New Roman" w:hAnsi="Times New Roman"/>
          <w:b w:val="false"/>
          <w:i w:val="false"/>
          <w:color w:val="000000"/>
          <w:sz w:val="21"/>
        </w:rPr>
        <w:t>[Filed ARC 5686C</w:t>
      </w:r>
      <w:r>
        <w:rPr>
          <w:rFonts w:ascii="Times New Roman" w:hAnsi="Times New Roman"/>
          <w:b w:val="false"/>
          <w:i w:val="false"/>
          <w:color w:val="000000"/>
          <w:sz w:val="21"/>
        </w:rPr>
        <w:t xml:space="preserve"> (Notice ARC 5557C, IAB 4/7/21)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5754C</w:t>
      </w:r>
      <w:r>
        <w:rPr>
          <w:rFonts w:ascii="Times New Roman" w:hAnsi="Times New Roman"/>
          <w:b w:val="false"/>
          <w:i w:val="false"/>
          <w:color w:val="000000"/>
          <w:sz w:val="21"/>
        </w:rPr>
        <w:t xml:space="preserve"> (Notice ARC 5450C,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6396C</w:t>
      </w:r>
      <w:r>
        <w:rPr>
          <w:rFonts w:ascii="Times New Roman" w:hAnsi="Times New Roman"/>
          <w:b w:val="false"/>
          <w:i w:val="false"/>
          <w:color w:val="000000"/>
          <w:sz w:val="21"/>
        </w:rPr>
        <w:t xml:space="preserve"> (Notice ARC 6259C, IAB 3/23/22)</w:t>
      </w:r>
      <w:r>
        <w:rPr>
          <w:rFonts w:ascii="Times New Roman" w:hAnsi="Times New Roman"/>
          <w:b w:val="false"/>
          <w:i w:val="false"/>
          <w:color w:val="000000"/>
          <w:sz w:val="21"/>
        </w:rPr>
        <w:t>, IAB 6/29/22, effective 8/3/22]</w:t>
      </w:r>
    </w:p>
    <w:p>
      <w:pPr>
        <w:spacing w:before="0" w:after="0"/>
        <w:ind w:left="120"/>
        <w:jc w:val="center"/>
      </w:pPr>
      <w:r>
        <w:rPr>
          <w:rFonts w:ascii="Times New Roman" w:hAnsi="Times New Roman"/>
          <w:b w:val="false"/>
          <w:i w:val="false"/>
          <w:color w:val="000000"/>
          <w:sz w:val="21"/>
        </w:rPr>
        <w:t>[Filed ARC 6898C</w:t>
      </w:r>
      <w:r>
        <w:rPr>
          <w:rFonts w:ascii="Times New Roman" w:hAnsi="Times New Roman"/>
          <w:b w:val="false"/>
          <w:i w:val="false"/>
          <w:color w:val="000000"/>
          <w:sz w:val="21"/>
        </w:rPr>
        <w:t xml:space="preserve"> (Notice ARC 6459C, IAB 8/10/22)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[Filed ARC 6983C</w:t>
      </w:r>
      <w:r>
        <w:rPr>
          <w:rFonts w:ascii="Times New Roman" w:hAnsi="Times New Roman"/>
          <w:b w:val="false"/>
          <w:i w:val="false"/>
          <w:color w:val="000000"/>
          <w:sz w:val="21"/>
        </w:rPr>
        <w:t xml:space="preserve"> (Notice ARC 6814C, IAB 1/11/23)</w:t>
      </w:r>
      <w:r>
        <w:rPr>
          <w:rFonts w:ascii="Times New Roman" w:hAnsi="Times New Roman"/>
          <w:b w:val="false"/>
          <w:i w:val="false"/>
          <w:color w:val="000000"/>
          <w:sz w:val="21"/>
        </w:rPr>
        <w:t>, IAB 4/19/23, effective 5/24/23]</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See Public Health Department[641], IAB</w:t>
      </w:r>
    </w:p>
    <w:p>
      <w:pPr>
        <w:pBdr>
          <w:bottom w:space="2"/>
        </w:pBdr>
        <w:spacing w:before="0" w:after="0"/>
        <w:ind w:left="120"/>
        <w:jc w:val="both"/>
      </w:pPr>
      <w:r>
        <w:rPr>
          <w:rFonts w:ascii="Times New Roman" w:hAnsi="Times New Roman"/>
          <w:b w:val="false"/>
          <w:i w:val="false"/>
          <w:color w:val="000000"/>
          <w:sz w:val="22"/>
        </w:rPr>
        <w:t>Effective date of rule 567—20.10(158) delayed 70 days by the Administrative Rules Review Committee at its meeting held December 11, 1991; delayed until adjournment of the 1992 General Assembly at the Committee’s meeting held February 3, 1992.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16.pdf" Type="http://schemas.openxmlformats.org/officeDocument/2006/relationships/hyperlink" Id="rId5"/>
    <Relationship TargetMode="External" Target="https://www.legis.iowa.gov/docs/iac/rule/645.21.16.pdf" Type="http://schemas.openxmlformats.org/officeDocument/2006/relationships/hyperlink" Id="rId6"/>
    <Relationship TargetMode="External" Target="https://www.legis.iowa.gov/docs/iac/rule/645.11.31.pdf" Type="http://schemas.openxmlformats.org/officeDocument/2006/relationships/hyperlink" Id="rId7"/>
    <Relationship TargetMode="External" Target="http://www.idph.iowa.gov/licensure" Type="http://schemas.openxmlformats.org/officeDocument/2006/relationships/hyperlink" Id="rId8"/>
    <Relationship TargetMode="External" Target="https://www.legis.iowa.gov/docs/iac/rule/645.23.8.pdf" Type="http://schemas.openxmlformats.org/officeDocument/2006/relationships/hyperlink" Id="rId9"/>
    <Relationship TargetMode="External" Target="http://www.ierf.org" Type="http://schemas.openxmlformats.org/officeDocument/2006/relationships/hyperlink" Id="rId10"/>
    <Relationship TargetMode="External" Target="mailto:info@ierf.org" Type="http://schemas.openxmlformats.org/officeDocument/2006/relationships/hyperlink" Id="rId11"/>
    <Relationship TargetMode="External" Target="http://www.wes.org" Type="http://schemas.openxmlformats.org/officeDocument/2006/relationships/hyperlink" Id="rId12"/>
    <Relationship TargetMode="External" Target="https://www.legis.iowa.gov/docs/iac/rule/645.21.2.pdf" Type="http://schemas.openxmlformats.org/officeDocument/2006/relationships/hyperlink" Id="rId13"/>
    <Relationship TargetMode="External" Target="https://www.legis.iowa.gov/docs/iac/rule/645.5.2.pdf" Type="http://schemas.openxmlformats.org/officeDocument/2006/relationships/hyperlink" Id="rId14"/>
    <Relationship TargetMode="External" Target="https://www.legis.iowa.gov/docs/iac/rule/645.19.1.pdf" Type="http://schemas.openxmlformats.org/officeDocument/2006/relationships/hyperlink" Id="rId15"/>
    <Relationship TargetMode="External" Target="https://www.legis.iowa.gov/docs/iac/rule/645.24.2.pdf" Type="http://schemas.openxmlformats.org/officeDocument/2006/relationships/hyperlink" Id="rId16"/>
    <Relationship TargetMode="External" Target="https://www.legis.iowa.gov/docs/iac/rule/645.5.2.pdf" Type="http://schemas.openxmlformats.org/officeDocument/2006/relationships/hyperlink" Id="rId17"/>
    <Relationship TargetMode="External" Target="https://www.legis.iowa.gov/docs/ico/chapter/147.83.pdf" Type="http://schemas.openxmlformats.org/officeDocument/2006/relationships/hyperlink" Id="rId18"/>
    <Relationship TargetMode="External" Target="https://www.legis.iowa.gov/docs/ico/chapter/147.86.pdf" Type="http://schemas.openxmlformats.org/officeDocument/2006/relationships/hyperlink" Id="rId19"/>
    <Relationship TargetMode="External" Target="http://www.idph.iowa.gov/licensure" Type="http://schemas.openxmlformats.org/officeDocument/2006/relationships/hyperlink" Id="rId20"/>
    <Relationship TargetMode="External" Target="https://www.legis.iowa.gov/docs/iac/chapter/645.22.pdf" Type="http://schemas.openxmlformats.org/officeDocument/2006/relationships/hyperlink" Id="rId21"/>
    <Relationship TargetMode="External" Target="https://www.legis.iowa.gov/docs/iac/rule/645.5.2.pdf" Type="http://schemas.openxmlformats.org/officeDocument/2006/relationships/hyperlink" Id="rId22"/>
    <Relationship TargetMode="External" Target="https://www.legis.iowa.gov/docs/iac/rule/645.5.2.pdf" Type="http://schemas.openxmlformats.org/officeDocument/2006/relationships/hyperlink" Id="rId23"/>
    <Relationship TargetMode="External" Target="https://www.legis.iowa.gov/docs/iac/chapter/645.22.pdf" Type="http://schemas.openxmlformats.org/officeDocument/2006/relationships/hyperlink" Id="rId24"/>
    <Relationship TargetMode="External" Target="https://www.legis.iowa.gov/docs/iac/rule/645.5.2.pdf" Type="http://schemas.openxmlformats.org/officeDocument/2006/relationships/hyperlink" Id="rId25"/>
    <Relationship TargetMode="External" Target="https://www.legis.iowa.gov/docs/iac/rule/645.24.3.pdf" Type="http://schemas.openxmlformats.org/officeDocument/2006/relationships/hyperlink" Id="rId26"/>
    <Relationship TargetMode="External" Target="https://www.legis.iowa.gov/docs/iac/rule/645.24.3.pdf" Type="http://schemas.openxmlformats.org/officeDocument/2006/relationships/hyperlink" Id="rId27"/>
    <Relationship TargetMode="External" Target="https://www.legis.iowa.gov/docs/iac/rule/645.5.2.pdf" Type="http://schemas.openxmlformats.org/officeDocument/2006/relationships/hyperlink" Id="rId28"/>
    <Relationship TargetMode="External" Target="https://www.legis.iowa.gov/docs/iac/chapter/645.22.pdf" Type="http://schemas.openxmlformats.org/officeDocument/2006/relationships/hyperlink" Id="rId29"/>
    <Relationship TargetMode="External" Target="https://www.legis.iowa.gov/docs/iac/rule/645.11.31.pdf" Type="http://schemas.openxmlformats.org/officeDocument/2006/relationships/hyperlink" Id="rId30"/>
    <Relationship TargetMode="External" Target="https://www.legis.iowa.gov/docs/iac/rule/645.21.16.pdf" Type="http://schemas.openxmlformats.org/officeDocument/2006/relationships/hyperlink" Id="rId31"/>
    <Relationship TargetMode="External" Target="https://www.legis.iowa.gov/docs/iac/chapter/645.22.pdf" Type="http://schemas.openxmlformats.org/officeDocument/2006/relationships/hyperlink" Id="rId32"/>
    <Relationship TargetMode="External" Target="https://www.legis.iowa.gov/docs/iac/rule/645.22.5.pdf" Type="http://schemas.openxmlformats.org/officeDocument/2006/relationships/hyperlink" Id="rId33"/>
    <Relationship TargetMode="External" Target="https://www.legis.iowa.gov/docs/iac/rule/645.22.7.pdf" Type="http://schemas.openxmlformats.org/officeDocument/2006/relationships/hyperlink" Id="rId34"/>
    <Relationship TargetMode="External" Target="https://www.legis.iowa.gov/docs/ico/chapter/272C.pdf" Type="http://schemas.openxmlformats.org/officeDocument/2006/relationships/hyperlink" Id="rId35"/>
    <Relationship TargetMode="External" Target="https://www.legis.iowa.gov/docs/ico/chapter/158.pdf" Type="http://schemas.openxmlformats.org/officeDocument/2006/relationships/hyperlink"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