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IOWA FATALITY REVIEW COMMITTEE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641—92.1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child fatality review committee is to determine whether the department of human services and others involved with the case of child abuse responded appropriately.</w:t>
      </w:r>
    </w:p>
    <w:p>
      <w:pPr>
        <w:spacing w:before="0" w:after="0"/>
        <w:ind w:left="120"/>
        <w:jc w:val="both"/>
      </w:pPr>
      <w:r>
        <w:rPr>
          <w:rFonts w:ascii="Times New Roman" w:hAnsi="Times New Roman"/>
          <w:b/>
          <w:i w:val="false"/>
          <w:color w:val="000000"/>
          <w:sz w:val="22"/>
        </w:rPr>
        <w:t>641—92.2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w:t>
      </w:r>
      <w:r>
        <w:rPr>
          <w:rFonts w:ascii="Times New Roman" w:hAnsi="Times New Roman"/>
          <w:b w:val="false"/>
          <w:i w:val="false"/>
          <w:color w:val="000000"/>
          <w:sz w:val="22"/>
        </w:rPr>
        <w:t xml:space="preserve">means an assessment performed in accordance with Iowa Code section </w:t>
      </w:r>
      <w:hyperlink r:id="rId5">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fatality” </w:t>
      </w:r>
      <w:r>
        <w:rPr>
          <w:rFonts w:ascii="Times New Roman" w:hAnsi="Times New Roman"/>
          <w:b w:val="false"/>
          <w:i w:val="false"/>
          <w:color w:val="000000"/>
          <w:sz w:val="22"/>
        </w:rPr>
        <w:t>means the death of a child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Iowa child fatality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“Multidisciplinary team” </w:t>
      </w:r>
      <w:r>
        <w:rPr>
          <w:rFonts w:ascii="Times New Roman" w:hAnsi="Times New Roman"/>
          <w:b w:val="false"/>
          <w:i w:val="false"/>
          <w:color w:val="000000"/>
          <w:sz w:val="22"/>
        </w:rPr>
        <w:t xml:space="preserve">means the group of individuals as defined in Iowa Code section </w:t>
      </w:r>
      <w:hyperlink r:id="rId6">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9355B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641—92.3</w:t>
      </w:r>
      <w:r>
        <w:rPr>
          <w:rFonts w:ascii="Times New Roman" w:hAnsi="Times New Roman"/>
          <w:b/>
          <w:i w:val="false"/>
          <w:color w:val="000000"/>
          <w:sz w:val="22"/>
        </w:rPr>
        <w:t xml:space="preserve">(135) </w:t>
      </w:r>
      <w:r>
        <w:rPr>
          <w:rFonts w:ascii="Times New Roman" w:hAnsi="Times New Roman"/>
          <w:b/>
          <w:i w:val="false"/>
          <w:color w:val="000000"/>
          <w:sz w:val="22"/>
        </w:rPr>
        <w:t xml:space="preserve">Committee. </w:t>
      </w:r>
      <w:r>
        <w:rPr>
          <w:rFonts w:ascii="Times New Roman" w:hAnsi="Times New Roman"/>
          <w:b w:val="false"/>
          <w:i w:val="false"/>
          <w:color w:val="000000"/>
          <w:sz w:val="22"/>
        </w:rPr>
        <w:t>The committee is an ad hoc committee appointed by the state medical examiner on a case-by-case basis. The committee shall include a medical examiner, a pediatrician who is knowledgeable concerning deaths of children, and a person involved in law enforcement. The committee may also consult with individuals with specific child death expertise as necessary to perform the duties and responsibilities of the committee. The office of the state medical examiner shall provide staffing and administrative support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9355B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641—92.4</w:t>
      </w:r>
      <w:r>
        <w:rPr>
          <w:rFonts w:ascii="Times New Roman" w:hAnsi="Times New Roman"/>
          <w:b/>
          <w:i w:val="false"/>
          <w:color w:val="000000"/>
          <w:sz w:val="22"/>
        </w:rPr>
        <w:t xml:space="preserve">(135) </w:t>
      </w:r>
      <w:r>
        <w:rPr>
          <w:rFonts w:ascii="Times New Roman" w:hAnsi="Times New Roman"/>
          <w:b/>
          <w:i w:val="false"/>
          <w:color w:val="000000"/>
          <w:sz w:val="22"/>
        </w:rPr>
        <w:t xml:space="preserve">Formation of the committee. </w:t>
      </w:r>
      <w:r>
        <w:rPr>
          <w:rFonts w:ascii="Times New Roman" w:hAnsi="Times New Roman"/>
          <w:b w:val="false"/>
          <w:i w:val="false"/>
          <w:color w:val="000000"/>
          <w:sz w:val="22"/>
        </w:rPr>
        <w:t xml:space="preserve">The state medical examiner may appoint a committee to review the death of a child under the age of 18 upon the request from a member of the legislature or the governor in cases in which a report of suspected child abuse had been filed with the department of human services pursuant to Iowa Code section </w:t>
      </w:r>
      <w:hyperlink r:id="rId7">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xml:space="preserve"> within two years preceding the child’s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9355B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641—92.5</w:t>
      </w:r>
      <w:r>
        <w:rPr>
          <w:rFonts w:ascii="Times New Roman" w:hAnsi="Times New Roman"/>
          <w:b/>
          <w:i w:val="false"/>
          <w:color w:val="000000"/>
          <w:sz w:val="22"/>
        </w:rPr>
        <w:t xml:space="preserve">(135) </w:t>
      </w:r>
      <w:r>
        <w:rPr>
          <w:rFonts w:ascii="Times New Roman" w:hAnsi="Times New Roman"/>
          <w:b/>
          <w:i w:val="false"/>
          <w:color w:val="000000"/>
          <w:sz w:val="22"/>
        </w:rPr>
        <w:t xml:space="preserve">Committee protocol for review. </w:t>
      </w:r>
      <w:r>
        <w:rPr>
          <w:rFonts w:ascii="Times New Roman" w:hAnsi="Times New Roman"/>
          <w:b w:val="false"/>
          <w:i w:val="false"/>
          <w:color w:val="000000"/>
          <w:sz w:val="22"/>
        </w:rPr>
        <w:t>In determining whether the department of human services and others involved with the case of child abuse responded appropriately, the committee shall review records relevant to the child’s death, which may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reports of suspected child abuse on the identified child made to the department of human services pursuant to Iowa Code section </w:t>
      </w:r>
      <w:hyperlink r:id="rId8">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All child abuse assessments performed on the identified child in accordance with Iowa Code section </w:t>
      </w:r>
      <w:hyperlink r:id="rId9">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other department of human services records maintained on the identified child;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relevant law enforcement records which refer to the identified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relevant medical and hospital records of the identified child;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relevant court records which refer to the identified child;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Records of any multidisciplinary team which reviewed the case of the identified child;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Records of any public entity which reviewed the case of the identified child;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All relevant records maintained by a day care provider, other child care provider, preschool, elementary school, middle school, or high school which refer to the identified child.</w:t>
      </w:r>
    </w:p>
    <w:p>
      <w:pPr>
        <w:spacing w:before="0" w:after="0"/>
        <w:ind w:left="120"/>
        <w:jc w:val="both"/>
      </w:pPr>
      <w:r>
        <w:rPr>
          <w:rFonts w:ascii="Times New Roman" w:hAnsi="Times New Roman"/>
          <w:b w:val="false"/>
          <w:i w:val="false"/>
          <w:color w:val="000000"/>
          <w:sz w:val="22"/>
        </w:rPr>
        <w:t>The committee shall also consult with any multidisciplinary team that is operating in the area where the fatality occurred.</w:t>
      </w:r>
    </w:p>
    <w:p>
      <w:pPr>
        <w:spacing w:before="0" w:after="0"/>
        <w:ind w:left="120"/>
        <w:jc w:val="both"/>
      </w:pPr>
      <w:r>
        <w:rPr>
          <w:rFonts w:ascii="Times New Roman" w:hAnsi="Times New Roman"/>
          <w:b/>
          <w:i w:val="false"/>
          <w:color w:val="000000"/>
          <w:sz w:val="22"/>
        </w:rPr>
        <w:t>641—92.6</w:t>
      </w:r>
      <w:r>
        <w:rPr>
          <w:rFonts w:ascii="Times New Roman" w:hAnsi="Times New Roman"/>
          <w:b/>
          <w:i w:val="false"/>
          <w:color w:val="000000"/>
          <w:sz w:val="22"/>
        </w:rPr>
        <w:t xml:space="preserve">(135) </w:t>
      </w:r>
      <w:r>
        <w:rPr>
          <w:rFonts w:ascii="Times New Roman" w:hAnsi="Times New Roman"/>
          <w:b/>
          <w:i w:val="false"/>
          <w:color w:val="000000"/>
          <w:sz w:val="22"/>
        </w:rPr>
        <w:t xml:space="preserve">Content of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review, the state medical examiner shall submit the committee’s report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governor or the governor’s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of the senate or employee of the general assembly designated by the majority leader or minority leader of the senate;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of the house of representatives or employee of the general assembly designated by the speaker or minority leader of the house of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val="false"/>
          <w:color w:val="000000"/>
          <w:sz w:val="22"/>
        </w:rPr>
        <w:t>The committee report shall include findings concerning the case and recommendations for changes to prevent child fatalities when similar circumstances exist. The report shall include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outcomes, and results of any actions taken by the department of human services and others in regard to each report and allegation of child abuse involving the child who 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results of any review of the case performed by a multidisciplinary team, or by any other public entity that reviewed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Confirmation of the department of human services’ receipt of any report of child abuse involving the child, including confirmation as to whether or not any assessment involving the child was performed in accordance with Iowa Code section </w:t>
      </w:r>
      <w:hyperlink r:id="rId10">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the results of any assessment, a description of the most recent assessment and the services offered to the family, the services rendered to the family, and the basis for the department’s decisions concerning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92.6(3)</w:t>
      </w:r>
      <w:r>
        <w:rPr>
          <w:rFonts w:ascii="Times New Roman" w:hAnsi="Times New Roman"/>
          <w:b w:val="false"/>
          <w:i w:val="false"/>
          <w:color w:val="000000"/>
          <w:sz w:val="22"/>
        </w:rPr>
        <w:t> </w:t>
      </w:r>
      <w:r>
        <w:rPr>
          <w:rFonts w:ascii="Times New Roman" w:hAnsi="Times New Roman"/>
          <w:b w:val="false"/>
          <w:i w:val="false"/>
          <w:color w:val="000000"/>
          <w:sz w:val="22"/>
        </w:rPr>
        <w:t>If deemed appropriate by the committee, the committee may, at any point in the review, recommend to the department of human services, appropriate law enforcement agencies, and any other person involved with child protection, interventions intended to prevent harm to a child who is related to or is living in the same home as a child whose case is reviewed by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9355B</w:t>
      </w:r>
      <w:r>
        <w:rPr>
          <w:rFonts w:ascii="Times New Roman" w:hAnsi="Times New Roman"/>
          <w:b w:val="false"/>
          <w:i w:val="false"/>
          <w:color w:val="000000"/>
          <w:sz w:val="16"/>
        </w:rPr>
        <w:t>, IAB 2/9/11, effective 3/16/11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641—92.7</w:t>
      </w:r>
      <w:r>
        <w:rPr>
          <w:rFonts w:ascii="Times New Roman" w:hAnsi="Times New Roman"/>
          <w:b/>
          <w:i w:val="false"/>
          <w:color w:val="000000"/>
          <w:sz w:val="22"/>
        </w:rPr>
        <w:t xml:space="preserve">(135) </w:t>
      </w:r>
      <w:r>
        <w:rPr>
          <w:rFonts w:ascii="Times New Roman" w:hAnsi="Times New Roman"/>
          <w:b/>
          <w:i w:val="false"/>
          <w:color w:val="000000"/>
          <w:sz w:val="22"/>
        </w:rPr>
        <w:t xml:space="preserve">Consultation with county attorney. </w:t>
      </w:r>
      <w:r>
        <w:rPr>
          <w:rFonts w:ascii="Times New Roman" w:hAnsi="Times New Roman"/>
          <w:b w:val="false"/>
          <w:i w:val="false"/>
          <w:color w:val="000000"/>
          <w:sz w:val="22"/>
        </w:rPr>
        <w:t xml:space="preserve">Prior to issuing the report, the committee shall consult with the county attorney responsible for prosecution of the alleged perpetrator of the child fatality. The committee’s report shall include child abuse information associated with the case and the child but is subject to the restrictions applicable to the department of human services for release of information concerning a child fatality or near fatality in accordance with Iowa Code section </w:t>
      </w:r>
      <w:hyperlink r:id="rId11">
        <w:r>
          <w:rPr>
            <w:rStyle w:val="Hyperlink"/>
            <w:rFonts w:ascii="Times New Roman" w:hAnsi="Times New Roman"/>
            <w:b w:val="false"/>
            <w:i w:val="false"/>
            <w:color w:val="000000"/>
            <w:sz w:val="22"/>
          </w:rPr>
          <w:t>235A.15(9)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641—92.8</w:t>
      </w:r>
      <w:r>
        <w:rPr>
          <w:rFonts w:ascii="Times New Roman" w:hAnsi="Times New Roman"/>
          <w:b/>
          <w:i w:val="false"/>
          <w:color w:val="000000"/>
          <w:sz w:val="22"/>
        </w:rPr>
        <w:t xml:space="preserve">(135) </w:t>
      </w:r>
      <w:r>
        <w:rPr>
          <w:rFonts w:ascii="Times New Roman" w:hAnsi="Times New Roman"/>
          <w:b/>
          <w:i w:val="false"/>
          <w:color w:val="000000"/>
          <w:sz w:val="22"/>
        </w:rPr>
        <w:t xml:space="preserve">Supplemental report. </w:t>
      </w:r>
      <w:r>
        <w:rPr>
          <w:rFonts w:ascii="Times New Roman" w:hAnsi="Times New Roman"/>
          <w:b w:val="false"/>
          <w:i w:val="false"/>
          <w:color w:val="000000"/>
          <w:sz w:val="22"/>
        </w:rPr>
        <w:t xml:space="preserve">Following the completion of the trial of any alleged perpetrator of the child fatality and the appeal period for the granting of a new trial, the committee shall issue a supplemental report containing the information that was withheld, in accordance with rule </w:t>
      </w:r>
      <w:hyperlink r:id="rId12">
        <w:r>
          <w:rPr>
            <w:rStyle w:val="Hyperlink"/>
            <w:rFonts w:ascii="Times New Roman" w:hAnsi="Times New Roman"/>
            <w:b w:val="false"/>
            <w:i w:val="false"/>
            <w:color w:val="000000"/>
            <w:sz w:val="22"/>
          </w:rPr>
          <w:t>92.7(135)</w:t>
        </w:r>
      </w:hyperlink>
      <w:r>
        <w:rPr>
          <w:rFonts w:ascii="Times New Roman" w:hAnsi="Times New Roman"/>
          <w:b w:val="false"/>
          <w:i w:val="false"/>
          <w:color w:val="000000"/>
          <w:sz w:val="22"/>
        </w:rPr>
        <w:t xml:space="preserve">, so as not to jeopardize the prosecution or the rights of the alleged perpetrator to a fair trial as described in Iowa Code section </w:t>
      </w:r>
      <w:hyperlink r:id="rId13">
        <w:r>
          <w:rPr>
            <w:rStyle w:val="Hyperlink"/>
            <w:rFonts w:ascii="Times New Roman" w:hAnsi="Times New Roman"/>
            <w:b w:val="false"/>
            <w:i w:val="false"/>
            <w:color w:val="000000"/>
            <w:sz w:val="22"/>
          </w:rPr>
          <w:t>235A.15(9)</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210" w:after="0"/>
        <w:ind w:left="120"/>
        <w:jc w:val="both"/>
      </w:pPr>
      <w:r>
        <w:rPr>
          <w:rFonts w:ascii="Times New Roman" w:hAnsi="Times New Roman"/>
          <w:b/>
          <w:i w:val="false"/>
          <w:color w:val="000000"/>
          <w:sz w:val="22"/>
        </w:rPr>
        <w:t>641—92.9</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and disclosure of information. </w:t>
      </w:r>
      <w:r>
        <w:rPr>
          <w:rFonts w:ascii="Times New Roman" w:hAnsi="Times New Roman"/>
          <w:b w:val="false"/>
          <w:i w:val="false"/>
          <w:color w:val="000000"/>
          <w:sz w:val="22"/>
        </w:rPr>
        <w:t xml:space="preserve">The committee shall have access to patient records and other confidential information. The committee may redisseminate confidential information in the committee’s report which shall be submitted to the governor and the general assembly. For all other purposes, the committee shall maintain the confidentiality of all records which are confidential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chapter </w:t>
      </w:r>
      <w:hyperlink r:id="rId15">
        <w:r>
          <w:rPr>
            <w:rStyle w:val="Hyperlink"/>
            <w:rFonts w:ascii="Times New Roman" w:hAnsi="Times New Roman"/>
            <w:b w:val="false"/>
            <w:i w:val="false"/>
            <w:color w:val="000000"/>
            <w:sz w:val="22"/>
          </w:rPr>
          <w:t>235</w:t>
        </w:r>
      </w:hyperlink>
      <w:r>
        <w:rPr>
          <w:rFonts w:ascii="Times New Roman" w:hAnsi="Times New Roman"/>
          <w:b w:val="false"/>
          <w:i w:val="false"/>
          <w:color w:val="000000"/>
          <w:sz w:val="22"/>
        </w:rPr>
        <w:t>, or other provision of law. A person in possession or control of medical, investigative, or assessment information or other information pertaining to a child death and child abuse review shall allow the inspection and reproduction of the information by the department, upon the request of the department, to be used only in the administration and for the duties of the Iowa child fatality review committee. A person does not incur legal liability by reason of releasing information to the department as required under and in compliance with this rule.</w:t>
      </w:r>
    </w:p>
    <w:p>
      <w:pPr>
        <w:spacing w:before="0" w:after="0"/>
        <w:ind w:left="120"/>
        <w:jc w:val="both"/>
      </w:pPr>
      <w:r>
        <w:rPr>
          <w:rFonts w:ascii="Times New Roman" w:hAnsi="Times New Roman"/>
          <w:b/>
          <w:i w:val="false"/>
          <w:color w:val="000000"/>
          <w:sz w:val="22"/>
        </w:rPr>
        <w:t>641—92.10</w:t>
      </w:r>
      <w:r>
        <w:rPr>
          <w:rFonts w:ascii="Times New Roman" w:hAnsi="Times New Roman"/>
          <w:b/>
          <w:i w:val="false"/>
          <w:color w:val="000000"/>
          <w:sz w:val="22"/>
        </w:rPr>
        <w:t xml:space="preserve">(135) </w:t>
      </w:r>
      <w:r>
        <w:rPr>
          <w:rFonts w:ascii="Times New Roman" w:hAnsi="Times New Roman"/>
          <w:b/>
          <w:i w:val="false"/>
          <w:color w:val="000000"/>
          <w:sz w:val="22"/>
        </w:rPr>
        <w:t xml:space="preserve">Immunity and liability. </w:t>
      </w:r>
      <w:r>
        <w:rPr>
          <w:rFonts w:ascii="Times New Roman" w:hAnsi="Times New Roman"/>
          <w:b w:val="false"/>
          <w:i w:val="false"/>
          <w:color w:val="000000"/>
          <w:sz w:val="22"/>
        </w:rPr>
        <w:t>Review committee members are immune from any liability, civil or criminal, which might otherwise be incurred or imposed as a result of any act, omission, proceeding, decision, or determination undertaken or performed, or recommendation made as a review committee member provided that the review committee members acted in good faith and without malice in carrying out their official duties in their official capacity. A complainant bears the burden of proof in establishing malice or lack of good faith in an action brought against review committee members involving the performance of their duties and powers.</w:t>
      </w:r>
    </w:p>
    <w:p>
      <w:pPr>
        <w:spacing w:before="0" w:after="0"/>
        <w:ind w:left="120"/>
        <w:jc w:val="both"/>
      </w:pPr>
      <w:r>
        <w:rPr>
          <w:rFonts w:ascii="Times New Roman" w:hAnsi="Times New Roman"/>
          <w:b w:val="false"/>
          <w:i w:val="false"/>
          <w:color w:val="000000"/>
          <w:sz w:val="22"/>
        </w:rPr>
        <w:t>A person who releases or discloses confidential data, records, or any other type of information in violation of this chapter is guilty of a serious misdemeanor.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135.43(4)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5/25/01, Notice 1/10/01—published 6/13/01, effective 7/18/01]</w:t>
      </w:r>
    </w:p>
    <w:p>
      <w:pPr>
        <w:spacing w:before="0" w:after="0"/>
        <w:ind w:left="120"/>
        <w:jc w:val="center"/>
      </w:pPr>
      <w:r>
        <w:rPr>
          <w:rFonts w:ascii="Times New Roman" w:hAnsi="Times New Roman"/>
          <w:b w:val="false"/>
          <w:i w:val="false"/>
          <w:color w:val="000000"/>
          <w:sz w:val="21"/>
        </w:rPr>
        <w:t>[Filed ARC 9355B</w:t>
      </w:r>
      <w:r>
        <w:rPr>
          <w:rFonts w:ascii="Times New Roman" w:hAnsi="Times New Roman"/>
          <w:b w:val="false"/>
          <w:i w:val="false"/>
          <w:color w:val="000000"/>
          <w:sz w:val="21"/>
        </w:rPr>
        <w:t xml:space="preserve"> (Notice ARC 9236B, IAB 11/17/10)</w:t>
      </w:r>
      <w:r>
        <w:rPr>
          <w:rFonts w:ascii="Times New Roman" w:hAnsi="Times New Roman"/>
          <w:b w:val="false"/>
          <w:i w:val="false"/>
          <w:color w:val="000000"/>
          <w:sz w:val="21"/>
        </w:rPr>
        <w:t>, IAB 2/9/11, effective 3/16/11]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71B.pdf" Type="http://schemas.openxmlformats.org/officeDocument/2006/relationships/hyperlink" Id="rId5"/>
    <Relationship TargetMode="External" Target="https://www.legis.iowa.gov/docs/ico/chapter/235A.13.pdf" Type="http://schemas.openxmlformats.org/officeDocument/2006/relationships/hyperlink" Id="rId6"/>
    <Relationship TargetMode="External" Target="https://www.legis.iowa.gov/docs/ico/chapter/232.70.pdf" Type="http://schemas.openxmlformats.org/officeDocument/2006/relationships/hyperlink" Id="rId7"/>
    <Relationship TargetMode="External" Target="https://www.legis.iowa.gov/docs/ico/chapter/232.70.pdf" Type="http://schemas.openxmlformats.org/officeDocument/2006/relationships/hyperlink" Id="rId8"/>
    <Relationship TargetMode="External" Target="https://www.legis.iowa.gov/docs/ico/chapter/232.71B.pdf" Type="http://schemas.openxmlformats.org/officeDocument/2006/relationships/hyperlink" Id="rId9"/>
    <Relationship TargetMode="External" Target="https://www.legis.iowa.gov/docs/ico/chapter/232.71B.pdf" Type="http://schemas.openxmlformats.org/officeDocument/2006/relationships/hyperlink" Id="rId10"/>
    <Relationship TargetMode="External" Target="https://www.legis.iowa.gov/docs/ico/chapter/235A.15.pdf" Type="http://schemas.openxmlformats.org/officeDocument/2006/relationships/hyperlink" Id="rId11"/>
    <Relationship TargetMode="External" Target="https://www.legis.iowa.gov/docs/iac/rule/641.92.7.pdf" Type="http://schemas.openxmlformats.org/officeDocument/2006/relationships/hyperlink" Id="rId12"/>
    <Relationship TargetMode="External" Target="https://www.legis.iowa.gov/docs/ico/chapter/235A.15.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35.pdf" Type="http://schemas.openxmlformats.org/officeDocument/2006/relationships/hyperlink" Id="rId15"/>
    <Relationship TargetMode="External" Target="https://www.legis.iowa.gov/docs/ico/chapter/135.43.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