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w:t>
      </w:r>
    </w:p>
    <w:p>
      <w:pPr>
        <w:spacing w:before="0" w:after="0"/>
        <w:ind w:left="120"/>
        <w:jc w:val="center"/>
      </w:pPr>
      <w:r>
        <w:rPr>
          <w:rFonts w:ascii="Times New Roman" w:hAnsi="Times New Roman"/>
          <w:b w:val="false"/>
          <w:i w:val="false"/>
          <w:color w:val="000000"/>
          <w:sz w:val="21"/>
        </w:rPr>
        <w:t>CHILDHOOD LEAD POISONING</w:t>
      </w:r>
      <w:r>
        <w:br/>
      </w:r>
      <w:r>
        <w:rPr>
          <w:rFonts w:ascii="Times New Roman" w:hAnsi="Times New Roman"/>
          <w:b w:val="false"/>
          <w:i w:val="false"/>
          <w:color w:val="000000"/>
          <w:sz w:val="21"/>
        </w:rPr>
        <w:t>PREVENTION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641—72.1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 </w:t>
      </w:r>
      <w:r>
        <w:rPr>
          <w:rFonts w:ascii="Times New Roman" w:hAnsi="Times New Roman"/>
          <w:b w:val="false"/>
          <w:i w:val="false"/>
          <w:color w:val="000000"/>
          <w:sz w:val="22"/>
        </w:rPr>
        <w:t xml:space="preserve">means a program that meets the requirements of </w:t>
      </w:r>
      <w:hyperlink r:id="rId5">
        <w:r>
          <w:rPr>
            <w:rStyle w:val="Hyperlink"/>
            <w:rFonts w:ascii="Times New Roman" w:hAnsi="Times New Roman"/>
            <w:b w:val="false"/>
            <w:i w:val="false"/>
            <w:color w:val="000000"/>
            <w:sz w:val="22"/>
          </w:rPr>
          <w:t>subrule 72.2(3)</w:t>
        </w:r>
      </w:hyperlink>
      <w:r>
        <w:rPr>
          <w:rFonts w:ascii="Times New Roman" w:hAnsi="Times New Roman"/>
          <w:b w:val="false"/>
          <w:i w:val="false"/>
          <w:color w:val="000000"/>
          <w:sz w:val="22"/>
        </w:rPr>
        <w:t xml:space="preserve"> and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board” </w:t>
      </w:r>
      <w:r>
        <w:rPr>
          <w:rFonts w:ascii="Times New Roman" w:hAnsi="Times New Roman"/>
          <w:b w:val="false"/>
          <w:i w:val="false"/>
          <w:color w:val="000000"/>
          <w:sz w:val="22"/>
        </w:rPr>
        <w:t>means a county, district, or city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childhood lead poisoning prevention program” </w:t>
      </w:r>
      <w:r>
        <w:rPr>
          <w:rFonts w:ascii="Times New Roman" w:hAnsi="Times New Roman"/>
          <w:b w:val="false"/>
          <w:i w:val="false"/>
          <w:color w:val="000000"/>
          <w:sz w:val="22"/>
        </w:rPr>
        <w:t xml:space="preserve">means a program in which the services listed in </w:t>
      </w:r>
      <w:hyperlink r:id="rId6">
        <w:r>
          <w:rPr>
            <w:rStyle w:val="Hyperlink"/>
            <w:rFonts w:ascii="Times New Roman" w:hAnsi="Times New Roman"/>
            <w:b w:val="false"/>
            <w:i w:val="false"/>
            <w:color w:val="000000"/>
            <w:sz w:val="22"/>
          </w:rPr>
          <w:t>subrule 72.2(3)</w:t>
        </w:r>
      </w:hyperlink>
      <w:r>
        <w:rPr>
          <w:rFonts w:ascii="Times New Roman" w:hAnsi="Times New Roman"/>
          <w:b w:val="false"/>
          <w:i w:val="false"/>
          <w:color w:val="000000"/>
          <w:sz w:val="22"/>
        </w:rPr>
        <w:t xml:space="preserve"> are provided by agencies located in a community.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3833C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641—72.2</w:t>
      </w:r>
      <w:r>
        <w:rPr>
          <w:rFonts w:ascii="Times New Roman" w:hAnsi="Times New Roman"/>
          <w:b/>
          <w:i w:val="false"/>
          <w:color w:val="000000"/>
          <w:sz w:val="22"/>
        </w:rPr>
        <w:t xml:space="preserve">(135) </w:t>
      </w:r>
      <w:r>
        <w:rPr>
          <w:rFonts w:ascii="Times New Roman" w:hAnsi="Times New Roman"/>
          <w:b/>
          <w:i w:val="false"/>
          <w:color w:val="000000"/>
          <w:sz w:val="22"/>
        </w:rPr>
        <w:t xml:space="preserve">Approved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72.2(1)</w:t>
      </w:r>
      <w:r>
        <w:rPr>
          <w:rFonts w:ascii="Times New Roman" w:hAnsi="Times New Roman"/>
          <w:b w:val="false"/>
          <w:i w:val="false"/>
          <w:color w:val="000000"/>
          <w:sz w:val="22"/>
        </w:rPr>
        <w:t> </w:t>
      </w:r>
      <w:r>
        <w:rPr>
          <w:rFonts w:ascii="Times New Roman" w:hAnsi="Times New Roman"/>
          <w:b w:val="false"/>
          <w:i w:val="false"/>
          <w:color w:val="000000"/>
          <w:sz w:val="22"/>
        </w:rPr>
        <w:t xml:space="preserve"> A local board of health representing a geographic area with a population of at least 15,000 is eligible to apply for status as an approved program pursuant to Iowa Code section </w:t>
      </w:r>
      <w:hyperlink r:id="rId7">
        <w:r>
          <w:rPr>
            <w:rStyle w:val="Hyperlink"/>
            <w:rFonts w:ascii="Times New Roman" w:hAnsi="Times New Roman"/>
            <w:b w:val="false"/>
            <w:i w:val="false"/>
            <w:color w:val="000000"/>
            <w:sz w:val="22"/>
          </w:rPr>
          <w:t>135.104</w:t>
        </w:r>
      </w:hyperlink>
      <w:r>
        <w:rPr>
          <w:rFonts w:ascii="Times New Roman" w:hAnsi="Times New Roman"/>
          <w:b w:val="false"/>
          <w:i w:val="false"/>
          <w:color w:val="000000"/>
          <w:sz w:val="22"/>
        </w:rPr>
        <w:t xml:space="preserve">, which sets forth the eligibility requirements contained in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w:t>
      </w:r>
      <w:r>
        <w:rPr>
          <w:rFonts w:ascii="Times New Roman" w:hAnsi="Times New Roman"/>
          <w:b w:val="false"/>
          <w:i w:val="false"/>
          <w:color w:val="000000"/>
          <w:sz w:val="22"/>
        </w:rPr>
        <w:t> </w:t>
      </w:r>
      <w:r>
        <w:rPr>
          <w:rFonts w:ascii="Times New Roman" w:hAnsi="Times New Roman"/>
          <w:b w:val="false"/>
          <w:i w:val="false"/>
          <w:color w:val="000000"/>
          <w:sz w:val="22"/>
        </w:rPr>
        <w:t>A local board wishing to apply for status as an approved program shall make application to the Iowa department of public health in the format which will be made available from the Lead Poisoning Prevention Program, Iowa Department of Public Health, Lucas State Office Building, Des Moines, Iowa 50319-0075. All materials submitted as part of the application for status as an approved program are public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72.2(3)</w:t>
      </w:r>
      <w:r>
        <w:rPr>
          <w:rFonts w:ascii="Times New Roman" w:hAnsi="Times New Roman"/>
          <w:b w:val="false"/>
          <w:i w:val="false"/>
          <w:color w:val="000000"/>
          <w:sz w:val="22"/>
        </w:rPr>
        <w:t> </w:t>
      </w:r>
      <w:r>
        <w:rPr>
          <w:rFonts w:ascii="Times New Roman" w:hAnsi="Times New Roman"/>
          <w:b w:val="false"/>
          <w:i w:val="false"/>
          <w:color w:val="000000"/>
          <w:sz w:val="22"/>
        </w:rPr>
        <w:t>The program administered by a local board of health or city receiving funding for an approved childhood lead poisoning prevention grant program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public education program about lead poisoning and dangers of lead poisoning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effective outreach effort to ensure availability of services in the predicted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screening program for children, with an emphasis on children less than six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Access to laboratory services for lead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program of referral of identified children for assessment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environmental assessment of suspect dwelling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Surveillance to ensure correction of the identified hazardous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plan of intent to continue the program on a maintenance basis after the grant is discontinued.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3833C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641—72.3</w:t>
      </w:r>
      <w:r>
        <w:rPr>
          <w:rFonts w:ascii="Times New Roman" w:hAnsi="Times New Roman"/>
          <w:b/>
          <w:i w:val="false"/>
          <w:color w:val="000000"/>
          <w:sz w:val="22"/>
        </w:rPr>
        <w:t xml:space="preserve">(135) </w:t>
      </w:r>
      <w:r>
        <w:rPr>
          <w:rFonts w:ascii="Times New Roman" w:hAnsi="Times New Roman"/>
          <w:b/>
          <w:i w:val="false"/>
          <w:color w:val="000000"/>
          <w:sz w:val="22"/>
        </w:rPr>
        <w:t xml:space="preserve">Reallocation of funding. </w:t>
      </w:r>
      <w:r>
        <w:rPr>
          <w:rFonts w:ascii="Times New Roman" w:hAnsi="Times New Roman"/>
          <w:b w:val="false"/>
          <w:i w:val="false"/>
          <w:color w:val="000000"/>
          <w:sz w:val="22"/>
        </w:rPr>
        <w:t>On January 1 of each year, the department shall ask each approved program to estimate the amount of funds that the approved program has been awarded but will not use. The department may reallocate these funds to approved programs with demonstrated special needs for childhood lead poisoning prevention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3833C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641—72.4</w:t>
      </w:r>
      <w:r>
        <w:rPr>
          <w:rFonts w:ascii="Times New Roman" w:hAnsi="Times New Roman"/>
          <w:b/>
          <w:i w:val="false"/>
          <w:color w:val="000000"/>
          <w:sz w:val="22"/>
        </w:rPr>
        <w:t xml:space="preserve">(135)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w:t>
      </w:r>
      <w:r>
        <w:rPr>
          <w:rFonts w:ascii="Times New Roman" w:hAnsi="Times New Roman"/>
          <w:b w:val="false"/>
          <w:i w:val="false"/>
          <w:color w:val="000000"/>
          <w:sz w:val="22"/>
        </w:rPr>
        <w:t> </w:t>
      </w:r>
      <w:r>
        <w:rPr>
          <w:rFonts w:ascii="Times New Roman" w:hAnsi="Times New Roman"/>
          <w:b w:val="false"/>
          <w:i w:val="false"/>
          <w:color w:val="000000"/>
          <w:sz w:val="22"/>
        </w:rPr>
        <w:t>Any applicant that has timely filed an application and is aggrieved by the decision made pursuant to these rules regarding the applicant’s status as an approved program may request a reconsideration of the applicant’s proposal by filing a written request for reconsideration with the director of the Iowa department of public health. The request shall be filed within three working days of the date of notification of the decision regarding the applicant’s status as an approved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72.4(2)</w:t>
      </w:r>
      <w:r>
        <w:rPr>
          <w:rFonts w:ascii="Times New Roman" w:hAnsi="Times New Roman"/>
          <w:b w:val="false"/>
          <w:i w:val="false"/>
          <w:color w:val="000000"/>
          <w:sz w:val="22"/>
        </w:rPr>
        <w:t> </w:t>
      </w:r>
      <w:r>
        <w:rPr>
          <w:rFonts w:ascii="Times New Roman" w:hAnsi="Times New Roman"/>
          <w:b w:val="false"/>
          <w:i w:val="false"/>
          <w:color w:val="000000"/>
          <w:sz w:val="22"/>
        </w:rPr>
        <w:t>A request for reconsideration must be in writing and clearly state the reasons for reconsideration. The director’s scope of review for requests shall be limited to a finding that the department erred in following the rules or procedures of the approval process as outlined in these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72.4(3)</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refrain from allocating any funds until it has received the decision of the director as to any reconsideration. The review shall be conducted as expeditiously as possible so that all funds can be allocated in a timely fashion.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72.4(4)</w:t>
      </w:r>
      <w:r>
        <w:rPr>
          <w:rFonts w:ascii="Times New Roman" w:hAnsi="Times New Roman"/>
          <w:b w:val="false"/>
          <w:i w:val="false"/>
          <w:color w:val="000000"/>
          <w:sz w:val="22"/>
        </w:rPr>
        <w:t> </w:t>
      </w:r>
      <w:r>
        <w:rPr>
          <w:rFonts w:ascii="Times New Roman" w:hAnsi="Times New Roman"/>
          <w:b w:val="false"/>
          <w:i w:val="false"/>
          <w:color w:val="000000"/>
          <w:sz w:val="22"/>
        </w:rPr>
        <w:t>This procedure shall end the review process at the administrative level.</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135.100 to 135.105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11/13/87, Notice 9/9/87—published 12/2/87, effective 1/6/88]</w:t>
      </w:r>
    </w:p>
    <w:p>
      <w:pPr>
        <w:spacing w:before="0" w:after="0"/>
        <w:ind w:left="120"/>
        <w:jc w:val="center"/>
      </w:pPr>
      <w:r>
        <w:rPr>
          <w:rFonts w:ascii="Times New Roman" w:hAnsi="Times New Roman"/>
          <w:b w:val="false"/>
          <w:i w:val="false"/>
          <w:color w:val="000000"/>
          <w:sz w:val="21"/>
        </w:rPr>
        <w:t>[Filed 9/14/01, Notice 8/8/01—published 10/3/01, effective 11/7/01]</w:t>
      </w:r>
    </w:p>
    <w:p>
      <w:pPr>
        <w:spacing w:before="0" w:after="0"/>
        <w:ind w:left="120"/>
        <w:jc w:val="center"/>
      </w:pPr>
      <w:r>
        <w:rPr>
          <w:rFonts w:ascii="Times New Roman" w:hAnsi="Times New Roman"/>
          <w:b w:val="false"/>
          <w:i w:val="false"/>
          <w:color w:val="000000"/>
          <w:sz w:val="21"/>
        </w:rPr>
        <w:t>[Filed 11/15/02, Notice 10/2/02—published 12/11/02, effective 1/15/03]</w:t>
      </w:r>
    </w:p>
    <w:p>
      <w:pPr>
        <w:spacing w:before="0" w:after="0"/>
        <w:ind w:left="120"/>
        <w:jc w:val="center"/>
      </w:pPr>
      <w:r>
        <w:rPr>
          <w:rFonts w:ascii="Times New Roman" w:hAnsi="Times New Roman"/>
          <w:b w:val="false"/>
          <w:i w:val="false"/>
          <w:color w:val="000000"/>
          <w:sz w:val="21"/>
        </w:rPr>
        <w:t>[Filed ARC 3833C</w:t>
      </w:r>
      <w:r>
        <w:rPr>
          <w:rFonts w:ascii="Times New Roman" w:hAnsi="Times New Roman"/>
          <w:b w:val="false"/>
          <w:i w:val="false"/>
          <w:color w:val="000000"/>
          <w:sz w:val="21"/>
        </w:rPr>
        <w:t xml:space="preserve"> (Notice ARC 3709C, IAB 3/28/18)</w:t>
      </w:r>
      <w:r>
        <w:rPr>
          <w:rFonts w:ascii="Times New Roman" w:hAnsi="Times New Roman"/>
          <w:b w:val="false"/>
          <w:i w:val="false"/>
          <w:color w:val="000000"/>
          <w:sz w:val="21"/>
        </w:rPr>
        <w:t>, IAB 6/6/18, effective 7/11/18]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72.2.pdf" Type="http://schemas.openxmlformats.org/officeDocument/2006/relationships/hyperlink" Id="rId5"/>
    <Relationship TargetMode="External" Target="https://www.legis.iowa.gov/docs/iac/rule/641.72.2.pdf" Type="http://schemas.openxmlformats.org/officeDocument/2006/relationships/hyperlink" Id="rId6"/>
    <Relationship TargetMode="External" Target="https://www.legis.iowa.gov/docs/ico/chapter/135.104.pdf" Type="http://schemas.openxmlformats.org/officeDocument/2006/relationships/hyperlink" Id="rId7"/>
    <Relationship TargetMode="External" Target="https://www.legis.iowa.gov/docs/ico/chapter/135.100-105.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