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EMERGENCY INFORMATION SYSTEM ON PESTICIDES FOR USE BY HEALTH CARE PROVIDERS DURING MEDICAL EMERGENCIES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641—71.1</w:t>
      </w:r>
      <w:r>
        <w:rPr>
          <w:rFonts w:ascii="Times New Roman" w:hAnsi="Times New Roman"/>
          <w:b/>
          <w:i w:val="false"/>
          <w:color w:val="000000"/>
          <w:sz w:val="22"/>
        </w:rPr>
        <w:t xml:space="preserve">(139A) </w:t>
      </w:r>
      <w:r>
        <w:rPr>
          <w:rFonts w:ascii="Times New Roman" w:hAnsi="Times New Roman"/>
          <w:b/>
          <w:i w:val="false"/>
          <w:color w:val="000000"/>
          <w:sz w:val="22"/>
        </w:rPr>
        <w:t xml:space="preserve">Scope. </w:t>
      </w:r>
      <w:r>
        <w:rPr>
          <w:rFonts w:ascii="Times New Roman" w:hAnsi="Times New Roman"/>
          <w:b w:val="false"/>
          <w:i w:val="false"/>
          <w:color w:val="000000"/>
          <w:sz w:val="22"/>
        </w:rPr>
        <w:t>Except as otherwise specifically provided, these rules apply to requirements for the operation of an emergency information system operated by providers of pesticides in Iowa who register with the Iowa department of agriculture and land stewardship (IDALS). These rules do not pertain to registrants who do not operate their own emergency information system.</w:t>
      </w:r>
    </w:p>
    <w:p>
      <w:pPr>
        <w:spacing w:before="0" w:after="0"/>
        <w:ind w:left="120"/>
        <w:jc w:val="both"/>
      </w:pPr>
      <w:r>
        <w:rPr>
          <w:rFonts w:ascii="Times New Roman" w:hAnsi="Times New Roman"/>
          <w:b/>
          <w:i w:val="false"/>
          <w:color w:val="000000"/>
          <w:sz w:val="22"/>
        </w:rPr>
        <w:t>641—71.2</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these terms have the definition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information system (EIS)” </w:t>
      </w:r>
      <w:r>
        <w:rPr>
          <w:rFonts w:ascii="Times New Roman" w:hAnsi="Times New Roman"/>
          <w:b w:val="false"/>
          <w:i w:val="false"/>
          <w:color w:val="000000"/>
          <w:sz w:val="22"/>
        </w:rPr>
        <w:t>means a system developed by a registrant that is accessible by Iowa health care providers and poison control centers 24 hours per day, every day of the year. The system must provide ready access to pesticide product profiles of the registrants to include but not be limited to characterization of inert ingredient(s) and their general proportion whether openly defined or confidentially maintained as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 xml:space="preserve">means the person registering any pesticide or device or who has obtained a certificate of license from IDALS pursuant to the provisions of Iowa Code chapter </w:t>
      </w:r>
      <w:hyperlink r:id="rId5">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641—71.3</w:t>
      </w:r>
      <w:r>
        <w:rPr>
          <w:rFonts w:ascii="Times New Roman" w:hAnsi="Times New Roman"/>
          <w:b/>
          <w:i w:val="false"/>
          <w:color w:val="000000"/>
          <w:sz w:val="22"/>
        </w:rPr>
        <w:t xml:space="preserve">(139A) </w:t>
      </w:r>
      <w:r>
        <w:rPr>
          <w:rFonts w:ascii="Times New Roman" w:hAnsi="Times New Roman"/>
          <w:b/>
          <w:i w:val="false"/>
          <w:color w:val="000000"/>
          <w:sz w:val="22"/>
        </w:rPr>
        <w:t xml:space="preserve">Operation of EIS.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Registrants operating their own EIS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emergency treatment information to health care providers engaged in the emergency care of a real-time human exposure to a registrant’s product(s) upon request 24 hours per day, every day of the year. These services shall identify required inert ingredients, pursuant to Iowa Code section </w:t>
      </w:r>
      <w:hyperlink r:id="rId6">
        <w:r>
          <w:rPr>
            <w:rStyle w:val="Hyperlink"/>
            <w:rFonts w:ascii="Times New Roman" w:hAnsi="Times New Roman"/>
            <w:b w:val="false"/>
            <w:i w:val="false"/>
            <w:color w:val="000000"/>
            <w:sz w:val="22"/>
          </w:rPr>
          <w:t>206.12(2)</w:t>
        </w:r>
      </w:hyperlink>
      <w:r>
        <w:rPr>
          <w:rFonts w:ascii="Times New Roman" w:hAnsi="Times New Roman"/>
          <w:b w:val="false"/>
          <w:i/>
          <w:color w:val="000000"/>
          <w:sz w:val="22"/>
        </w:rPr>
        <w:t>“c”</w:t>
      </w:r>
      <w:r>
        <w:rPr>
          <w:rFonts w:ascii="Times New Roman" w:hAnsi="Times New Roman"/>
          <w:b w:val="false"/>
          <w:i w:val="false"/>
          <w:color w:val="000000"/>
          <w:sz w:val="22"/>
        </w:rPr>
        <w:t>(2), even if they are considered trade secret, for the sole purpose of assisting in the medical management of persons exposed to 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information response time to provide appropriate pesticide ingredient information, which may be responsible for the medical emergency, to a health care provider or poison control center, as defined in Iowa Code section </w:t>
      </w:r>
      <w:hyperlink r:id="rId7">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does not exceed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in operation a toll-free number (800 number, reverse charges number, etc.) which can be accessed anywhere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qualified responders on duty at all times. A qualified responder who provides the information to the inquiring health care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college degree in one of the life sciences or its equivalent and have a minimum of two years’ experience in the hazardous chemical (pesticide) field. This experience shall be in the routine handling and working with hazardous substances of the type that would, in the normal course of events, require emergency response;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individual who is under the direct supervision of an individual who meets the requirements of </w:t>
      </w:r>
      <w:hyperlink r:id="rId8">
        <w:r>
          <w:rPr>
            <w:rStyle w:val="Hyperlink"/>
            <w:rFonts w:ascii="Times New Roman" w:hAnsi="Times New Roman"/>
            <w:b w:val="false"/>
            <w:i w:val="false"/>
            <w:color w:val="000000"/>
            <w:sz w:val="22"/>
          </w:rPr>
          <w:t>71.3(1)</w:t>
        </w:r>
      </w:hyperlink>
      <w:r>
        <w:rPr>
          <w:rFonts w:ascii="Times New Roman" w:hAnsi="Times New Roman"/>
          <w:b w:val="false"/>
          <w:i/>
          <w:color w:val="000000"/>
          <w:sz w:val="22"/>
        </w:rPr>
        <w:t>“d”</w:t>
      </w:r>
      <w:r>
        <w:rPr>
          <w:rFonts w:ascii="Times New Roman" w:hAnsi="Times New Roman"/>
          <w:b w:val="false"/>
          <w:i w:val="false"/>
          <w:color w:val="000000"/>
          <w:sz w:val="22"/>
        </w:rPr>
        <w:t>(1);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comprehensive emergency response and accident mitigation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an adequate contingency plan to continue operation in the event of equipment or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facsimile (fax)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immediate health hazards posed by internal or external exposure to a given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Risks of fire or explosion of a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Immediate precautions to take in the event of an accident 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Preliminary first-aid measures,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comprehensive list of compounds in a given product including identification of the inert ingredients only upon request from the health care provider who is treating a real-time human exposure to a registrant’s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to poison control centers, defined in Iowa Code subsection </w:t>
      </w:r>
      <w:hyperlink r:id="rId9">
        <w:r>
          <w:rPr>
            <w:rStyle w:val="Hyperlink"/>
            <w:rFonts w:ascii="Times New Roman" w:hAnsi="Times New Roman"/>
            <w:b w:val="false"/>
            <w:i w:val="false"/>
            <w:color w:val="000000"/>
            <w:sz w:val="22"/>
          </w:rPr>
          <w:t>206.2(24)</w:t>
        </w:r>
      </w:hyperlink>
      <w:r>
        <w:rPr>
          <w:rFonts w:ascii="Times New Roman" w:hAnsi="Times New Roman"/>
          <w:b w:val="false"/>
          <w:i w:val="false"/>
          <w:color w:val="000000"/>
          <w:sz w:val="22"/>
        </w:rPr>
        <w:t>, the telephone number(s) to be used to obtain treatment information for a person exposed to a registrant’s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subsection </w:t>
      </w:r>
      <w:hyperlink r:id="rId10">
        <w:r>
          <w:rPr>
            <w:rStyle w:val="Hyperlink"/>
            <w:rFonts w:ascii="Times New Roman" w:hAnsi="Times New Roman"/>
            <w:b w:val="false"/>
            <w:i w:val="false"/>
            <w:color w:val="000000"/>
            <w:sz w:val="22"/>
          </w:rPr>
          <w:t>139A.21(7)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1/8/92—published 2/5/92, effective 1/8/92]</w:t>
      </w:r>
    </w:p>
    <w:p>
      <w:pPr>
        <w:spacing w:before="0" w:after="0"/>
        <w:ind w:left="120"/>
        <w:jc w:val="center"/>
      </w:pPr>
      <w:r>
        <w:rPr>
          <w:rFonts w:ascii="Times New Roman" w:hAnsi="Times New Roman"/>
          <w:b w:val="false"/>
          <w:i w:val="false"/>
          <w:color w:val="000000"/>
          <w:sz w:val="21"/>
        </w:rPr>
        <w:t>[Filed emergency 3/11/92—published 4/1/92, effective 3/13/92]</w:t>
      </w:r>
    </w:p>
    <w:p>
      <w:pPr>
        <w:spacing w:before="0" w:after="0"/>
        <w:ind w:left="120"/>
        <w:jc w:val="center"/>
      </w:pPr>
      <w:r>
        <w:rPr>
          <w:rFonts w:ascii="Times New Roman" w:hAnsi="Times New Roman"/>
          <w:b w:val="false"/>
          <w:i w:val="false"/>
          <w:color w:val="000000"/>
          <w:sz w:val="21"/>
        </w:rPr>
        <w:t>[Filed 6/1/92, Notice 4/15/92—published 6/24/92, effective 7/29/92]</w:t>
      </w:r>
    </w:p>
    <w:p>
      <w:pPr>
        <w:spacing w:before="0" w:after="0"/>
        <w:ind w:left="120"/>
        <w:jc w:val="center"/>
      </w:pPr>
      <w:r>
        <w:rPr>
          <w:rFonts w:ascii="Times New Roman" w:hAnsi="Times New Roman"/>
          <w:b w:val="false"/>
          <w:i w:val="false"/>
          <w:color w:val="000000"/>
          <w:sz w:val="21"/>
        </w:rPr>
        <w:t>[Filed Without Notice 9/21/06—published 10/11/06, effective 11/15/06]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6.pdf" Type="http://schemas.openxmlformats.org/officeDocument/2006/relationships/hyperlink" Id="rId5"/>
    <Relationship TargetMode="External" Target="https://www.legis.iowa.gov/docs/ico/chapter/206.12.pdf" Type="http://schemas.openxmlformats.org/officeDocument/2006/relationships/hyperlink" Id="rId6"/>
    <Relationship TargetMode="External" Target="https://www.legis.iowa.gov/docs/ico/chapter/206.2.pdf" Type="http://schemas.openxmlformats.org/officeDocument/2006/relationships/hyperlink" Id="rId7"/>
    <Relationship TargetMode="External" Target="https://www.legis.iowa.gov/docs/iac/rule/641.71.3.pdf" Type="http://schemas.openxmlformats.org/officeDocument/2006/relationships/hyperlink" Id="rId8"/>
    <Relationship TargetMode="External" Target="https://www.legis.iowa.gov/docs/ico/chapter/206.2.pdf" Type="http://schemas.openxmlformats.org/officeDocument/2006/relationships/hyperlink" Id="rId9"/>
    <Relationship TargetMode="External" Target="https://www.legis.iowa.gov/docs/ico/chapter/139A.2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