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LEAD-BASED PAINT ACTIVITIES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641—70.1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are lead professionals in Iowa, all firms that perform lead professional activities in Iowa, and training providers that offer training for lead professionals. This chapter requires lead professionals and firms to be certified and establishes specific requirements for how lead-based paint activities must be performed if a property owner, manager, or occupant chooses to undertake them. However, nothing in this chapter requires a property owner, manager, or occupant to undertake any particular lead-based paint activity. This chapter also provides for the approval of courses that provide training for lead professionals.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“Adequate quality control” </w:t>
      </w:r>
      <w:r>
        <w:rPr>
          <w:rFonts w:ascii="Times New Roman" w:hAnsi="Times New Roman"/>
          <w:b w:val="false"/>
          <w:i w:val="false"/>
          <w:color w:val="000000"/>
          <w:sz w:val="22"/>
        </w:rPr>
        <w:t>means a plan or design which ensures the authenticity, integrity, and accuracy of samples, including dust, soil, and paint chip or paint film samples. Adequate quality control also includes provisions for representative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lead-safe work practices training program”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elevated blood lead (EBL) inspector/risk assessor” </w:t>
      </w:r>
      <w:r>
        <w:rPr>
          <w:rFonts w:ascii="Times New Roman" w:hAnsi="Times New Roman"/>
          <w:b w:val="false"/>
          <w:i w:val="false"/>
          <w:color w:val="000000"/>
          <w:sz w:val="22"/>
        </w:rPr>
        <w:t xml:space="preserve">means a person who has met the requirements of </w:t>
      </w:r>
      <w:hyperlink r:id="rId5">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firm” </w:t>
      </w:r>
      <w:r>
        <w:rPr>
          <w:rFonts w:ascii="Times New Roman" w:hAnsi="Times New Roman"/>
          <w:b w:val="false"/>
          <w:i w:val="false"/>
          <w:color w:val="000000"/>
          <w:sz w:val="22"/>
        </w:rPr>
        <w:t xml:space="preserve">means a firm that employs certified lead professionals and has met the requirements of </w:t>
      </w:r>
      <w:hyperlink r:id="rId6">
        <w:r>
          <w:rPr>
            <w:rStyle w:val="Hyperlink"/>
            <w:rFonts w:ascii="Times New Roman" w:hAnsi="Times New Roman"/>
            <w:b w:val="false"/>
            <w:i w:val="false"/>
            <w:color w:val="000000"/>
            <w:sz w:val="22"/>
          </w:rPr>
          <w:t>641—70.7(135)</w:t>
        </w:r>
      </w:hyperlink>
      <w:r>
        <w:rPr>
          <w:rFonts w:ascii="Times New Roman" w:hAnsi="Times New Roman"/>
          <w:b w:val="false"/>
          <w:i w:val="false"/>
          <w:color w:val="000000"/>
          <w:sz w:val="22"/>
        </w:rPr>
        <w:t xml:space="preserve"> for certification and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contractor” </w:t>
      </w:r>
      <w:r>
        <w:rPr>
          <w:rFonts w:ascii="Times New Roman" w:hAnsi="Times New Roman"/>
          <w:b w:val="false"/>
          <w:i w:val="false"/>
          <w:color w:val="000000"/>
          <w:sz w:val="22"/>
        </w:rPr>
        <w:t xml:space="preserve">means a person who has met the requirements of </w:t>
      </w:r>
      <w:hyperlink r:id="rId7">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worker” </w:t>
      </w:r>
      <w:r>
        <w:rPr>
          <w:rFonts w:ascii="Times New Roman" w:hAnsi="Times New Roman"/>
          <w:b w:val="false"/>
          <w:i w:val="false"/>
          <w:color w:val="000000"/>
          <w:sz w:val="22"/>
        </w:rPr>
        <w:t xml:space="preserve">means a person who has met the requirements of </w:t>
      </w:r>
      <w:hyperlink r:id="rId8">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inspector/risk assessor” </w:t>
      </w:r>
      <w:r>
        <w:rPr>
          <w:rFonts w:ascii="Times New Roman" w:hAnsi="Times New Roman"/>
          <w:b w:val="false"/>
          <w:i w:val="false"/>
          <w:color w:val="000000"/>
          <w:sz w:val="22"/>
        </w:rPr>
        <w:t xml:space="preserve">means a person who has met the requirements of </w:t>
      </w:r>
      <w:hyperlink r:id="rId9">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 professional”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lead-safe renovator” </w:t>
      </w:r>
      <w:r>
        <w:rPr>
          <w:rFonts w:ascii="Times New Roman" w:hAnsi="Times New Roman"/>
          <w:b w:val="false"/>
          <w:i w:val="false"/>
          <w:color w:val="000000"/>
          <w:sz w:val="22"/>
        </w:rPr>
        <w:t xml:space="preserve">means a person who has met the requirements of </w:t>
      </w:r>
      <w:hyperlink r:id="rId10">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 for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project designer” </w:t>
      </w:r>
      <w:r>
        <w:rPr>
          <w:rFonts w:ascii="Times New Roman" w:hAnsi="Times New Roman"/>
          <w:b w:val="false"/>
          <w:i w:val="false"/>
          <w:color w:val="000000"/>
          <w:sz w:val="22"/>
        </w:rPr>
        <w:t xml:space="preserve">means a person who has met the requirements of </w:t>
      </w:r>
      <w:hyperlink r:id="rId11">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sampling technician” </w:t>
      </w:r>
      <w:r>
        <w:rPr>
          <w:rFonts w:ascii="Times New Roman" w:hAnsi="Times New Roman"/>
          <w:b w:val="false"/>
          <w:i w:val="false"/>
          <w:color w:val="000000"/>
          <w:sz w:val="22"/>
        </w:rPr>
        <w:t xml:space="preserve">means a person who has met the requirements of </w:t>
      </w:r>
      <w:hyperlink r:id="rId12">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that is described by all of the following: (1) The building is visited on a regular basis by the same child, who is less than six years of age, on at least two different days within any week. For purposes of this chapter, a week is a Sunday through Saturday period. (2) Each day’s visit by the child lasts at least 3 hours, and the combined annual visits total at least 60 hours. A child-occupied facility may include, but is not limited to a child care center, preschool, or kindergarten classroom. A child-occupied facility also includes common areas that are routinely used by children who are less than six years of age, such as restrooms and cafeterias, and the exterior walls and adjoining space of the building that are immediately adjacent to the child-occupied facility or the common areas routinely used by children under the age of six years.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verification card”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level”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10 micrograms per square foot. The clearance level for a single-surface dust sample from an interior windowsill is greater than or equal to 100 micrograms per square foot. The clearance level for a single-surface dust sample from a window trough is greater than or equal to 400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“Clearance testing”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group”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 type” </w:t>
      </w:r>
      <w:r>
        <w:rPr>
          <w:rFonts w:ascii="Times New Roman" w:hAnsi="Times New Roman"/>
          <w:b w:val="false"/>
          <w:i w:val="false"/>
          <w:color w:val="000000"/>
          <w:sz w:val="22"/>
        </w:rPr>
        <w:t>means a group of like components constructed of the same substrate in the same multifamily housing. For example, “wood door” is a component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sample”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“Concentration”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agenda”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test”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test blueprint”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“Deteriorated paint”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 For example, “lead inspector/risk assessor” is a discipline, and “lead-safe renovator” is a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“Distinct painting history”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“Documented methodologies”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disposable cleaning cloth”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sanding”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scraping”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greater than or equal to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child”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inspection”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“Encapsulant”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“Encapsulation” </w:t>
      </w:r>
      <w:r>
        <w:rPr>
          <w:rFonts w:ascii="Times New Roman" w:hAnsi="Times New Roman"/>
          <w:b w:val="false"/>
          <w:i w:val="false"/>
          <w:color w:val="000000"/>
          <w:sz w:val="22"/>
        </w:rPr>
        <w:t>means the application of an encapsulant.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“Guest instructor”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skills assessment” </w:t>
      </w:r>
      <w:r>
        <w:rPr>
          <w:rFonts w:ascii="Times New Roman" w:hAnsi="Times New Roman"/>
          <w:b w:val="false"/>
          <w:i w:val="false"/>
          <w:color w:val="000000"/>
          <w:sz w:val="22"/>
        </w:rPr>
        <w:t xml:space="preserve">means an evaluation which tests the trainees’ ability to satisfactorily perform the work practices and procedures identified in </w:t>
      </w:r>
      <w:hyperlink r:id="rId13">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as well as any other skill taught in a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any waste as defined in 40 CFR 261.3.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“HEPA exhaust control”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“HEPA vacuum” </w:t>
      </w:r>
      <w:r>
        <w:rPr>
          <w:rFonts w:ascii="Times New Roman" w:hAnsi="Times New Roman"/>
          <w:b w:val="false"/>
          <w:i w:val="false"/>
          <w:color w:val="000000"/>
          <w:sz w:val="22"/>
        </w:rPr>
        <w:t>means a vacuum cleaner which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“Inconclusive classification”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controls”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“Interior windowsill”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abatement”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both"/>
      </w:pPr>
      <w:r>
        <w:rPr>
          <w:rFonts w:ascii="Times New Roman" w:hAnsi="Times New Roman"/>
          <w:b w:val="false"/>
          <w:i w:val="false"/>
          <w:color w:val="000000"/>
          <w:sz w:val="22"/>
        </w:rPr>
        <w:t xml:space="preserve">In addition, “lead abatement”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w:t>
      </w:r>
      <w:hyperlink r:id="rId14">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activities”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reduction activity”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“Lead-free inspection”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hazard screen”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inspection”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professional”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“Lead-safe work practices”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“Lead-safe work practices training program” </w:t>
      </w:r>
      <w:r>
        <w:rPr>
          <w:rFonts w:ascii="Times New Roman" w:hAnsi="Times New Roman"/>
          <w:b w:val="false"/>
          <w:i w:val="false"/>
          <w:color w:val="000000"/>
          <w:sz w:val="22"/>
        </w:rPr>
        <w:t>means an 8-hour training program that provides training on how to work safely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“Loading”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repair and maintenance activities”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must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housing”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“Negative classification”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“NIST 1.02 standard film”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“Occupant protection plan”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lead-based paint maintenance” </w:t>
      </w:r>
      <w:r>
        <w:rPr>
          <w:rFonts w:ascii="Times New Roman" w:hAnsi="Times New Roman"/>
          <w:b w:val="false"/>
          <w:i w:val="false"/>
          <w:color w:val="000000"/>
          <w:sz w:val="22"/>
        </w:rPr>
        <w:t>means the maintenance of housing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“Painted component”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“Paint-lead hazard”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sample”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stabilization”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“Paint testing”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characteristics sheet (PCS)”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covered soil” </w:t>
      </w:r>
      <w:r>
        <w:rPr>
          <w:rFonts w:ascii="Times New Roman" w:hAnsi="Times New Roman"/>
          <w:b w:val="false"/>
          <w:i w:val="false"/>
          <w:color w:val="000000"/>
          <w:sz w:val="22"/>
        </w:rPr>
        <w:t>means soil which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“Positive classification”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“Postrenovation cleaning verification”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instructor”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housing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“PHA” </w:t>
      </w:r>
      <w:r>
        <w:rPr>
          <w:rFonts w:ascii="Times New Roman" w:hAnsi="Times New Roman"/>
          <w:b w:val="false"/>
          <w:i w:val="false"/>
          <w:color w:val="000000"/>
          <w:sz w:val="22"/>
        </w:rPr>
        <w:t xml:space="preserve">means a state, county, municipality, or other governmental entity or public body which is authorized to engage in or assist in the development or operation of low-income housing. A PHA must be approved by the U.S. Department of Housing and Urban Development (HUD).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selection”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laboratory”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test kit”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“Reevaluation”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“Refresher training course”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“Renovation”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planing thresholds to install weatherstripping; and interim controls that disturb painted surfaces. “Renovation” does not include minor repair and maintenance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“Room”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 sample”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treatments”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certification examination”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value”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selection”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means housing constructed prior to 1978 with the exception of housing for the elderly or for persons with disabilities and housing which does not contain a bedroom, unless at least one child under the age of six years resides or is expected to reside in the housing for the elderly or persons with disabilities or housing which does not contain a bedroom. Target housing also includes any nonresidential building where lead-based paint activities are conducted prior to or during the conversion of the nonresidential building to target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combination”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hour”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manager”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 person or organization sponsoring a lead professional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“Visual inspection for clearance testing”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“Visual risk assessment”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arithmetic mean” </w:t>
      </w:r>
      <w:r>
        <w:rPr>
          <w:rFonts w:ascii="Times New Roman" w:hAnsi="Times New Roman"/>
          <w:b w:val="false"/>
          <w:i w:val="false"/>
          <w:color w:val="000000"/>
          <w:sz w:val="22"/>
        </w:rPr>
        <w:t>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For example, the weighted arithmetic mean of a single surface dust sample containing 60 micrograms per square foot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 composite dust sample (three dust subsamples) containing 100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a composite dust sample (four dust subsamples) containing 110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is 100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This result is based on the equation [60+(3×100)+(4×110)] / (1+3+4).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disposable cleaning cloth”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mopping system”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sanding”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“Wet scraping”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“Windowsill”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“Window trough”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“Wipe sample”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or equivalent method, with an acceptable wipe material as defined in ASTM E1792, “Standard Specification for Wipe Sampling Materials for Lead in Surface Dust.” The minimum area for a floor wipe sample shall be 0.50 square feet or 72 square inches. The minimum area for a windowsill wipe sample and for a window trough wipe sample shall be 0.25 square feet or 36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“Worksite”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“work area”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“Worst case selection”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fluorescence analyzer (XRF)”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using the principle of X-ray fluorescence.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“XRF reading”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0482C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641—70.3</w:t>
      </w:r>
      <w:r>
        <w:rPr>
          <w:rFonts w:ascii="Times New Roman" w:hAnsi="Times New Roman"/>
          <w:b/>
          <w:i w:val="false"/>
          <w:color w:val="000000"/>
          <w:sz w:val="22"/>
        </w:rPr>
        <w:t xml:space="preserve">(135) </w:t>
      </w:r>
      <w:r>
        <w:rPr>
          <w:rFonts w:ascii="Times New Roman" w:hAnsi="Times New Roman"/>
          <w:b/>
          <w:i w:val="false"/>
          <w:color w:val="000000"/>
          <w:sz w:val="22"/>
        </w:rPr>
        <w:t xml:space="preserve">Lead professional certification. </w:t>
      </w:r>
      <w:r>
        <w:rPr>
          <w:rFonts w:ascii="Times New Roman" w:hAnsi="Times New Roman"/>
          <w:b w:val="false"/>
          <w:i w:val="false"/>
          <w:color w:val="000000"/>
          <w:sz w:val="22"/>
        </w:rPr>
        <w:t xml:space="preserve">A person or a firm shall not conduct lead abatement, renovation, clearance testing after lead abatement, lead-free inspections, lead inspections, elevated blood lead (EBL) inspections, lead hazard screens, risk assessments, visual risk assessments, clearance testing after renovation, or interim controls, paint stabilization, standard treatments, ongoing lead-based paint maintenance, or rehabilitation pursuant to 24 CFR Part 35 unless the person or firm has been certified by the department in the appropriate discipline. However, persons who perform these activities within residential dwellings that they own are not required to be certified, unless the residential dwelling is occupied by a person other than the owner or a member of the owner’s immediate family while these activities are being performed. In addition, elevated blood lead (EBL) inspections shall be conducted only by certified elevated blood lead (EBL) inspector/risk assessors employed by or under contract with the department, a local board of health, or a public housing agency. In addition, persons who perform renovation under the supervision of a certified lead-safe renovator, certified lead abatement contractor, or certified lead abatement worker and who have completed on-the-job training are not required to be certified. However, on-the-job training does not meet the training requirement for work conducted pursuant to 24 CFR Part 35. Lead professionals and firms shall not state that they have been certified by the state of Iowa unless they have met the requirements of </w:t>
      </w:r>
      <w:hyperlink r:id="rId15">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been issued a current certificate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641—70.4</w:t>
      </w:r>
      <w:r>
        <w:rPr>
          <w:rFonts w:ascii="Times New Roman" w:hAnsi="Times New Roman"/>
          <w:b/>
          <w:i w:val="false"/>
          <w:color w:val="000000"/>
          <w:sz w:val="22"/>
        </w:rPr>
        <w:t xml:space="preserve">(135) </w:t>
      </w:r>
      <w:r>
        <w:rPr>
          <w:rFonts w:ascii="Times New Roman" w:hAnsi="Times New Roman"/>
          <w:b/>
          <w:i w:val="false"/>
          <w:color w:val="000000"/>
          <w:sz w:val="22"/>
        </w:rPr>
        <w:t xml:space="preserve">Course approval and standards. </w:t>
      </w:r>
      <w:r>
        <w:rPr>
          <w:rFonts w:ascii="Times New Roman" w:hAnsi="Times New Roman"/>
          <w:b w:val="false"/>
          <w:i w:val="false"/>
          <w:color w:val="000000"/>
          <w:sz w:val="22"/>
        </w:rPr>
        <w:t xml:space="preserve">All lead professional training courses for initial certification and refresher training must be approved by the department. Training programs shall not state that they have been approved by the state of Iowa unless they have met the requirements of </w:t>
      </w:r>
      <w:hyperlink r:id="rId16">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 xml:space="preserve"> and been approved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val="false"/>
          <w:color w:val="000000"/>
          <w:sz w:val="22"/>
        </w:rPr>
        <w:t>Training courses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program offering the course shall employ a training manager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bachelor’s or graduate degree in building construction technology, engineering, industrial hygiene, safety, public health, or a related field; or two years of experience in managing a training program specializing in environmental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designate a qualified principal instructor for each course who has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teaching workers or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as a lead inspector/risk assessor, elevated blood lead (EBL) inspector/risk assessor, or lead abatement contractor. In the case of a course for training lead-safe renovators, the principal instructor may be certified as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experience, education, or training in lead professional activities, including lead inspection, lead abatement, lead-safe work practices, painting, carpentry, renovation, remodeling, occupational safety and health, or industrial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instructor shall be responsible for the organization of the course and oversight of the teaching of all course material. The training manager may designate guest instructors as needed to provide instruction specific to the lecture, hands-on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ensure the availability of, and provide adequate facilities for, the delivery of the lecture, course test, hands-on training, and assessment activities. This includes providing training equipment that reflects current work practices and maintaining or updating the equipment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manager shall maintain the validity and integrity of the hands-on skills assessment to ensure that it accurately evaluates the trainees’ performance of the work practices and procedures associated with the course topics contained in subrules </w:t>
      </w:r>
      <w:hyperlink r:id="rId17">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 xml:space="preserve"> to </w:t>
      </w:r>
      <w:hyperlink r:id="rId18">
        <w:r>
          <w:rPr>
            <w:rStyle w:val="Hyperlink"/>
            <w:rFonts w:ascii="Times New Roman" w:hAnsi="Times New Roman"/>
            <w:b w:val="false"/>
            <w:i w:val="false"/>
            <w:color w:val="000000"/>
            <w:sz w:val="22"/>
          </w:rPr>
          <w:t>70.4(17)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maintain the validity and integrity of the course test to ensure that it accurately evaluates the trainees’ knowledge and retention of the course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test shall be developed in accordance with the test blueprint submitted with the course approval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issue unique course completion certificates to each student who passes the course. The course completion certificate shall be issued in color. The course completion certificate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first name, last name and middle initial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photograph of the student, and a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particular course that the student completed and the course length in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of course completion and test passage.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signature of the training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develop and implement a quality control plan. The plan shall be used to maintain and improve the quality of the training program over time. This plan shall contain at least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periodic revision of training materials and the course test to reflect changes in regulations and recommended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the training manager to conduct an annual review of the competency of the principal instructor and all other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program shall offer courses that teach the work practice standards for conducting lead-based paint activities contained in </w:t>
      </w:r>
      <w:hyperlink r:id="rId19">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and other standards developed by the department. These standards shall be taught in the appropriate courses to provide trainees with the knowledge needed to perform the lead-based paint activities they are responsible for conducting.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ensure that each course meets the requirements in this rule for the number of training hours and hours of hands-on training. The training manager shall ensure that any student who misses more than 20 minutes of class time makes up the time before taking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ensure that the training program complies at all times with all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training manager shall allow the department to audit the training program to verify the contents of the application for approval and for reapproval.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maintain, and make available to the department, upon request,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specified in paragraph </w:t>
      </w:r>
      <w:hyperlink r:id="rId20">
        <w:r>
          <w:rPr>
            <w:rStyle w:val="Hyperlink"/>
            <w:rFonts w:ascii="Times New Roman" w:hAnsi="Times New Roman"/>
            <w:b w:val="false"/>
            <w:i w:val="false"/>
            <w:color w:val="000000"/>
            <w:sz w:val="22"/>
          </w:rPr>
          <w:t>70.4(2)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curriculum/course materials and documents reflecting any changes made to these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course test blueprint and the 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how the hands-on assessment is conducted including, but not limited to, who conducts the assessment, how the skills are graded, what facilities are used, and the pass/fail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quality control plan as described in paragraph </w:t>
      </w:r>
      <w:hyperlink r:id="rId21">
        <w:r>
          <w:rPr>
            <w:rStyle w:val="Hyperlink"/>
            <w:rFonts w:ascii="Times New Roman" w:hAnsi="Times New Roman"/>
            <w:b w:val="false"/>
            <w:i w:val="false"/>
            <w:color w:val="000000"/>
            <w:sz w:val="22"/>
          </w:rPr>
          <w:t>70.4(1)</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file for each student who has completed a course. Each student file shall contain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student’s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student’s test and answer sheet.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copy of the student’s course completion certificate.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the student’s hands-on skill assessment, if applicable.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photograph of the student as taken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file for each individual course that has been offered. Each file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instructors who taught the course.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paper or electronic copy of the curriculum used for the course.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copy of the test used for the course.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Documentation of the times that each student was present at the course, including documentation of how a student made up missed time.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materials that have been submitted to the department as part of the program’s application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retain all required records at the address specified on the training program approval application for a minimum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notify the department within 30 days of changing the address specified on its training program approval application or transferring the records from that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at least 7 days in advance of offering an approved course. The notification shall include the date(s), time(s), and location(s) where the approved course will be held. A training program shall notify the department at least 24 hours in advance of canceling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take a digital photograph of each student. The digital photograph shall be the same photograph that appears on the training certificate and is submitted to the department. The photograph shall meet the following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facing the camera.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individual’s head shall not be tilted.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head shall cover approximately half of the photo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in front of a neutral or light-colored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shall not wear any items that detract from the face, such as hats or sunglasses. Only head coverings worn for religious reasons may be worn. Religious head coverings may not cover the face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Photographs shall be 24-bit color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roster each student who has taken the approved course into a database specified by the department. All students shall be rostered into the department database within 20 days of conclusion of an approved course. Rostering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Course completion certificate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photograph of each student as taken by the training program in a format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val="false"/>
          <w:color w:val="000000"/>
          <w:sz w:val="22"/>
        </w:rPr>
        <w:t>If a training program desires approval of a course by the department, the training program shall apply to the department for approval at least 90 days before the initial offering of the course. The department may allow courses to be offered sooner if the department completes the approval in less than 90 days.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program name, contact person,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for which 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Course locations, including a description of the facilities and equipment to be used for lecture and hands-on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agenda, including approximate times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each reference material, text, student manual, instructor manual, and audiovisual material used in the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qualifications of the training manager, principal instructor(s), and guest instructor(s). The following documents shall be submitted as evidence that training managers and principal instructors have the education, work experience, training requirements, or demonstrated experience required by subrule </w:t>
      </w:r>
      <w:hyperlink r:id="rId22">
        <w:r>
          <w:rPr>
            <w:rStyle w:val="Hyperlink"/>
            <w:rFonts w:ascii="Times New Roman" w:hAnsi="Times New Roman"/>
            <w:b w:val="false"/>
            <w:i w:val="false"/>
            <w:color w:val="000000"/>
            <w:sz w:val="22"/>
          </w:rPr>
          <w:t>70.4(1)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Certificates from lead-specific training courses, as evidence of meeting the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course test blueprint.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activities and procedures that will be used for conducting the assessment of hands-on skills for each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Maximum class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the quality control plan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a course must be at least 40 training hours with a minimum of 12 hours devoted to hands-on training activities. Lead inspector/risk assessor and elevated blood lead (EBL) inspector/risk assessor training courses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an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Lead-based paint inspection methods, including selection of rooms and components for sampling or testing to determine if a property is free of lead-based paint as specified in the Guidelines for the Evaluation and Control of Lead-Based Paint Hazards in Housing ((2012), U.S. Department of Housing and Urban Development),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Visual risk assessment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lead-based paint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visual assessments, lead hazard screens, clearance testing after lead abatement, clearance testing after renovation, reevaluation,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inspector/risk assessors and elevated blood lead (EBL) inspector/risk assessors who have already completed an approved sampling technician course, a course must be at least 20 training hours with a minimum of 8 hours devoted to hands-on training activities. The training course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inspector/risk assessor and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Lead-based paint inspection methods, including selection of rooms and components for sampling or testing to determine if a property is free of lead-based paint as specified in the work practice standards in </w:t>
      </w:r>
      <w:hyperlink r:id="rId24">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and methods to determine if lead-based paint hazards are present in a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of background information to perform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Lead hazard screen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Reevaluation protocol.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Sampling for other sources of lead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Interpretation of lead-based paint and other lead sampling results, including all applicable federal, state, and local guidance or regulations pertaining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Development of lead hazard control options, including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role of interim controls, operation and maintenance activities, and renovation in reducing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reports for lead inspections, lead-free inspections, risk assessments, lead hazard screens, reevaluation, and clearance testing after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5">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elevated blood lead (EBL) inspector/risk assessors, a course must be at least eight training hours with a minimum of two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Role and responsibility of an elevated blood lead (EBL) inspector/risk assessor.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childhood lead poisoning prevention programs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EBL lead inspection protocol described in this chapter and the EBL inspection protocol recommended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and medical case management of lead-poisoned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effects of lead poisoning including an in-depth review of the scientific studies demonstrating the health effects of lead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Chelation therapy including at what levels it is recommended and when it might not be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Risk of childhood lead exposure from adult occupations or hobbies.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Case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641—Chapter 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3/31/04</w:t>
      </w:r>
      <w:r>
        <w:rPr>
          <w:rFonts w:ascii="Times New Roman" w:hAnsi="Times New Roman"/>
          <w:b w:val="false"/>
          <w:i w:val="false"/>
          <w:color w:val="000000"/>
          <w:sz w:val="22"/>
        </w:rPr>
        <w:t>, effective 5/5/04.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70.4(7)</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3/31/04</w:t>
      </w:r>
      <w:r>
        <w:rPr>
          <w:rFonts w:ascii="Times New Roman" w:hAnsi="Times New Roman"/>
          <w:b w:val="false"/>
          <w:i w:val="false"/>
          <w:color w:val="000000"/>
          <w:sz w:val="22"/>
        </w:rPr>
        <w:t>, effective 5/5/04.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70.4(8)</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contractors, a course must be at least 40 training hours with a minimum of 12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6">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70.4(9)</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contractors who have already completed an approved lead abatement worker course, a course must be at least 16 training hours with a minimum of 4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70.4(10)</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 abatement workers, a course must be at least 24 training hours with a minimum of 8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8">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70.4(11)</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sampling technicians, a course must be at least 20 training hours with a minimum of 4 hours devoted to hands-on training activities. The training course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Methods of conducting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Paint, dust, and soil sampling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Sources of environmental lead contamination such as paint, surface dust and soil,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Visual inspection to identify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operation and maintenance activities,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interior dust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Methods of interim controls and lead abatement for exterior dust and soil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Preparation of the final visual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Preparation of clearance testing reports for clearance testing after renovation and clearance testing after interim controls, paint stabilization, standard treatments, ongoing lead-based paint maintenance, and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29">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70.4(12)</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a course must be at least 48 instructional training hours with a minimum of 12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and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project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lead-based paint and 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lead abatement report, and renovation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Respiratory protection and protective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Approved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Prohibited methods for conducting lead abatement, interim controls,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Soil and exterior dust abatement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Cleanup, waste handling, and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 the case of renovation, 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Record keeping for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30">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70.4(13)</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contractor course, a course must be at least 8 instructional training hours and shall 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3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70.4(14)</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project designers who have already completed an approved lead abatement worker course, a course must be at least 24 instructional training hours with a minimum of 4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lead abatement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Liability and insurance issues relating to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Interpretation of lead inspection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and lead abatement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Employee information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including random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Role and responsibilities of a project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Development and implementation of an occupant protection plan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Lead abatement and lead hazard reduction methods, including restricted practices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Interior dust abatement/cleanup or lead hazard control and reduction methods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Clearance standards and testing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Integration of lead abatement methods with modernization and rehabilitation projects for large-scale lead abatement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32">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70.4(15)</w:t>
      </w:r>
      <w:r>
        <w:rPr>
          <w:rFonts w:ascii="Times New Roman" w:hAnsi="Times New Roman"/>
          <w:b w:val="false"/>
          <w:i w:val="false"/>
          <w:color w:val="000000"/>
          <w:sz w:val="22"/>
        </w:rPr>
        <w:t> </w:t>
      </w:r>
      <w:r>
        <w:rPr>
          <w:rFonts w:ascii="Times New Roman" w:hAnsi="Times New Roman"/>
          <w:b w:val="false"/>
          <w:i w:val="false"/>
          <w:color w:val="000000"/>
          <w:sz w:val="22"/>
        </w:rPr>
        <w:t>To be approved for the training of lead-safe renovators, a course must be at least 8 instructional training hours with a minimum of 2 hours devoted to hands-on activities and shall cover at least the following subjects (requirements ending in an asterisk (*) indicate areas that require hands-on activities as an integral component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lead and its adverse health effects, how children and adults are exposed to lead, and how to prevent lead exposure in children and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federal, state, and local regulations and guidance that pertain to lead-based paint, lead-based paint activities, and renovation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Procedures for using recognized test kits to determine whether paint is lead-based paint, including preparation of the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Renovation methods to minimize the creation of dust and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Prohibited methods of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Interior and exterior containment and cleanup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to ensure that the renovation has been properly completed, including postrenovation cleaning verification and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handling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Providing on-the-job training to other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preparation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instructor shall provide an introduction of the online certification system used by the department. The instructor shall advise each student on the procedures needed to apply to the department for certification and provide information to each student on the procedures needed for taking the state certification examination. The instructor shall also provide each student with a current copy of this chapter and </w:t>
      </w:r>
      <w:hyperlink r:id="rId3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70.4(16)</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approved for refresher training of sampling technicians, lead abatement contractors, lead abatement workers, and project designers, a course must be at least 8 training hours. To be approved for refresher training of lead inspector/risk assessors and elevated blood lead (EBL) inspector/risk assessors who completed an approved 24-hour training course, a course must be at least 8 training hours to meet the recertification requirements of subrule </w:t>
      </w:r>
      <w:hyperlink r:id="rId34">
        <w:r>
          <w:rPr>
            <w:rStyle w:val="Hyperlink"/>
            <w:rFonts w:ascii="Times New Roman" w:hAnsi="Times New Roman"/>
            <w:b w:val="false"/>
            <w:i w:val="false"/>
            <w:color w:val="000000"/>
            <w:sz w:val="22"/>
          </w:rPr>
          <w:t>70.5(3)</w:t>
        </w:r>
      </w:hyperlink>
      <w:r>
        <w:rPr>
          <w:rFonts w:ascii="Times New Roman" w:hAnsi="Times New Roman"/>
          <w:b w:val="false"/>
          <w:i w:val="false"/>
          <w:color w:val="000000"/>
          <w:sz w:val="22"/>
        </w:rPr>
        <w:t xml:space="preserve">. To be approved for refresher training of lead inspector/risk assessors and elevated blood lead (EBL) inspector/risk assessors to meet the recertification requirements of subrule </w:t>
      </w:r>
      <w:hyperlink r:id="rId35">
        <w:r>
          <w:rPr>
            <w:rStyle w:val="Hyperlink"/>
            <w:rFonts w:ascii="Times New Roman" w:hAnsi="Times New Roman"/>
            <w:b w:val="false"/>
            <w:i w:val="false"/>
            <w:color w:val="000000"/>
            <w:sz w:val="22"/>
          </w:rPr>
          <w:t>70.5(6)</w:t>
        </w:r>
      </w:hyperlink>
      <w:r>
        <w:rPr>
          <w:rFonts w:ascii="Times New Roman" w:hAnsi="Times New Roman"/>
          <w:b w:val="false"/>
          <w:i w:val="false"/>
          <w:color w:val="000000"/>
          <w:sz w:val="22"/>
        </w:rPr>
        <w:t>, a course must be at least 16 training hours. To be approved for refresher training of lead-safe renovators, a course must be at least 4 hours and must include a hands-on component. All refresher training courses shall cover at least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review of the curriculum topics of the initial certification course for the appropriate discipline as listed in subrules </w:t>
      </w:r>
      <w:hyperlink r:id="rId36">
        <w:r>
          <w:rPr>
            <w:rStyle w:val="Hyperlink"/>
            <w:rFonts w:ascii="Times New Roman" w:hAnsi="Times New Roman"/>
            <w:b w:val="false"/>
            <w:i w:val="false"/>
            <w:color w:val="000000"/>
            <w:sz w:val="22"/>
          </w:rPr>
          <w:t>70.4(3)</w:t>
        </w:r>
      </w:hyperlink>
      <w:r>
        <w:rPr>
          <w:rFonts w:ascii="Times New Roman" w:hAnsi="Times New Roman"/>
          <w:b w:val="false"/>
          <w:i w:val="false"/>
          <w:color w:val="000000"/>
          <w:sz w:val="22"/>
        </w:rPr>
        <w:t xml:space="preserve"> to </w:t>
      </w:r>
      <w:hyperlink r:id="rId37">
        <w:r>
          <w:rPr>
            <w:rStyle w:val="Hyperlink"/>
            <w:rFonts w:ascii="Times New Roman" w:hAnsi="Times New Roman"/>
            <w:b w:val="false"/>
            <w:i w:val="false"/>
            <w:color w:val="000000"/>
            <w:sz w:val="22"/>
          </w:rPr>
          <w:t>70.4(15)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overview of current safety practices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laws and regulations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technologies relating to lead-based paint activities in general, as well as specific information pertaining to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course shall conclude with a course test and, if applicable, a hands-on skills assessment. The student must achieve a score of at least 80 percent on the examination and successfully complete the hands-on skills assessment to successfully complete the course. The student may take the course test no more than three times within six months of completing the course. If an individual does not pass the course test within six months of completing the course, the individual must retake the appropriate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of the course materials must be provided to each student. The materials may be provided electronically unless an individual student requests that the materials be provided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70.4(17)</w:t>
      </w:r>
      <w:r>
        <w:rPr>
          <w:rFonts w:ascii="Times New Roman" w:hAnsi="Times New Roman"/>
          <w:b w:val="false"/>
          <w:i w:val="false"/>
          <w:color w:val="000000"/>
          <w:sz w:val="22"/>
        </w:rPr>
        <w:t> </w:t>
      </w:r>
      <w:r>
        <w:rPr>
          <w:rFonts w:ascii="Times New Roman" w:hAnsi="Times New Roman"/>
          <w:b w:val="false"/>
          <w:i w:val="false"/>
          <w:color w:val="000000"/>
          <w:sz w:val="22"/>
        </w:rPr>
        <w:t>Approvals of training courses shall expire three years after the date of issuance. The training manager shall submit the following at least 30 days prior to the expiration date for a course to be reapproved: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Sponsoring organization name, contact person,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courses for which reapproval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to the training staff, facility, equipment, or course materials since the approval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signed by the training manager stating that the training program complies at all times with </w:t>
      </w:r>
      <w:hyperlink r:id="rId38">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70.4(18)</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consider a request for approval of a training course that has been approved by a state or tribe authorized by the U.S.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course shall be approved if it meets the requirements of </w:t>
      </w:r>
      <w:hyperlink r:id="rId39">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course does not meet all of the requirements of </w:t>
      </w:r>
      <w:hyperlink r:id="rId40">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 xml:space="preserve">, the department shall inform the training provider of additional topics and training hours that are needed to meet the requirements of </w:t>
      </w:r>
      <w:hyperlink r:id="rId41">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641—70.5</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interim certification, and recertification. </w:t>
      </w:r>
      <w:r>
        <w:rPr>
          <w:rFonts w:ascii="Times New Roman" w:hAnsi="Times New Roman"/>
          <w:b w:val="false"/>
          <w:i w:val="false"/>
          <w:color w:val="000000"/>
          <w:sz w:val="22"/>
        </w:rPr>
        <w:t>The department shall issue certifications and recertifications for a three-year time period. All applications for certification or recertification may be made to the department electronically in a format specified by the department or may be made to the department using a paper application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val="false"/>
          <w:color w:val="000000"/>
          <w:sz w:val="22"/>
        </w:rPr>
        <w:t>A person wishing to become a certified lead professional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completion of an approved course for the discipline in which the applicant wishes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wishing to become a certified lead inspector/risk assessor or a certified elevated blood lead (EBL) inspector/risk assessor, documentation of successful completion of the manufacturer’s training course or equivalent for the X-ray fluorescence (XRF) analyzer that the inspector/risk assessor or elevated blood lead (EBL) inspector/risk assessor will use to conduct lead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wishing to become a certified elevated blood lead (EBL) inspector/risk assessor, documentation of successful completion of an eight-hour elevated blood lead (EBL) inspector/risk assessor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meets the additional experience and education requirements in subrule </w:t>
      </w:r>
      <w:hyperlink r:id="rId42">
        <w:r>
          <w:rPr>
            <w:rStyle w:val="Hyperlink"/>
            <w:rFonts w:ascii="Times New Roman" w:hAnsi="Times New Roman"/>
            <w:b w:val="false"/>
            <w:i w:val="false"/>
            <w:color w:val="000000"/>
            <w:sz w:val="22"/>
          </w:rPr>
          <w:t>70.5(2)</w:t>
        </w:r>
      </w:hyperlink>
      <w:r>
        <w:rPr>
          <w:rFonts w:ascii="Times New Roman" w:hAnsi="Times New Roman"/>
          <w:b w:val="false"/>
          <w:i w:val="false"/>
          <w:color w:val="000000"/>
          <w:sz w:val="22"/>
        </w:rPr>
        <w:t xml:space="preserve"> for the discipline in which the applicant wishes to become certified. The following documents shall be submitted as evidence that the applicant has the education and work experience required by subrule </w:t>
      </w:r>
      <w:hyperlink r:id="rId43">
        <w:r>
          <w:rPr>
            <w:rStyle w:val="Hyperlink"/>
            <w:rFonts w:ascii="Times New Roman" w:hAnsi="Times New Roman"/>
            <w:b w:val="false"/>
            <w:i w:val="false"/>
            <w:color w:val="000000"/>
            <w:sz w:val="22"/>
          </w:rPr>
          <w:t>70.5(2)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transcripts or diplomas as evidence of meeting the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Résumés, letters of reference, or documentation of work experience, as evidence of meeting the work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become certified as a lead inspector/risk assessor, elevated blood lead (EBL) inspector/risk assessor, lead abatement contractor, or project designer, a certificate showing that the applicant has passed the state certification examination in the discipline in which the applicant wishes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receive interim certification from the department as a lead inspector/risk assessor, elevated blood lead (EBL) inspector/risk assessor, lead abatement contractor, or project designer by submitting the items required by paragraphs </w:t>
      </w:r>
      <w:hyperlink r:id="rId44">
        <w:r>
          <w:rPr>
            <w:rStyle w:val="Hyperlink"/>
            <w:rFonts w:ascii="Times New Roman" w:hAnsi="Times New Roman"/>
            <w:b w:val="false"/>
            <w:i w:val="false"/>
            <w:color w:val="000000"/>
            <w:sz w:val="22"/>
          </w:rPr>
          <w:t>70.5(1)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to the department. Interim certification shall expire six months from the date of completion of an approved course. An applicant shall upgrade an interim certification to a certification by submitting a certificate to the department showing that the applicant has passed the state certification examination as required by paragraph </w:t>
      </w:r>
      <w:hyperlink r:id="rId45">
        <w:r>
          <w:rPr>
            <w:rStyle w:val="Hyperlink"/>
            <w:rFonts w:ascii="Times New Roman" w:hAnsi="Times New Roman"/>
            <w:b w:val="false"/>
            <w:i w:val="false"/>
            <w:color w:val="000000"/>
            <w:sz w:val="22"/>
          </w:rPr>
          <w:t>70.5(1)</w:t>
        </w:r>
        <w:r>
          <w:rPr>
            <w:rFonts w:ascii="Times New Roman" w:hAnsi="Times New Roman"/>
            <w:b w:val="false"/>
            <w:i/>
            <w:color w:val="000000"/>
            <w:sz w:val="22"/>
          </w:rPr>
          <w:t>“f.”</w:t>
        </w:r>
      </w:hyperlink>
      <w:r>
        <w:rPr>
          <w:rFonts w:ascii="Times New Roman" w:hAnsi="Times New Roman"/>
          <w:b w:val="false"/>
          <w:i w:val="false"/>
          <w:color w:val="000000"/>
          <w:sz w:val="22"/>
        </w:rPr>
        <w:t xml:space="preserve"> Interim certification is equivalent to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val="false"/>
          <w:color w:val="000000"/>
          <w:sz w:val="22"/>
        </w:rPr>
        <w:t>To become certified by the department as a lead professional, an applicant must meet the education and experience requirements for the appropriate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Lead inspector/risk assessors and elevated blood lead (EBL) inspector/risk assessors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Associate’s degree and two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three years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Lead abatement contractors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experience as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years of related experience or education (e.g., lead, housing inspection, building trades, property management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required for lead abatement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Sampling technicians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Associate’s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 school diploma and one year of related experience (e.g., lead, environmental health, public health, housing inspection, building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as an industrial hygienist, professional engineer, registered architect, registered sanitarian, registered environmental health specialist,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 designers must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Bachelor’s degree in engineering, architecture, or a related profession, and one year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years of experience in building construction and design or a related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additional education or experience is required for lead-safe renovators.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department for an eligibility determination pursuant to </w:t>
      </w:r>
      <w:hyperlink r:id="rId46">
        <w:r>
          <w:rPr>
            <w:rStyle w:val="Hyperlink"/>
            <w:rFonts w:ascii="Times New Roman" w:hAnsi="Times New Roman"/>
            <w:b w:val="false"/>
            <w:i w:val="false"/>
            <w:color w:val="000000"/>
            <w:sz w:val="22"/>
          </w:rPr>
          <w:t>paragraph 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applicant’s convictions will be reviewed when the department receives a completed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disclose all convictions on a certification application. Failure to disclose all convictions is grounds for certification denial or disciplinary action following certification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convictions shall submit the complete criminal record for each conviction and a personal statement regarding whether each conviction directly relates to the practice of the profession in order for the certification application to be considered complete.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as a part of the certification application all evidence of rehabilitation that the applicant wishes to be considered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a certification if the applicant has a disqualifying offense unless the applicant demonstrates by clear and convincing evidence that the applicant is rehabilitated pursuant to Iowa Code section </w:t>
      </w:r>
      <w:hyperlink r:id="rId4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with one or more disqualifying offenses who has been found rehabilitated must still satisfy all other requirements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certification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certification application may petition the department for a determination of whether one or more of the individual’s convictions are disqualifying offenses that would render the individual ineligible for certification. An individual with a conviction is not required to petition the department for an eligibility determination prior to applying for certification. To petition the department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 criminal record for each of the petitioner’s convictions;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department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certification because of a disqualifying offense may appeal the decision in the manner and time frame set forth in the department’s written decision. A timely appeal will initiate a nondisciplinary contested case proceeding. The department’s rules governing contested case proceedings will apply unless otherwise specified in this rule. If the petitioner or applicant fails to timely appeal, the department’s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department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department’s initial ineligibility determination or certification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certification denial in order to exhaust administrative remedies. A petitioner or applicant may only seek judicial review of an ineligibility determination or certification denial after the issuance of a final order following a contested case proceeding. Judicial review of the final order following a contested case proceeding shall be in accordance with Iowa Code chapter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certification application prior to the date specified in the final order. If a final order denies a certification application, the applicant may not submit a subsequent certification application or a petition for eligibility determination prior to the date specified in the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70.5(5)</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2/12/20</w:t>
      </w:r>
      <w:r>
        <w:rPr>
          <w:rFonts w:ascii="Times New Roman" w:hAnsi="Times New Roman"/>
          <w:b w:val="false"/>
          <w:i w:val="false"/>
          <w:color w:val="000000"/>
          <w:sz w:val="22"/>
        </w:rPr>
        <w:t>, effective 3/18/20.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70.5(6)</w:t>
      </w:r>
      <w:r>
        <w:rPr>
          <w:rFonts w:ascii="Times New Roman" w:hAnsi="Times New Roman"/>
          <w:b w:val="false"/>
          <w:i w:val="false"/>
          <w:color w:val="000000"/>
          <w:sz w:val="22"/>
        </w:rPr>
        <w:t> </w:t>
      </w:r>
      <w:r>
        <w:rPr>
          <w:rFonts w:ascii="Times New Roman" w:hAnsi="Times New Roman"/>
          <w:b w:val="false"/>
          <w:i w:val="false"/>
          <w:color w:val="000000"/>
          <w:sz w:val="22"/>
        </w:rPr>
        <w:t>Individuals applying for recertification as lead professionals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$180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certificate showing that the applicant has successfully completed an approved refresher training course for the appropriate discipline. The refresher training course must be completed no more than three years prior to the date of the application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70.5(7)</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the state certification examinations for the disciplines of lead inspector/risk assessor, elevated blood lead (EBL) inspector/risk assessor, lead abatement contractor, and project designer. The state certification examination shall be administered by selected community college testing centers in Iowa. A community college testing center shall set the fee for administering the state certification examination to each applicant and shall collect the fee from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achieve a score of at least 80 percent on the examination. An individual may take the state certification examination no more than three times within six months of receiving a certificate of completion from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pass the state certification examination within six months of receiving a certificate of completion from an approved course, the individual must retake the appropriate approved course before reapplying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70.5(8)</w:t>
      </w:r>
      <w:r>
        <w:rPr>
          <w:rFonts w:ascii="Times New Roman" w:hAnsi="Times New Roman"/>
          <w:b w:val="false"/>
          <w:i w:val="false"/>
          <w:color w:val="000000"/>
          <w:sz w:val="22"/>
        </w:rPr>
        <w:t> </w:t>
      </w:r>
      <w:r>
        <w:rPr>
          <w:rFonts w:ascii="Times New Roman" w:hAnsi="Times New Roman"/>
          <w:b w:val="false"/>
          <w:i w:val="false"/>
          <w:color w:val="000000"/>
          <w:sz w:val="22"/>
        </w:rPr>
        <w:t xml:space="preserve">Reciprocity. Each applicant for certification who is certified in any of the disciplines specified in this rule in another state may request reciprocal certification. The department shall evaluate the requirements for certification to determine that the requirements for certification in such other state are as protective of health and the environment as the requirements for certification in Iowa. For all disciplines except lead-safe renovator and lead abatement worker, if the department determines that the requirements for certification in such other state are as protective of health and the environment as the requirements for certification in Iowa, the applicant may be certified after passing a proctored test covering Iowa-specific lead information with a score of at least 80 percent. For a lead-safe renovator and lead abatement worker, if the department determines that the requirements for certification in such other state are as protective of health and the environment as the requirements for certification in Iowa, the applicant may be certified after signing a statement indicating that the applicant has read and understands Iowa-specific lead information provided by the department. Each applicant for certification pursuant to this subrule shall submit the appropriate application accompanied by the fee for each discipline as specified in </w:t>
      </w:r>
      <w:hyperlink r:id="rId49">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641—70.6</w:t>
      </w:r>
      <w:r>
        <w:rPr>
          <w:rFonts w:ascii="Times New Roman" w:hAnsi="Times New Roman"/>
          <w:b/>
          <w:i w:val="false"/>
          <w:color w:val="000000"/>
          <w:sz w:val="22"/>
        </w:rPr>
        <w:t xml:space="preserve">(135) </w:t>
      </w:r>
      <w:r>
        <w:rPr>
          <w:rFonts w:ascii="Times New Roman" w:hAnsi="Times New Roman"/>
          <w:b/>
          <w:i w:val="false"/>
          <w:color w:val="000000"/>
          <w:sz w:val="22"/>
        </w:rPr>
        <w:t xml:space="preserve">Work practice standards for lead professionals conducting lead-based paint activities in target housing and child-occupied facilities. </w:t>
      </w:r>
      <w:r>
        <w:rPr>
          <w:rFonts w:ascii="Times New Roman" w:hAnsi="Times New Roman"/>
          <w:b w:val="false"/>
          <w:i w:val="false"/>
          <w:color w:val="000000"/>
          <w:sz w:val="22"/>
        </w:rPr>
        <w:t xml:space="preserve">All lead-based paint activities shall be performed according to the work practice standards in </w:t>
      </w:r>
      <w:hyperlink r:id="rId50">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and a certified individual must perform that activity in compliance with the appropriate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a lead-free inspection according to the following standards. A lead-free inspection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a residential dwelling,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shall test each testing combination in each room. On windows, the window frame, interior windowsill, window sash, and window trough shall each be considered a separate testing combination. Except for walls, one sample shall be taken for each testing combination in a room. Each wall in a room shall be tested. The certified lead inspector/risk assessor or elevated blood lead (EBL) inspector/risk assessor shall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certification under penalty of perjury per Iowa Code section </w:t>
      </w:r>
      <w:hyperlink r:id="rId51">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shall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note any components where lead-based paint has been enclosed or encapsulated. The certified lead inspector/risk assessor or elevated blood lead (EBL) inspector/risk assessor shall not make a determination that the residential dwelling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(XRF)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taking the final set of calibration readings and 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instructed by the property owner or the person requesting the report, the certified lead inspector/risk assessor or elevated blood lead (EBL) inspector/risk assessor may assume that inconclusive readings are positive, but shall not assume that inconclusive readings are negative.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 described by the performance characteristics sheet, the certified lead inspector/risk assessor or elevated blood lead (EBL) inspector/risk assessor shall conduct retesting of 10 surfaces, calculate the retest tolerance limit, and determine whether the inspection meets the retest tolerance limit. If the retest tolerance limit is not met, then this procedure shall be repeated with 10 additional surfaces. If the retest tolerance limit is not met with the 20 retested surfaces, then all results of the inspection shall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each testing combination in the residential dwelling is found to be free of lead-based paint, then the residential dwelling is free of lead-based paint. If any surface in the residential dwelling is found to be painted with lead-based paint, then the residential dwelling is not free of lead-based paint.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 lead-free inspection,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lead-free inspection is completed. No later than three weeks after the receipt of laboratory results, the certified lead inspector/risk assessor or certified elevated blood lead (EBL) inspector/risk assessor shall send a copy of the report to the property owner and to the person requesting the lead-free inspection,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that the inspection was conducted to determine whether the residential dwelling is free of lead-based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inspection;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Each testing method and sampling procedure employed for paint analysis, including quality control data and, if used, the manufacturer, serial number, software, and operating mode of any X-ray fluorescence (XRF) device; </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results of retesting of 10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If the certified lead inspector/risk assessor or certified elevated blood lead (EBL) inspector/risk assessor determines that the residential dwelling is free of lead-based paint,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7 of the Guidelines for the Evaluation and Control of Lead-Based Paint Hazards in Housing ((2012), U.S. Department of Housing and Urban Development). Therefore, this residential dwelling qualifies for the exemption in 24 CFR Part 35 and 40 CFR Part 745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which could create lead dust or lead-contaminated soil hazards if the paint is turned into dust by abrasion, scraping, or sanding. This report should be kept by the owner and all future owners for the life of the residential dwelling. Per the disclosure requirements of 24 CFR Part 35 and 40 CFR Part 745,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 xml:space="preserve">Information regarding Iowa’s prerenovation notification requirements found in </w:t>
      </w:r>
      <w:hyperlink r:id="rId52">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remodeling and repainting found in </w:t>
      </w:r>
      <w:hyperlink r:id="rId53">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54">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55">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multifamily housing,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residential dwellings for testing when conducting a lead-free inspection in multifamily housing. 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If the certified lead inspector/risk assessor or elevated blood lead (EBL) inspector/risk assessor does not randomly select the residential dwellings for testing or if there are not enough residential dwellings to randomly select them for sampling, all residential dwellings shall be tested. If random selection is used, the certified lead inspector/risk assessor or elevated blood lead (EBL) inspector/risk assessor conducting the lead-free inspection shall randomly select the residential dwellings to be tested. The property owner, manager, or another interested party shall not specify which residential dwellings are to be tested. The certified lead inspector/risk assessor or elevated blood lead (EBL) inspector/risk assessor shall use Table 1 to determine the number of residential dwellings to randomly select for testing.</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Minimum Number of Residential Dwellings to be Randomly Selected in Multifamily Housing for</w:t>
      </w:r>
    </w:p>
    <w:p>
      <w:pPr>
        <w:spacing w:before="60" w:after="0"/>
        <w:ind w:left="120"/>
        <w:jc w:val="center"/>
      </w:pPr>
      <w:r>
        <w:rPr>
          <w:rFonts w:ascii="Times New Roman" w:hAnsi="Times New Roman"/>
          <w:b w:val="false"/>
          <w:i w:val="false"/>
          <w:color w:val="000000"/>
          <w:sz w:val="22"/>
        </w:rPr>
        <w:t>Lead-Free Inspection, Risk Assessment, Lead Hazard Screen, or Clearance Testing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91"/>
        <w:gridCol w:w="3151"/>
        <w:gridCol w:w="3150"/>
        <w:gridCol w:w="2497"/>
      </w:tblGrid>
      <w:tr>
        <w:trPr>
          <w:trHeight w:val="405" w:hRule="atLeast"/>
        </w:trPr>
        <w:tc>
          <w:tcPr>
            <w:tcW w:w="239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 Similar Common Areas, or Similar Exteriors in Multifamily Housing</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Lead-Free Inspection, Risk Assessment,</w:t>
            </w:r>
          </w:p>
          <w:p>
            <w:pPr>
              <w:spacing w:before="0" w:after="0"/>
              <w:ind w:left="160"/>
              <w:jc w:val="center"/>
            </w:pPr>
            <w:r>
              <w:rPr>
                <w:rFonts w:ascii="Times New Roman" w:hAnsi="Times New Roman"/>
                <w:b w:val="false"/>
                <w:i w:val="false"/>
                <w:color w:val="000000"/>
                <w:sz w:val="16"/>
              </w:rPr>
              <w:t>or Lead Hazard Screen</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Clearance Testing</w:t>
            </w:r>
          </w:p>
        </w:tc>
      </w:tr>
      <w:tr>
        <w:trPr>
          <w:trHeight w:val="945" w:hRule="atLeast"/>
        </w:trPr>
        <w:tc>
          <w:tcPr>
            <w:tcW w:w="0" w:type="auto"/>
            <w:vMerge/>
            <w:tcBorders>
              <w:top w:val="nil"/>
              <w:bottom w:val="single" w:color="000000" w:sz="8"/>
              <w:right w:val="single" w:color="000000" w:sz="8"/>
            </w:tcBorders>
          </w:tcPr>
          <w:p/>
        </w:tc>
        <w:tc>
          <w:tcPr>
            <w:tcW w:w="3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Pre-1960 Residential Dwellings or Residential Dwellings of Unknown Date of Construction to Randomly Select for Testing</w:t>
            </w:r>
          </w:p>
        </w:tc>
        <w:tc>
          <w:tcPr>
            <w:tcW w:w="31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1960-1977 Residential Dwellings to Randomly Select for Testing</w:t>
            </w:r>
          </w:p>
        </w:tc>
        <w:tc>
          <w:tcPr>
            <w:tcW w:w="24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Residential Dwellings to Randomly Select for Clearance Testing</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300"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16-17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21-26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33-34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40-48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49-50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52-53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55-56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57-58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60-69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70-73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74-75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76-77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78-79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80-88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89-95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96-97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98-99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100-109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110-117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118-119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120-138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139-157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158-159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160-177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178-197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198-218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219-258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259-279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280-299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300-379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380-499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500-776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777-939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940-1004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1005-1022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1023-1032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1033-1039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570" w:hRule="atLeast"/>
        </w:trPr>
        <w:tc>
          <w:tcPr>
            <w:tcW w:w="23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1040+</w:t>
            </w:r>
          </w:p>
        </w:tc>
        <w:tc>
          <w:tcPr>
            <w:tcW w:w="31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c>
          <w:tcPr>
            <w:tcW w:w="31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 rounded to the next highest whole number</w:t>
            </w:r>
          </w:p>
        </w:tc>
        <w:tc>
          <w:tcPr>
            <w:tcW w:w="2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each type of common area in the multifamily housing, including but not limited to hallways, exterior sides of a building, and laundry rooms, for testing. Each type of common area shall be counted separately. If built before 1960, the multifamily housing shall contain at least 20 of a type of common area in order to use random selection. If built from 1960 to 1977, the multifamily housing shall contain at least 10 of a type of common area in order to use random selection. If the certified lead inspector/risk assessor or elevated blood lead (EBL) inspector/risk assessor does not randomly select the common areas for testing or if there are not enough common areas to randomly select them for testing, all common areas shall be tested. The certified lead inspector/risk assessor or elevated blood lead (EBL) inspector/risk assessor shall use Table 1 to determine the number of each type of common area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of each residential dwelling selected for testing and in each common area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shall test each testing combination in each room of a residential dwelling chosen for testing and in each common area chosen for testing. On windows, the window frame, interior windowsill, window sash, and window trough shall each be considered a separate testing combination. Each wall in a room or a common area shall be tested. The certified lead inspector/risk assessor or elevated blood lead (EBL) inspector/risk assessor shall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evidence of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certification under penalty of perjury per Iowa Code section </w:t>
      </w:r>
      <w:hyperlink r:id="rId56">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shall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note any components where lead-based paint has been enclosed or encapsulated. The certified lead inspector/risk assessor or elevated blood lead (EBL) inspector/risk assessor shall not make a determination that a component or the multifamily housing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must use an X-ray fluorescence analyzer which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not use an X-ray fluorescence analyzer using a software version or a mode of operation that could result in inconclusive readings or that recommends substrate correction.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as positive or negative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count the number of XRF readings taken for each component type. If fewer than 40 of any component type were tested, the certified lead inspector/risk assessor or elevated blood lead (EBL) inspector/risk assessor shall randomly choose additional testing combinations for the component type to reach a total of 40 XRF readings. If fewer than 40 testing combinations are available for testing, the certified lead inspector/risk assessor or elevated blood lead (EBL) inspector/risk assessor shall test each testing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component type where at least 40 testing combinations have been tested, the certified lead inspector/risk assessor or elevated blood lead (EBL) inspector/risk assessor shall determine the number and percentage of each component type that is classified as positive or negative. The certified lead inspector/risk assessor or elevated blood lead (EBL) inspector/risk assessor shall classify each component type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Lead-based paint is not present on a component type if all readings are classified as negative.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Lead-based paint is present on a component type if at least 15 percent of the readings are classified as positive.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Lead-based paint is present on a component type if greater than or equal to 5 percent but less than 15 percent of the XRF readings are classified as positive, unless the certified lead inspector/risk assessor or elevated blood lead (EBL) inspector/risk assessor collects paint samples and obtains laboratory analyses for all positive XRF readings. If the laboratory analyses show that lead-based paint is not present on any components, then the component type is negative. If the laboratory analyses show that lead-based paint is present on any component, then the component type is positive.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Lead-based paint is present on a component type if greater than 0 but less than 5 percent of the XRF readings are classified as positive, unless the certified lead inspector/risk assessor or elevated blood lead (EBL) inspector/risk assessor collects paint samples and obtains laboratory analyses for all positive XRF readings or randomly selects a second set of residential dwellings for testing. If the laboratory analyses show that lead-based paint is not present on any components, then the component type is negative. If the laboratory analyses show that lead-based paint is present on any component, then the component type is positive. If a second set of randomly selected residential dwellings is sampled and greater than 0 but less than 2.5 percent of the combined set of results is positive, the component type may be considered as not having lead-based paint developmentwide but rather, having lead-based paint in isolated locations, with a reasonable degree of confidence. Individual components that are classified as positive should be considered lead-based painted and managed or abated appropriately.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particular component type in the sampled residential dwellings is classified as positive, that same component type in the unsampled residential dwellings is also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fewer than 40 of a component type are available for testing, each testing combination must be classified individually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component type or individual component is classified as positive, then the certified lead inspector/risk assessor or elevated blood lead (EBL) inspector/risk assessor shall not state that the multifamily housing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 specified by the performance characteristics sheet, the certified lead inspector/risk assessor or elevated blood lead (EBL) inspector/risk assessor shall conduct retesting of 10 surfaces selected from two residential dwellings, calculate the retest tolerance limit, and determine whether the inspection meets the retest tolerance limit. If the retest tolerance limit is not met, then this procedure shall be repeated with 10 additional surfaces selected from the two residential dwellings. If the retest tolerance limit is not met with the 20 retested surfaces, then all results of the inspection shall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on any component or component type,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A certified lead inspector/risk assessor or a certified elevated blood lead (EBL) inspector/risk assessor shall prepare a written report for each residential dwelling or child-occupied facility inspected.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inspection report shall include, at least: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Address of each building in the multifamily housing;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construction for each building in the multifamily housing;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of the apartments and common areas in each building in the multifamily housing;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that the inspection was conducted to determine that lead-based paint is not present;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of the Iowa-certified inspector/risk assessor or elevated blood lead (EBL) inspector/risk assessor who randomly selected the residential dwellings and common areas for testing;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number of residential dwellings and common areas that were selected for testing, how these numbers were determined, and a list of the residential dwellings and common areas that were selected for testing;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Specific locations by room of each painted component tested for the presence of lead-based paint and by residential dwelling or common area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Component aggregations and the determination of whether lead-based paint is present by component type;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The results of retesting of 10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If the certified lead inspector/risk assessor or certified elevated blood lead (EBL) inspector/risk assessor determines that the multifamily housing is free of lead-based paint,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7 of the Guidelines for the Evaluation and Control of Lead-Based Paint Hazards in Housing ((2012), U.S. Department of Housing and Urban Development). Therefore, this multifamily housing qualifies for the exemption in 24 CFR Part 35 and 40 CFR Part 745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which could create lead dust or lead-contaminated soil hazards if the paint is turned into dust by abrasion, scraping, or sanding. This report should be kept by the owner and all future owners for the life of the multifamily housing. Per the disclosure requirements of 24 CFR Part 35 and 40 CFR Part 745,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 xml:space="preserve">Information regarding Iowa’s prerenovation notification requirements found in </w:t>
      </w:r>
      <w:hyperlink r:id="rId5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58">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59">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60">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lead inspections according to the following standards. Lead inspections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inspection in a residential dwelling or child-occupied facility,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each testing combination in each room. On windows, the window frame, interior windowsill, window sash, and window trough shall each be considered a separate testing combination. One sample shall be taken for each testing combination in a room, including the walls. If a testing combination is painted and not tested, it shall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elevated blood lead (EBL) inspector/risk assessor shall use an X-ray fluorescence analyzer that has a performance characteristics sheet and shall use the X-ray fluorescence analyzer according to the performance characteristics sheet.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inspection,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inspected.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inspection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6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62">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63">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64">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70.6(3)</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must conduct elevated blood lead (EBL) inspections according to the following standards. Elevated blood lead (EBL) inspections shall be conducted only by a certified elevated blood lead (EBL) inspector/risk assessor. This protocol may be used for children who do not meet the definition of an EBL child as defined in this chapter as long as the inspection is authorized by the department, a local board of health, or a public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an elevated blood lead (EBL) inspection, the certified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test each testing combination in each room. One sample shall be taken for each testing combination in a room, including walls. On windows, the window frame, interior windowsill, window sash, and window trough shall each be considered a separate testing combination. If a testing combination is painted and not tested, it shall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elevated blood lead (EBL) inspector/risk assessor shall collect paint samples using the documented methodologies specified in guidance documents issued by the department. If testing by X-ray fluorescence, the certified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use the NIST 1.02 standard film or standards provided by the manufacturer for calibration of the X-ray fluorescence analyzer. The certified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elevated blood lead (EBL) inspector/risk assessor shall conduct substrate correction for all XRF readings less than 4.0 milligrams of lead per square centimeter. For each substrate that requires substrate correction, the certified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elevated blood lead (EBL) inspector/risk assessor shall remove paint from an area that is at least as large as the XRF probe faceplate. On each of the two areas, the certified elevated blood lead (EBL) inspector/risk assessor shall place the NIST 1.02 standard film over the surface, and take three XRF readings with the XRF used to conduct the inspection. The certified elevated blood lead (EBL) inspector/risk assessor shall calculate the arithmetic mean for these six readings and shall subtract 1.02 from this arithmetic mean to obtain the substrate correction value. The certified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elevated blood lead (EBL) inspector/risk assessor does not conduct substrate correction where recommended by the performance characteristics sheet, then the certified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elevated blood lead (EBL) inspector/risk assessor may assume that all inconclusive readings are positive and classify them as such.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resolve inconclusive readings as defined by the performance characteristics sheet for the XRF by collecting paint samples for laboratory analysis. If the certified elevated blood lead (EBL) inspector/risk assessor does not resolve inconclusive readings, then the certified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elevated blood lead (EBL) inspection, the certified elevated blood lead (EBL) inspector/risk assessor must conduct a visual inspection to determine the presence of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later than two weeks after the receipt of laboratory results, a certified elevated blood lead (EBL) inspector/risk assessor shall prepare a written report for each residential dwelling or child-occupied facility where an elevated blood lead (EBL) inspection has been conducted and shall provide a copy of this report to the property owner and the occupant of the dwelling.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elevated blood lead (EBL)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65">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66">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an elevated blood lead (EBL) inspector/risk assessor certified according to Iowa Administrative Code </w:t>
      </w:r>
      <w:hyperlink r:id="rId67">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68">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shall maintain for no fewer than ten years a written record for each residential dwelling or child-occupied facility where an elevated blood lead (EBL) inspection has been conducted. The record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report required by paragraph </w:t>
      </w:r>
      <w:hyperlink r:id="rId69">
        <w:r>
          <w:rPr>
            <w:rStyle w:val="Hyperlink"/>
            <w:rFonts w:ascii="Times New Roman" w:hAnsi="Times New Roman"/>
            <w:b w:val="false"/>
            <w:i w:val="false"/>
            <w:color w:val="000000"/>
            <w:sz w:val="22"/>
          </w:rPr>
          <w:t>70.6(3)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lead test results for the elevated blood lead (EBL)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conversations held with the owners and occupants of each residential dwelling or child-occupied facility prior to, during, and after the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follow-up visits made to each residential dwelling or child-occupied facility where lead-based paint hazards are identified and, when issued,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70.6(4)</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lead hazard screens according to the following standards. Lead hazard screens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residential dwelling or child-occupied facility shall be conducted to determine if any deteriorated paint is present and to locate at least two dust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which is determined to have a distinct painting history must be tested for the presence of lead. In addition, friction surfaces where there is evidence of abrasion and impact surfaces that are damaged or otherwise deteriorated from impact and that have a distinct painting history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a minimum of two composite or single-surface dust samples shall be collected. One sample shall be collected from the floors and the other from the interior windowsills in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and child-occupied facilities, single-surface or composite dust samples shall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for lead content in exterior play areas and dripline areas where bare soil is present. In addition, soil samples shall be collected and analyzed for lead content from any other areas of the yard where bare soil is present. Soil and paint samples shall be collected using the documented methodologies specified in guidance documents issued by the department and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National Institute of Standards and Technology 1.02 milligrams of lead per square centimeter standard reference material or standards provided by the manufacturer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whether a residential dwelling or child-occupied facility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shall fail a lead hazard screen if any deteriorated paint or paint on friction or impact surfaces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shall fail a lead hazard screen if any floor dust lead level in a single- surface or composite-surface dust sample is greater than or equal to 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shall fail a lead hazard screen if any interior windowsill dust level in a single-surface or composite-surface dust sample is greater than or equal to 125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shall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hazard screen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 Residential dwellings chosen by targeted selection shall meet as many of the following criteria as possible: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w:t>
      </w: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Minimum Number of Residential Dwellings in Multifamily Housing for Risk Assessment</w:t>
      </w:r>
    </w:p>
    <w:p>
      <w:pPr>
        <w:spacing w:before="60" w:after="0"/>
        <w:ind w:left="120"/>
        <w:jc w:val="center"/>
      </w:pPr>
      <w:r>
        <w:rPr>
          <w:rFonts w:ascii="Times New Roman" w:hAnsi="Times New Roman"/>
          <w:b w:val="false"/>
          <w:i w:val="false"/>
          <w:color w:val="000000"/>
          <w:sz w:val="22"/>
        </w:rPr>
        <w:t>or Lead Hazard Screen Through Targeted Selection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75"/>
        <w:gridCol w:w="7515"/>
      </w:tblGrid>
      <w:tr>
        <w:trPr>
          <w:trHeight w:val="40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w:t>
            </w:r>
          </w:p>
        </w:tc>
        <w:tc>
          <w:tcPr>
            <w:tcW w:w="751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Residential Dwellings to Sample*</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All</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5-20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residential dwellings or 50% (whichever is greater)**</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21-75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 residential dwellings or 20% (whichever is greater)**</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76-125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126-175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19</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176-225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20</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226-300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301-400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401-500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23</w:t>
            </w:r>
          </w:p>
        </w:tc>
      </w:tr>
      <w:tr>
        <w:trPr>
          <w:trHeight w:val="405" w:hRule="atLeast"/>
        </w:trPr>
        <w:tc>
          <w:tcPr>
            <w:tcW w:w="3675"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501+</w:t>
            </w:r>
          </w:p>
        </w:tc>
        <w:tc>
          <w:tcPr>
            <w:tcW w:w="751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24 + 1 residential dwelling for each additional increment of 100 residential dwellings or less</w:t>
            </w:r>
          </w:p>
        </w:tc>
      </w:tr>
    </w:tbl>
    <w:p>
      <w:pPr>
        <w:spacing w:before="0" w:after="0"/>
        <w:ind w:left="120"/>
        <w:jc w:val="both"/>
      </w:pPr>
      <w:r>
        <w:rPr>
          <w:rFonts w:ascii="Times New Roman" w:hAnsi="Times New Roman"/>
          <w:b w:val="false"/>
          <w:i w:val="false"/>
          <w:color w:val="000000"/>
          <w:sz w:val="22"/>
        </w:rPr>
        <w:t>*Does not include residential dwellings housing children with elevated blood lead levels.</w:t>
      </w:r>
    </w:p>
    <w:p>
      <w:pPr>
        <w:spacing w:before="0" w:after="0"/>
        <w:ind w:left="120"/>
        <w:jc w:val="both"/>
      </w:pPr>
      <w:r>
        <w:rPr>
          <w:rFonts w:ascii="Times New Roman" w:hAnsi="Times New Roman"/>
          <w:b w:val="false"/>
          <w:i w:val="false"/>
          <w:color w:val="000000"/>
          <w:sz w:val="22"/>
        </w:rPr>
        <w:t>**For percentages, round up to determine number of residential dwellings to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whether multifamily housing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calculate the arithmetic mean of the dust lead levels for carpeted floors, uncarpeted floors, and interior windowsills. If the arithmetic mean for carpeted floors or uncarpeted floors is greater than or equal to 25 micrograms per square foot, the multifamily housing shall fail the lead hazard screen. If the arithmetic mean for interior windowsills is greater than or equal to 125 micrograms per square foot, the multifamily housing shall fail the lead hazard screen. If the arithmetic mean for carpeted floors or uncarpeted floors is less than 25 micrograms per square foot, but some of the samples have dust lead levels that are greater than or equal to 25 micrograms per square foot, then the residential dwellings where these samples were taken and all other similar residential dwellings in the multifamily housing shall fail the lead hazard screen. If the arithmetic mean for interior windowsills is less than 125 micrograms per square foot, but some of the samples have dust lead levels that are greater than or equal to 125 micrograms per square foot, then the residential dwellings where these samples were taken and all other similar residential dwellings in the multifamily housing shall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 If a component in a residential dwelling is determined or assumed to be lead-based paint, then the entire group of similar residential dwellings in the multifamily housing shall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Multifamily housing shall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lead hazard screen is conducted. No later than three weeks after the receipt of laboratory results, the certified lead inspector/risk assessor or certified elevated blood lead (EBL) inspector/risk assessor shall send a copy of the report to the property owner and to the person requesting the lead hazard screen,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 The results of dust sampling shall be reported in micrograms of lead per square foot, and the results of soil sampling shall be reported in parts per million of lead. Results shall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Whether the residential dwelling or child-occupied facility passed or failed the lead hazard screen and recommendations, if warranted, for a follow-up lead inspection or risk assessment, and, as appropriate, any further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0">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71">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72">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73">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70.6(5)</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risk assessments according to the following standards. Risk assessments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shall be undertaken to locate the existence of deteriorated paint and other potential lead hazards and to assess the extent and causes of the paint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which is determined to have a distinct painting history must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Friction surfaces where there is evidence of abrasion and impact surfaces that are damaged or otherwise deteriorated from impact and that have a distinct painting history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dust samples shall be collected from the interior windowsill, window trough, and floor in all living areas where at least one child is most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dust samples shall also be collected from interior windowsills, window troughs, and floors in common areas adjacent to the sampled residential dwellings or child-occupied facility and in other common areas where the certified lead inspector/risk assessor or certified elevated blood lead (EBL) inspector/risk assessor determines that at least one child under the age of six years is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dust samples shall be collected from the interior windowsill, window trough, and floor in each room, hallway, or stairwell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for lead content in exterior play areas and dripline areas where bare soil is present. In addition, soil samples shall be collected and analyzed for lead content from any other areas of the yard where bare soil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The minimum area for a windowsill wipe sample and for a window trough wipe sample shall be 0.25 square feet. Soil and paint samples shall be collected using the documented methodologies specified in guidance documents issued by the department. Dust and soil samples shall be analyzed by a recognized laboratory to determine the level of lead. The results of dust sampling shall be reported in micrograms of lead per square foot, and the results of soil sampling shall be reported in parts per million of lead. The results shall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material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conducting a risk assessment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 Residential dwellings chosen by targeted selection shall meet as many of the following criteria as possible. 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 Targeted selection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calculate the arithmetic mean of the dust lead levels for carpeted floors, uncarpeted floors, interior windowsills, and window troughs. If the arithmetic mean is greater than or equal to the level defined as a dust lead hazard for the component, then the certified lead inspector/risk assessor or elevated blood lead (EBL) inspector/risk assessor shall determine that a dust lead hazard has been identified on the component throughout the multifamily housing. If the arithmetic mean is less than the level defined as a dust lead hazard for the component, but some of the individual components have dust lead levels that are greater than or equal to the level defined as a dust lead hazard, then the certified lead inspector/risk assessor or elevated blood lead (EBL) inspector/risk assessor shall determine that a dust 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risk assessment is conducted. No later than three weeks after the receipt of laboratory results, the certified lead inspector/risk assessor or certified elevated blood lead (EBL) inspector/risk assessor shall send a copy of the report to the property owner and to the person requesting the risk assessment, if different. A certified lead inspector/risk assessor or a certified elevated blood lead (EBL) inspector/risk assessor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they are used as part of the lead-based paint hazard determination, the results of any previous inspections or analyses for the presence of lead-based paint, or other assessments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4">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75">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76">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77">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70.6(6)</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certified lead abatement worker must conduct lead abatement according to the following standards. Lead abatement shall be conducted only by a certified lead abatement contractor or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must be on site during all work site preparation and during the postabatement cleanup of work areas. At all other times when lead abatement is being conducted, the certified lead abatement contractor shall be on site or available by telephone, pager, or answering service, and be able to be present at the work 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ensure that lead abatement is conducted according to all federal,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notify the department in writing at least seven days prior to the commencement of lead abatement in a residential dwelling or child-occupied facility. The notification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including apartment numbers, where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when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contact for the certified firm that will conduct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certified lead abatement contractor who will serve as the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dwelling is owner-occupied or a rental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dwelling is an occupied rental, the names of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approximate year that the dwelling was 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lead abatement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submit a revised notification to the department if any information in the original notification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abatement contractor shall ensure that the worksite(s) is accessed only by certified lead professionals according to Iowa Administrative Code </w:t>
      </w:r>
      <w:hyperlink r:id="rId78">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79">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 Noncertified individuals shall not be allowed access to a worksite. A worksite shall remain inaccessible to noncertified individuals until it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a certified project designer shall develop a written occupant protection plan for all lead abatement projects prior to starting lead abatement and shall implement the occupant protection plan during the lead abatement project. The occupant protection plan shall be unique to each residential dwelling or child-occupied facility. If the occupants will be living at the property where lead abatement is taking place, then the written occupant plan shall be given to the occupants prior to the start date of the lead abatement project and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location of the physical barriers that will keep occupants out of the designated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worksite(s) is not entered by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occupants have access to a kitchen, bathroom, and living area that are not in the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Approved methods must be used to conduct lead abatement, and prohibited work practices must not be used to conduct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must be posted and readable. All signs must be posted before lead abatement begins and must remain in place until dust-lead clearance has been passed.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extent practicable, all signage must be posted in the occupants’ primary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signs must clearly define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signs must warn occupants and other persons not involved with the lead abatement to remain outside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signs must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area must be effectively contained before the lead abatement begins. To be effective, containment must: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Isolate the work area so that no dust or debris leaves the work area while the lead abatement is being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must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Closing and covering all duct openings in the work area. Ducts must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Closing windows and doors in the work area. Doors must be covered with plastic sheeting or other impermeable material. Doors used as an entrance to the work area must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lead abatement or a sufficient distance to contain the dust, whichever is greater.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exterior lead abatement,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Closing all doors and windows within 20 feet of the lead abatement. On multistory buildings, all doors and windows within 20 feet of the lead abatement on the same story as the lead abatement shall be closed, and all doors and windows on all stories below the lead abatement that are the same horizontal distance from the lead abatement shall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that doors within the work areas that will be used while the lead abatement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Covering the ground with plastic sheeting or other disposable impermeable material extending 10 feet beyond the perimeter of surfaces undergoing lead abatement or a sufficient distance to collect falling paint debris, whichever is greater, unless the property line prevents 10 feet of such ground cover. Exterior ground cover shall include anchors or weights to ensure that the covering remains effective even during weather conditions such as high wind.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or certified lead abatement worker shall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are prohibited work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lead abatement shall be contained to prevent the release of dust and debris before the waste is removed from the work area for storage or disposal. Any chutes used to remove waste from the work area shall be 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each workday and at the conclusion of the lead abatement, waste that has been collected from lead abatement activities must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waste from lead abatement must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work area shall be cleaned so that no dust, debris, or residue remains after lead abatement. Cleaning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removal of the protective sheeting used as required in this subrule. The sheeting shall be misted, then the sheeting shall be folded dirty side inward. All sheeting shall be taped shut or otherwise sealed inside heavy-duty bags. Sheeting used to separate work areas from non-work areas must remain in place until after the cleaning and removal of other sheeting. All sheeting shall be disposed of as waste.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interior lead abatement, all objects and surfaces in the work area and within two feet of the work area must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must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must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must also be wiped with a damp cloth. Uncarpeted floors must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abatement shall be conducted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soil is removed, soil that is a soil-lead hazard shall be replaced by soil with a lead concentration as close to the local background as practicable, but less than 400 parts per million. The soil that is removed shall not be used as topsoil at another residential property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is not removed, the soil that is a soil-lead hazard shall be remediated to meet the definition of “permanently covered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lead-based paint is removed from a surface, the surface shall be repainted or refinished prior to postabatement clearance dust sampling. A certified lead inspector/risk assessor or a certified elevated blood lead (EBL) inspector/risk assessor shall visually verify that lead-based paint was removed from a surface prior to repainting or refinishing.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components painted with lead-based paint are removed, the replacement components shall be installed prior to postabatement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Postabatement clearance procedures shall be conducted by a certified lead inspector/risk assessor or a certified elevated blood lead (EBL) inspector/risk assessor. If the abatement is conducted in response to an elevated blood lead (EBL) inspection, clearance must be conducted by a certified elevated blood lead (EBL) inspector/risk assessor. Postabatement clearance testing shall be performed by persons or entities independent of those performing lead abatement, unless the designated party uses qualified in-house employees to conduct postabatement clearance testing. An in-house employee shall not conduct both lead abatement and the postabatement clearance testing for this work. Postabatement clearance testing shall be conducted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lead abatement, the certified lead inspector/risk assessor or certified elevated blood lead (EBL) inspector/risk assessor shall review the report of the lead inspection, risk assessment, or visual assessment done prior to the lead abatement project and the lead abatement specifications to determine the lead-based paint hazards that were to be abated by the lead abatement project. The certified lead inspector/risk assessor or certified elevated blood lead (EBL) inspector/risk assessor shall perform a visual inspection to determine if all lead-based paint hazards that were to be abated have been abated and to determine if deteriorated paint surfaces or visible amounts of dust, debris, or residue are still present in the rooms where lead abatement was conducted. If lead-based paint hazards that were to be abated by the project or deteriorated paint surfaces or visible amounts of dust, debris, or residue are present in the rooms where lead abatement was conducted, these conditions must be eliminated prior to the continuation of the clearance procedures. However, elimination of deteriorated paint is not required if it has been determined through paint testing or a lead-based paint inspection that the deteriorated paint is not lead-based paint. Following an exterior lead abatement, a visual inspection shall be conducted to determine if all lead-based paint hazards that were to be abated have been abated and to determine if any visible dust or debris remains on any horizontal surfaces in the outdoor living areas close to the abated surface. In addition, a visual inspection shall be conducted to determine the presence of paint chips on the dripline or next to the foundation below any exterior surface that was abated. If lead-based paint hazards that were to be abated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postabatement cleanup, the certified lead inspector/risk assessor or certified elevated blood lead (EBL) inspector/risk assessor shall conduct clearance sampling for lead in dust. Clearance sampling may be conducted by employing single-surface sampling or composite dust sampling.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a minimum of one hour after the completion of final postabatement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postabatement clearance activities shall be conducted as appropriate based upon the extent or manner of lead abatement activities conducted in the residential dwelling or child-occupied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After conducting a lead abatement with containment between abated and unabated areas, three dust samples shall be taken from each of no fewer than four rooms, hallways, or stairwells within the containment area. Dust samples shall be taken from one interior windowsill and from one window trough (if available), and one dust sample shall be taken from the floor of each of no fewer than four rooms, hallways, or stairwells within the containment area. In addition, one dust sample shall be taken from the floor outside of each individual containment area. If there are fewer than four rooms, hallways, or stairwells within the containment area, then all rooms, hallways, and stairwells shall be sampled.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conducting a lead abatement with no containment between abated and unabated areas, three dust samples shall be taken from each of no fewer than four rooms, hallways, or stairwells in the residential dwelling or child-occupied facility. Dust samples shall be taken from one interior windowsill and from one window trough (if available), and one dust sample shall be taken from the floor of each room, hallway, or stairwell selected. If there are fewer than four rooms, hallways, or stairwells in the residential dwelling or child-occupied facility, then all rooms, hallways, and stairwells shall be sampled.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abatement contractors and certified lead abatement workers who abate or clean the dwellings shall not have any knowledge of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shall be recleaned. Additional clearance samples shall be taken from the failed component in each room where it failed and from enough additional rooms that were not previously tested so that four rooms are sampled. If four rooms are not available, then each available room shall be retested. The certified lead inspector/risk assessor or certified elevated blood lead (EBL) inspector/risk assessor shall evaluate the results of this testing to determine if the recleaned components meet the clearance level. The components must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shall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randomly select the residential dwellings that will be sampled. The certified lead abatement contractors and certified lead abatement workers who abate or clean the dwellings do not know which residential dwellings will be selected for the random selection or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use Table 1 to determine the minimum number of residential dwellings selected for dust sampling. This shall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shall sample the randomly selected residential dwellings and evaluate them for clearance according to the procedures found in paragraphs </w:t>
      </w:r>
      <w:hyperlink r:id="rId80">
        <w:r>
          <w:rPr>
            <w:rStyle w:val="Hyperlink"/>
            <w:rFonts w:ascii="Times New Roman" w:hAnsi="Times New Roman"/>
            <w:b w:val="false"/>
            <w:i w:val="false"/>
            <w:color w:val="000000"/>
            <w:sz w:val="22"/>
          </w:rPr>
          <w:t>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weeks after the property passes clearance, the certified lead inspector/risk assessor or certified elevated blood lead (EBL) inspector/risk assessor shall send a report to the lead abatement contractor that contains the items required by subparagraphs </w:t>
      </w:r>
      <w:hyperlink r:id="rId81">
        <w:r>
          <w:rPr>
            <w:rStyle w:val="Hyperlink"/>
            <w:rFonts w:ascii="Times New Roman" w:hAnsi="Times New Roman"/>
            <w:b w:val="false"/>
            <w:i w:val="false"/>
            <w:color w:val="000000"/>
            <w:sz w:val="22"/>
          </w:rPr>
          <w:t>70.6(6)</w:t>
        </w:r>
      </w:hyperlink>
      <w:r>
        <w:rPr>
          <w:rFonts w:ascii="Times New Roman" w:hAnsi="Times New Roman"/>
          <w:b w:val="false"/>
          <w:i/>
          <w:color w:val="000000"/>
          <w:sz w:val="22"/>
        </w:rPr>
        <w:t>“n”</w:t>
      </w:r>
      <w:r>
        <w:rPr>
          <w:rFonts w:ascii="Times New Roman" w:hAnsi="Times New Roman"/>
          <w:b w:val="false"/>
          <w:i w:val="false"/>
          <w:color w:val="000000"/>
          <w:sz w:val="22"/>
        </w:rPr>
        <w:t>(7) through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or a certified project designer shall prepare a lead abatement report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and any revised lead abatement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and completion dates of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certified lead abatement contractor and of the certified firm contact for the firm conducting the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occupant protection plan required by paragraph </w:t>
      </w:r>
      <w:hyperlink r:id="rId82">
        <w:r>
          <w:rPr>
            <w:rStyle w:val="Hyperlink"/>
            <w:rFonts w:ascii="Times New Roman" w:hAnsi="Times New Roman"/>
            <w:b w:val="false"/>
            <w:i w:val="false"/>
            <w:color w:val="000000"/>
            <w:sz w:val="22"/>
          </w:rPr>
          <w:t>70.6(6)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inspector/risk assessor or certified elevated blood lead (EBL) inspector/risk assessor conducting clearance sampling, the date on which the clearance testing was conducted, the results of the visual inspection for the presence of lead hazards that were not abated as specified, deteriorated paint and visible dust, debris, residue, or paint chips in the interior rooms and exterior areas where lead abatement was conducted, and the results of all postabatement clearance testing and all soil analyses, if applicable. The results of dust sampling shall be reported in micrograms of lead per square foot by location of sample, and the results of soil sampling shall be reported in parts per million of lead. The results shall not be reported as “not detectable.” If random selection was used to select the residential dwellings that were sampled, the report shall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lead abatement was or was not done as specified and that the rooms and exterior areas where lead abatement was conducted did or did not pass the visual clearance and the clearance dust testing. If the certified lead inspector/risk assessor or certified elevated blood lead (EBL) inspector/risk assessor conducting the clearance testing cannot verify that all lead-based paint hazards have been abated, the report shall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the lead abatement project was done according to the project specifications. This residential dwelling may still contain hazardous lead-based paint, soil-lead hazards, or dust-lead hazards in the rooms or exterior areas that were not included in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clearance samples and soil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lead abatement project, including lead abatement methods used, locations of rooms and components where lead abatement occurred, reasons for selecting particular lead abatement methods, and any suggested monitoring of encapsulants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84">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a copy of the written consent or waiver required by subrule </w:t>
      </w:r>
      <w:hyperlink r:id="rId85">
        <w:r>
          <w:rPr>
            <w:rStyle w:val="Hyperlink"/>
            <w:rFonts w:ascii="Times New Roman" w:hAnsi="Times New Roman"/>
            <w:b w:val="false"/>
            <w:i w:val="false"/>
            <w:color w:val="000000"/>
            <w:sz w:val="22"/>
          </w:rPr>
          <w:t>70.6(13)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lead abatement report shall be completed no later than 30 days after the lead abatement project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shall maintain all reports and plans required in this subrule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shall provide a copy of all reports required by this subrule to the building owner and to the person who contracted for the lead abatement,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must conduct visual risk assessments according to the following standards. Provided that all of the following standards are met, a certified lead inspector/risk assessor, a certified elevated blood lead (EBL) inspector/risk assessor, or a certified sampling technician may remotely conduct a visual risk assessment using technology that allows for adequate visual evaluation of the painted surfaces. Visual risk assessments shall be conducted only by a certified lead inspector/risk assessor, a certified elevated blood lead (EBL) inspector/risk assessor, or a certified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shall be undertaken to locate the existence of deteriorated paint and other potential lead-based paint hazards and to assess the extent and causes of the paint deterioration. A certified lead inspector/risk assessor, a certified elevated blood lead (EBL) inspector/risk assessor, or a certified sampling technician shall assess each component in each room, including each exterior side. A certified lead inspector/risk assessor, a certified elevated blood lead (EBL) inspector/risk assessor, or a certified sampling technician shall identify the following conditions as potential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interior and exterior surfaces with deteriorated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hard surfaces, including but not limited to floors and windowsills, that are not smooth or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Dust-generating conditions, including but not limited to conditions causing rubbing, binding, or crushing of surfaces known or presumed to be coated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Bare soil in the play area and dripline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shall prepare a written report for each residential dwelling or child-occupied facility where a visual risk assessment is conducted. No later than three weeks after completing the visual risk assessment, the certified lead inspector/risk assessor, certified elevated blood lead (EBL) inspector/risk assessor, or certified sampling technician shall send a copy of the report to the property owner and to the person requesting the visual risk assessment, if different. A certified lead inspector/risk assessor, a certified elevated blood lead (EBL) inspector/risk assessor, or a certified sampling technician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sampling technician, certified lead inspector/risk assessor, or certified elevated blood lead (EBL) inspector/risk assessor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 locations of painted or finished components identified as likely to contain lead-based paint and likely to be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Specific locations of bare soil in the play area and the dripline of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a remote visual risk assessment is conducted, a description of the methodologies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for the owner and occupants on how to reduce lead hazards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86">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87">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88">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89">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70.6(8)</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must conduct clearance testing according to the following standards. Clearance testing following lead abatement shall be conducted only by a certified lead inspector/risk assessor or a certified elevated blood lead (EBL) inspector/risk assessor. Clearance testing after renovation and clearance testing after interim controls, paint stabilization, standard treatments, ongoing lead-based paint maintenance, and rehabilitation pursuant to 24 CFR Part 35 shall be conducted only by certified sampling technicians, certified lead inspector/risk assessors, or certified elevated blood lead (EBL) inspector/risk assessors. If the abatement, renovation, or interim controls, paint stabilization, standard treatments, ongoing lead-based paint maintenance, or rehabilitation pursuant to 24 CFR Part 35 is conducted in response to an elevated blood lead (EBL) inspection, clearance must be conducted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Clearance testing following lead abatement shall be conducted according to paragraphs </w:t>
      </w:r>
      <w:hyperlink r:id="rId90">
        <w:r>
          <w:rPr>
            <w:rStyle w:val="Hyperlink"/>
            <w:rFonts w:ascii="Times New Roman" w:hAnsi="Times New Roman"/>
            <w:b w:val="false"/>
            <w:i w:val="false"/>
            <w:color w:val="000000"/>
            <w:sz w:val="22"/>
          </w:rPr>
          <w:t>70.6(6)</w:t>
        </w:r>
        <w:r>
          <w:rPr>
            <w:rFonts w:ascii="Times New Roman" w:hAnsi="Times New Roman"/>
            <w:b w:val="false"/>
            <w:i/>
            <w:color w:val="000000"/>
            <w:sz w:val="22"/>
          </w:rPr>
          <w:t>“i”</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testing after renovation and clearance testing after interim controls, paint stabilization, standard treatments, ongoing lead-based paint maintenance, or rehabilitation pursuant to 24 CFR Part 35 shall be conducted according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sampling technician shall perform clearance testing only for a single-family property or for individual residential dwellings and associated common areas in multifamily housing. A certified sampling technician shall not perform clearance testing using random selection of residential dwellings or common areas in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shall review the report of the lead inspection, risk assessment, or visual assessment done prior to interim controls, paint stabilization, standard treatments, ongoing lead-based paint maintenance, or rehabilitation conducted pursuant to 24 CFR Part 35 and the project specifications to determine the lead-based paint hazards that were to be controlled by the project. A certified lead inspector/risk assessor, a certified elevated blood lead (EBL) inspector/risk assessor, or a certified sampling technician shall perform a visual inspection to determine if all lead-based paint hazards that were to be controlled by the project have been controlled and to determine if deteriorated paint surfaces or visible amounts of dust, debris, or residue are still present in the rooms where interim controls, paint stabilization, standard treatments, ongoing lead-based paint maintenance, or rehabilitation were conducted pursuant to 24 CFR Part 35. If lead-based paint hazards that were to be controlled by the project, deteriorated paint surfaces or visible amounts of dust, debris, or residue are present in these rooms, these conditions must be eliminated prior to the continuation of the clearance testing. However, elimination of deteriorated paint is not required if it has been determined through a lead-based paint inspection that the deteriorated paint is not lead-based paint. If exterior painted surfaces have been disturbed by the interim controls, paint stabilization, standard treatments, ongoing lead-based paint maintenance, or rehabilitation conducted pursuant to 24 CFR Part 35, the visual inspection shall include an assessment to determine if all exterior lead-based paint hazards that were to be controlled by the project have been controlled and to determine if any visible dust or debris remains on any horizontal surfaces in the outdoor living areas close to the affected exterior painted surfaces. In addition, a visual inspection shall be conducted to determine if paint chips are present on the dripline or next to the foundation below any exterior painted surface that was treated. If lead-based paint hazards that were to be controlled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cleanup, clearance sampling for lead in dust shall be conducted. Clearance sampling may be conducted by employing single-surface sampling or composite dust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a minimum of one hour after the completion of final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 activities shall be conducted as appropriate based upon the extent or manner of renovation or of interim controls, paint stabilization, standard treatments, ongoing lead-based paint maintenance, or rehabilitation conducted pursuant to 24 CFR Part 35 in the residential dwelling or child-occupied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containment between treated and untreated areas, three dust samples shall be taken from each of no fewer than four rooms, hallways, or stairwells within the containment area. Dust samples shall be taken from one interior windowsill and from one window trough (if available), and one dust sample shall be taken from the floor of each of no fewer than four rooms, hallways, or stairwells within the containment area. In addition, one dust sample shall be taken from the floor outside of each individual containment area. If there are fewer than four rooms, hallways, or stairwells within the containment area, then all rooms, hallways, and stairwells shall be sampled.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no containment between treated and untreated areas, three dust samples shall be taken from each of no fewer than four rooms, hallways, or stairwells in the residential dwelling or child-occupied facility. Dust samples shall be taken from one interior windowsill and window trough (if available), and one dust sample shall be taken from the floor of each room, hallway, or stairwell selected. If there are fewer than four rooms, hallways, or stairwells in the residential dwelling or child-occupied facility, then all rooms, hallways, and stairwells shall be sampled.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conducting the work or cleaning the dwellings shall not know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shall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shall be recleaned. Additional clearance samples shall be taken from the failed component in each room where it failed and from enough additional rooms that were not previously tested so that four rooms are sampled. If four rooms are not available, then each available room shall be retested. The certified lead inspector/risk assessor, certified elevated blood lead (EBL) inspector/risk assessor, or certified sampling technician shall evaluate the results of this testing to determine if the recleaned components meet the clearance level. The components must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shall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shall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randomly select the dwellings that will be sampled. The contractors and the workers who conducted the lead abatement, interim controls, paint stabilization, standard treatments, ongoing lead-based paint maintenance, or rehabilitation do not know which residential dwellings will be selected for the random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use Table 1 to determine the minimum number of dwellings selected for dust sampling. This shall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shall sample the randomly selected residential dwellings and evaluate them for clearance according to the procedures found in paragraphs </w:t>
      </w:r>
      <w:hyperlink r:id="rId91">
        <w:r>
          <w:rPr>
            <w:rStyle w:val="Hyperlink"/>
            <w:rFonts w:ascii="Times New Roman" w:hAnsi="Times New Roman"/>
            <w:b w:val="false"/>
            <w:i w:val="false"/>
            <w:color w:val="000000"/>
            <w:sz w:val="22"/>
          </w:rPr>
          <w:t>70.6(6)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clearance testing is conducted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clearance report must be prepared that provides documentation of the lead abatement, renovation, or interim controls, paint stabilization, standard treatments, ongoing lead-based paint maintenance, or rehabilitation conducted pursuant to 24 CFR Part 35 as well as the clearance testing. When lead abatement is performed, the report shall be a lead abatement report in accordance with paragraph </w:t>
      </w:r>
      <w:hyperlink r:id="rId92">
        <w:r>
          <w:rPr>
            <w:rStyle w:val="Hyperlink"/>
            <w:rFonts w:ascii="Times New Roman" w:hAnsi="Times New Roman"/>
            <w:b w:val="false"/>
            <w:i w:val="false"/>
            <w:color w:val="000000"/>
            <w:sz w:val="22"/>
          </w:rPr>
          <w:t>70.6(6)</w:t>
        </w:r>
        <w:r>
          <w:rPr>
            <w:rFonts w:ascii="Times New Roman" w:hAnsi="Times New Roman"/>
            <w:b w:val="false"/>
            <w:i/>
            <w:color w:val="000000"/>
            <w:sz w:val="22"/>
          </w:rPr>
          <w:t>“n.”</w:t>
        </w:r>
      </w:hyperlink>
      <w:r>
        <w:rPr>
          <w:rFonts w:ascii="Times New Roman" w:hAnsi="Times New Roman"/>
          <w:b w:val="false"/>
          <w:i w:val="false"/>
          <w:color w:val="000000"/>
          <w:sz w:val="22"/>
        </w:rPr>
        <w:t xml:space="preserve"> When renovation or interim controls, paint stabilization, standard treatments, ongoing lead-based paint maintenance, or rehabilitation pursuant to 24 CFR Part 35 is performed, the certified lead inspector/risk assessor, certified elevated blood lead (EBL) inspector/risk assessor, or certified sampling technician shall prepare a written report for each residential dwelling or child-occupied facility where clearance testing is conducted. No later than 30 days after the property passes clearance, the certified lead inspector/risk assessor, certified elevated blood lead (EBL) inspector/risk assessor, or certified sampling technician shall send a copy of the report to the property owner and to the person requesting the clearance testing, if different. The clearance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residential property and, if only part of a multifamily property is affected, the specific dwelling units and common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regarding the clearance testing: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date(s) of the clearance testing.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signature of each certified lead professional performing the clearance examination, including the certification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 and certification number of the certified firm(s) conducting the clearance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random selection was used to select the residential dwellings that were sampled, the report shall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results of the visual inspection for the presence of deteriorated paint and visible dust, debris, residue, or paint chips in the rooms where renovation or interim controls, paint stabilization, standard treatments, ongoing lead-based paint maintenance, or rehabilitation was conducted pursuant to 24 CFR Part 35.</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All of the results of the analysis of dust samples, in micrograms per square foot, by location of sample. The results shall not be reported as “not detectable.”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statement that the renovation or interim controls, paint stabilization, standard treatments, ongoing lead-based paint maintenance, or rehabilitation conducted pursuant to 24 CFR Part 35 was or was not done as specified and that the rooms and exterior areas where these activities were conducted did or did not pass the visual clearance and the clearance dust testing. If the certified lead inspector/risk assessor, certified elevated blood lead (EBL) inspector/risk assessor, or certified sampling technician conducting the clearance testing cannot verify that all lead-based paint hazards have been controlled,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clearance report is to verify that this lead hazard control project was done according to the project specifications. This residential dwelling may still contain hazardous lead-based paint, soil-lead hazards, or dust-lead hazards in the rooms or exterior areas that were not included in the lead hazard control project.”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each recognized laboratory conducting an analysis of the dust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on the renovation or interim controls, paint stabilization, standard treatments, ongoing lead-based paint maintenance, or rehabilitation pursuant to 24 CFR Part 35 for which clearance testing was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start and completion dates of the renovation, interim controls, paint stabilization, standard treatments, ongoing lead-based paint maintenance, or rehabilitation.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each firm or organization conducting the renovation, interim controls, paint stabilization, standard treatments, ongoing lead-based paint maintenance, or rehabilitation and the name of each supervisor assigned.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detailed written description of the renovation, interim controls, paint stabilization, standard treatments, ongoing lead-based paint maintenance, or rehabilitation, including the methods used, locations of exterior surfaces, interior rooms, common areas, and components where the hazard reduction activity occurred.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interim control of soil hazards was conducted, a detailed description of the location(s) of the interim controls and the method(s)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Information regarding Iowa’s prerenovation notification requirements found in </w:t>
      </w:r>
      <w:hyperlink r:id="rId9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94">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95">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96">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inspector/risk assessor or a certified elevated blood lead (EBL) inspector/risk assessor or a certified sampling technician shall maintain a copy of the clearance testing information included in the lead abatement report specified in paragraph </w:t>
      </w:r>
      <w:hyperlink r:id="rId97">
        <w:r>
          <w:rPr>
            <w:rStyle w:val="Hyperlink"/>
            <w:rFonts w:ascii="Times New Roman" w:hAnsi="Times New Roman"/>
            <w:b w:val="false"/>
            <w:i w:val="false"/>
            <w:color w:val="000000"/>
            <w:sz w:val="22"/>
          </w:rPr>
          <w:t>70.6(6)</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no fewer than three years. A certified lead inspector/risk assessor, a certified elevated blood lead (EBL) inspector/risk assessor, or a certified sampling technician shall maintain a copy of the clearance testing report specified in paragraph </w:t>
      </w:r>
      <w:hyperlink r:id="rId98">
        <w:r>
          <w:rPr>
            <w:rStyle w:val="Hyperlink"/>
            <w:rFonts w:ascii="Times New Roman" w:hAnsi="Times New Roman"/>
            <w:b w:val="false"/>
            <w:i w:val="false"/>
            <w:color w:val="000000"/>
            <w:sz w:val="22"/>
          </w:rPr>
          <w:t>70.6(8)</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no fewer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testing shall be performed by persons or entities independent of those performing lead abatement, renovation, interim controls, paint stabilization, standard treatments, ongoing lead-based paint maintenance, or rehabilitation, unless the designated party uses qualified in-house employees to conduct clearance testing. An in-house employee shall not conduct both lead abatement, renovation, interim controls, paint stabilization, standard treatments, ongoing lead-based paint maintenance, or rehabilitation and the clearance examination for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70.6(9)</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conduct paint testing pursuant to 24 CFR Part 35 according to the following standards. Paint testing pursuant to 24 CFR Part 35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paint testing in a residential dwelling or child-occupied facility,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on each deteriorated paint surface and on each painted surface that will be disturbed or replaced. On windows, the window frame, interior windowsill, window sash, and window trough shall each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paint testing,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paint testing is conducted.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lead-based paint is present on deteriorated paint surfaces and on painted surfaces that will be disturbed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99">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100">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101">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102">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70.6(10)</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reevaluations according to the following standards. Reevaluations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information regarding lead-based paint for the property being reevaluated shall be reviewed, including but not limited to reports of any lead-based paint activities conducted in a residential dwelling, multifamily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property shall be undertaken to locate the existence of deteriorated paint; bare soil; recommended lead abatement, interim controls, or standard treatments that were not implemented; and failed interim controls, standard treatments, encapsulation,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Deteriorated paint for which the lead content is unknown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from bare soil for which the lead content is unknown. Soil samples shall be collected using the documented methodologies specified in guidance documents issued by the department and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hazards, recommended lead abatement, interim controls, or standard treatments that were not implemented, or failed interim controls, standard treatments, encapsulation, or enclosure is identified, then the reevaluation is failed. These conditions shall be controlled through lead abatement or interim controls before the reevaluation can continue. Clearance testing shall be conducted following control of the conditions through lead abatement or interim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are no lead-based paint hazards present and all of the recommended lead abatement or interim controls were implemented and have not failed, then single-surface or composite dust samples shall be collected. The reevaluation is passed if all of the dust samples taken are below the clearance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single-surface or composite dust samples shall be collected from floors and interior windowsills in at least four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single-surface or composite dust samples shall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single-surface or composite dust samples shall be collected from the floor and interior windowsill in at least four rooms, hallways, or stairwells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tested by laboratory analysis, the paint shall be sampled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 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When conducting reevaluation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5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5 similar dwellings, all residential dwellings shall be tested. Residential dwellings chosen by targeted selection shall meet as many of the following criteria as possible. 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 Targeted selection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child-occupied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5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5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calculate the arithmetic mean of the dust-lead levels for carpeted floors, uncarpeted floors, interior windowsills, and window troughs. If the arithmetic mean is greater than or equal to the level defined as a dust-lead hazard for the component, then the certified lead inspector/risk assessor or elevated blood lead (EBL) inspector/risk assessor shall determine that a dust-lead hazard has been identified on the component throughout the multifamily housing. If the arithmetic mean is less than the level defined as a dust-lead hazard for the component, but some of the individual components have dust-lead levels that are greater than or equal to the level defined as a dust-lead hazard, then the certified lead inspector/risk assessor or elevated blood lead (EBL) inspector/risk assessor shall determine that a dust-lead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not to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 If reevaluation is conducted, the first reevaluation shall be conducted no later than two years from completion of lead abatement, interim controls, or standard treatments. Subsequent reevaluation shall be conducted at intervals of two years, plus or minus 60 days. To be exempt from additional reevaluation, a residential dwelling or child-occupied facility shall have at least two consecutive passing reevaluations conducted at such two-year intervals. If, however, a reevaluation fails, at least two more consecutive reevaluations conducted at such two-year intervals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certified elevated blood lead (EBL) inspector/risk assessor shall prepare a written report for each residential dwelling or child-occupied facility where a reevaluation is conducted. No later than three weeks after the receipt of laboratory results, the certified lead inspector/risk assessor or certified elevated blood lead (EBL) inspector/risk assessor shall send a copy of the report to the property owner and to the person requesting the reevaluation, if different. A certified lead inspector/risk assessor or certified elevated blood lead (EBL) inspector/risk assessor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information gathered for the review as outlined in </w:t>
      </w:r>
      <w:hyperlink r:id="rId103">
        <w:r>
          <w:rPr>
            <w:rStyle w:val="Hyperlink"/>
            <w:rFonts w:ascii="Times New Roman" w:hAnsi="Times New Roman"/>
            <w:b w:val="false"/>
            <w:i w:val="false"/>
            <w:color w:val="000000"/>
            <w:sz w:val="22"/>
          </w:rPr>
          <w:t>70.6(10)</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 including details of any newly identified lead-based paint hazards, the status of past lead hazard control measures, and repair options for any lead-based paint hazards identified during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or not the property passed or failed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indication of when the next reevaluation, if any, should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results of any environmental samples taken, including all XRF readings, all laboratory analyses and clearance testing results,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04">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105">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106">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107">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renovations performed in target housing and child-occupied facilities, except for emergency renovations and minor repair and maintenance activities, shall be performed according to the work practice standards in </w:t>
      </w:r>
      <w:hyperlink r:id="rId108">
        <w:r>
          <w:rPr>
            <w:rStyle w:val="Hyperlink"/>
            <w:rFonts w:ascii="Times New Roman" w:hAnsi="Times New Roman"/>
            <w:b w:val="false"/>
            <w:i w:val="false"/>
            <w:color w:val="000000"/>
            <w:sz w:val="22"/>
          </w:rPr>
          <w:t>70.6(11)</w:t>
        </w:r>
      </w:hyperlink>
      <w:r>
        <w:rPr>
          <w:rFonts w:ascii="Times New Roman" w:hAnsi="Times New Roman"/>
          <w:b w:val="false"/>
          <w:i w:val="false"/>
          <w:color w:val="000000"/>
          <w:sz w:val="22"/>
        </w:rPr>
        <w:t>. Renovation activities conducted in housing or on surfaces determined to be free of lead-based paint by a certified lead inspector/risk assessor or certified elevated blood lead (EBL) inspector/risk assessor shall be exempt from all work practice standards except record keeping. All renovations shall be performed by a certified firm under the supervision of a certified lead abatement contractor or a certified lead abatement worker who completes initial certification on or after January 13, 2010, or if certified prior to January 13, 2010, completes a lead abatement worker, lead abatement contractor, or lead-safe renovator refresher course on or after January 13, 2010, or shall be performed by a certified lead-safe renovator in accordance with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shall assign at least one certified lead abatement contractor, a certified lead abatement worker, or a certified lead-safe renovator to each individual renovation project. The certified lead abatement contractor, certified lead abatement worker, or certified lead-safe renovator assigned to each individual renovation project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a certified lead abatement worker, or a certified lead-safe renovator must be on site during all worksite preparation and during the cleanup of work areas. At all other times when renovation is being conducted, a certified lead abatement contractor, a certified lead abatement worker, or a certified lead-safe renovator shall be on site or available by telephone, pager, or answering service and be able to be present at the worksite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are posted and readable. All signs must be posted before the renovation begins and must remain in place until the postrenovation cleaning verification has been completed.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extent practicable, all signage must be posted in the occupants’ primary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signs must clearly define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signs must warn occupants and other persons not involved with the renovation activity to remain outside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signs must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area must be effectively contained before the renovation is begun. To be effective, containment must: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Isolate the work area so that no dust or debris leaves the work area while the renovation is being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must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Closing and covering all duct openings in the work area. Ducts must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Closing windows and doors in the work area. Doors must be covered with plastic sheeting or other impermeable material. Doors used as an entrance to the work area must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renovation or a sufficient distance to contain the dust, whichever is greater.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Closing all doors and windows within 20 feet of the renovation. On multistory buildings, all doors and windows within 20 feet of the renovation on the same story as the renovation shall be closed, and all doors and windows on all stories below the renovation that are the same horizontal distance from the renovation shall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that doors within the work areas that will be used while the renovation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Covering the ground with plastic sheeting or other disposable impermeable material extending 10 feet beyond the perimeter of surfaces undergoing renovation or a sufficient distance to collect falling paint debris, whichever is greater, unless the property line prevents 10 feet of such ground cover. Exterior ground cover shall include anchors or weights to ensure the covering remains effective even during weather conditions such as high wind.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certified lead abatement worker, or certified lead-safe renovator shall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Prohibited practices are not used during the renovation. Prohibited practices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Open-flame burning or torching of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Machine sanding or grinding or abrasive blasting or sandblasting of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Uncontained water blasting of paint.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Dry scraping or dry sanding of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workers that are not certified lead abatement contractors, certified lead abatement workers, or certified lead-safe renovators must have on-the-job training as required by </w:t>
      </w:r>
      <w:hyperlink r:id="rId109">
        <w:r>
          <w:rPr>
            <w:rStyle w:val="Hyperlink"/>
            <w:rFonts w:ascii="Times New Roman" w:hAnsi="Times New Roman"/>
            <w:b w:val="false"/>
            <w:i w:val="false"/>
            <w:color w:val="000000"/>
            <w:sz w:val="22"/>
          </w:rPr>
          <w:t>70.6(11)</w:t>
        </w:r>
        <w:r>
          <w:rPr>
            <w:rFonts w:ascii="Times New Roman" w:hAnsi="Times New Roman"/>
            <w:b w:val="false"/>
            <w:i/>
            <w:color w:val="000000"/>
            <w:sz w:val="22"/>
          </w:rPr>
          <w:t>“d.”</w:t>
        </w:r>
      </w:hyperlink>
      <w:r>
        <w:rPr>
          <w:rFonts w:ascii="Times New Roman" w:hAnsi="Times New Roman"/>
          <w:b w:val="false"/>
          <w:i w:val="false"/>
          <w:color w:val="000000"/>
          <w:sz w:val="22"/>
        </w:rPr>
        <w:t xml:space="preserve">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desired, perform all testing with recognized test kits in accordance with </w:t>
      </w:r>
      <w:hyperlink r:id="rId110">
        <w:r>
          <w:rPr>
            <w:rStyle w:val="Hyperlink"/>
            <w:rFonts w:ascii="Times New Roman" w:hAnsi="Times New Roman"/>
            <w:b w:val="false"/>
            <w:i w:val="false"/>
            <w:color w:val="000000"/>
            <w:sz w:val="22"/>
          </w:rPr>
          <w:t>70.6(11)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postrenovation cleaning verification as outlined in </w:t>
      </w:r>
      <w:hyperlink r:id="rId111">
        <w:r>
          <w:rPr>
            <w:rStyle w:val="Hyperlink"/>
            <w:rFonts w:ascii="Times New Roman" w:hAnsi="Times New Roman"/>
            <w:b w:val="false"/>
            <w:i w:val="false"/>
            <w:color w:val="000000"/>
            <w:sz w:val="22"/>
          </w:rPr>
          <w:t>70.6(11)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renovation activities is contained to prevent the release of dust and debris before the waste is removed from the work area for storage or disposal. Any chutes used to remove waste from the work area shall be 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each workday and at the conclusion of the renovation, waste that has been collected from renovation activities must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waste from renovation activities must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work area shall be cleaned so that no dust, debris, or residue remains after the renovation. Cleaning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removal of the protective sheeting used as required in this subrule. The sheeting shall be misted, then the sheeting shall be folded dirty side inward. All sheeting shall be taped shut or otherwise sealed inside heavy-duty bags. Sheeting used to separate work areas from non-work areas must remain in place until after the cleaning and removal of other sheeting. All sheeting shall be disposed of as waste.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interior renovations, all objects and surfaces in the work area and within two feet of the work area must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must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must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must also be wiped with a damp cloth. Uncarpeted floors must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Postrenovation cleaning verification. A certified lead abatement contractor, certified lead abatement worker, or certified lead-safe renovator shall use the following procedure for conducting postrenovation cleaning verification. In lieu of postrenovation cleaning verification, clearance testing as outlined in 70.6(8) can be performed. If the work is done in response to an elevated blood lead (EBL) inspection, clearance testing shall be performed by a certified elevated blood lead (EBL) inspector/risk assessor in lieu of postrenovation cleaning verification. Warning signs may be removed after all of the work areas in a renovation project have been adequately cleaned and verified or passed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the certified lead abatement contractor, certified lead abatement worker, or certified lead-safe renovator shall perform a visual inspection to determine whether dust, debris, or residue is still present. If dust, debris, or residue is still present, these conditions must be removed by recleaning, and another visual inspection must be performed. Following a successful visual inspection, a certified lead abatement contractor, certified lead abatement worker, or certified lead-safe renovator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each windowsill and window trough in the work area has been adequately cleaned, using the following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the windowsill and window trough with a wet disposable cleaning cloth that is damp to the touch. If the cloth matches or is lighter than the cleaning verification card, the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windowsill or window trough as directed in </w:t>
      </w:r>
      <w:hyperlink r:id="rId112">
        <w:r>
          <w:rPr>
            <w:rStyle w:val="Hyperlink"/>
            <w:rFonts w:ascii="Times New Roman" w:hAnsi="Times New Roman"/>
            <w:b w:val="false"/>
            <w:i w:val="false"/>
            <w:color w:val="000000"/>
            <w:sz w:val="22"/>
          </w:rPr>
          <w:t>70.6(11)</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Then wipe the windowsill or window trough again, using a new cloth or the same cloth folded in such a way that an unused surface is exposed. If the cloth matches or is lighter than the cleaning verification card, that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windowsill or window trough to dry, wipe the windowsill or window trough with a dry disposable cleaning cloth. After this wipe, that windowsill or window trough has been adequately cleaned.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Verify that uncarpeted floors and countertops in the work area have been adequately cleaned, using the following procedure. If the surface within the work area is greater than 40 square feet, the surface within the work area must be divided into roughly equal sections that are each less than 40 square feet.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uncarpeted floors and countertops within the work area with a wet disposable cleaning cloth. Floors must be wiped using an application device with a long handle and a head to which the cloth is attached. The cloth must remain damp at all times while it is being used to wipe the surface for postrenovation cleaning verification. Wipe each such section separately with a new wet disposable cleaning cloth. If the cloth used to wipe each section of the surface within the work area matches or is lighter than the cleaning verification card, the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surface as in </w:t>
      </w:r>
      <w:hyperlink r:id="rId113">
        <w:r>
          <w:rPr>
            <w:rStyle w:val="Hyperlink"/>
            <w:rFonts w:ascii="Times New Roman" w:hAnsi="Times New Roman"/>
            <w:b w:val="false"/>
            <w:i w:val="false"/>
            <w:color w:val="000000"/>
            <w:sz w:val="22"/>
          </w:rPr>
          <w:t>70.6(11)</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Then wipe the floor or countertop again, using a new cloth. If the cloth matches or is lighter than the cleaning verification card, that surface has been adequately cleaned.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surface to dry, wipe each section of the surface that has not yet achieved the postrenovation cleaning verification with a dry disposable cleaning cloth. After this wipe, that surface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the certified lead abatement contractor, certified lead abatement worker, or certified lead-safe renovator shall perform a visual inspection to determine whether dust, debris, or residue is still present on surfaces in and below the work area, including windowsills and the ground. If dust, debris, or residue is present, these conditions must be eliminated and another visual inspection must be performed. When the area passes the visual inspection, the exterior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shall only use cleaning verification cards that are approved by the U.S. Environmental Protection Agency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shall not use cleaning verification cards that have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Clearance testing. Postrenovation cleaning verification is not required if the contract between the renovation firm and the person contracting for the renovation or another federal, state, territorial, tribal, or local law or regulation requires the renovation firm to perform clearance testing at the conclusion of a renovation covered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dust samples must be collected by a certified lead inspector/risk assessor, certified elevated blood lead (EBL) inspector/risk assessor, or certified sampling technician. If the work is done in response to an elevated blood lead (EBL) inspection, the dust samples must be collected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conducting the renovation is required to reclean the work area until the dust clearance sample results are below the clearance standards in subrule </w:t>
      </w:r>
      <w:hyperlink r:id="rId114">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The certified lead abatement contractor, certified lead abatement worker, or certified lead-safe renovator assigned to the renovation project shall ensure that each noncertified individual conducting renovation activities has been or is currently being trained on how to safely conduct renovation activities.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on-the-job training shall be conducted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noncertified individual shall be trained by a certified lead abatement contractor, certified lead abatement worker, or certified lead-safe renovator who is employed by the same certified firm. A certified firm shall not accept on-the-job training that was performed by another firm. On-the-job training does not meet the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On-the-job training shall be specific for the type of work the noncertified individual is performing and must include at least the following topics: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overview of the requirements described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overview of the health effects of lead poisoning.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Methods to prevent taking lead dust home from the worksite.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and why to properly set up a work area for lead-safe renovations.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How and where to properly post signage.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protection.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How and why to properly set up containment.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How and why to minimize dust and debris.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Proper cleaning techniques and time lines for cleaning in renovation activities.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How to properly handle and control waste generated from renovation activities.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 overview of the postrenovation cleaning verification and clearance testing.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An overview of the prerenovation notification requirements found in </w:t>
      </w:r>
      <w:hyperlink r:id="rId115">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test kits. A certified lead abatement contractor, certified lead abatement worker, or certified lead-safe renovator may use recognized test kits to determine whether surfaces to be affected by renovation activities are painted with lead-based paint. The result from each individual test performed applies only to the individual surface tested. Surfaces which are determined by proper use of a recognized test kit to be free of lead-based paint are exempt from the requirements of </w:t>
      </w:r>
      <w:hyperlink r:id="rId116">
        <w:r>
          <w:rPr>
            <w:rStyle w:val="Hyperlink"/>
            <w:rFonts w:ascii="Times New Roman" w:hAnsi="Times New Roman"/>
            <w:b w:val="false"/>
            <w:i w:val="false"/>
            <w:color w:val="000000"/>
            <w:sz w:val="22"/>
          </w:rPr>
          <w:t>70.6(11)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Results obtained from recognized test kits are only valid if the testing was performed according to the manufacturer’s directions. Any results from test kits which are not recognized shall be invalid. A certified lead abatement contractor, certified lead abatement worker, or certified lead-safe renovator shall not discard a valid result from a recognized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must complete a written report when conducting a renovation. The report shall include the results of any testing performed with a recognized test kit, information regarding the work practices used in the renovation and, if applicable, a copy of the clearance testing report. When the final invoice for the renovation is delivered or within 30 days after the renovation activity is complete, whichever is earlier, the certified lead abatement contractor, certified lead abatement worker, or certified lead-safe renovator shall send a copy of the report to the owner of the building. If the renovation took place within a residential dwelling, the certified lead abatement contractor, certified lead abatement worker, or certified lead-safe renovator shall send a copy of the report to an adult occupant of the residential dwelling and to the person requesting the renovation, if different from the owner. If the renovation took place within a child-occupied facility, the certified lead abatement contractor, certified lead abatement worker, or certified lead-safe renovator shall send a copy of the report to an adult representative of the child-occupied facility and to the person requesting the renovation, if different from the owner. If the renovation took place within common areas of multifamily target housing, the certified lead abatement contractor, certified lead abatement worker, or certified lead-safe renovator shall post in areas where it is likely to be seen by the occupants of all of the affected units the report required by this paragraph or instructions on how interested occupants can obtain a copy of this report at no charge. If the renovation took place within a child-occupied facility, the certified lead abatement contractor, certified lead abatement worker, or certified lead-safe renovator shall post in areas where it is likely to be seen by the parents or guardians of children frequenting the child-occupied facility the report required by this paragraph or instructions on how interested parents or guardians of children frequenting the child-occupied facility can obtain a copy of this report at no charge. A certified lead abatement contractor, certified lead abatement worker, or certified lead-safe renovator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building, including 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owner(s) of the address(es) where the renovation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signature, certification number, and telephone number of the certified lead abatement contractor, certified lead abatement worker, or certified lead-safe renovator who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performing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testing was performed with a recognized test kit, the location of each test. The location shall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The results shall be classified as either positive for lead-based paint or negative for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manufacturer of the recognized test kit(s) used, the expiration date, and the EPA approval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work practices used in the renovation, including the location(s) where each work practice was used. The location shall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1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remodeling and repainting found in </w:t>
      </w:r>
      <w:hyperlink r:id="rId118">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 Records shall be kept for each renovation project that involves target housing or child-occupied facilities. The records for each renovation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lead abatement contractor, certified lead abatement worker, or certified lead-safe renovator responsible for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that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address(es) of the property where the renovation activity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the property owner where the renovation activity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Renovations considered emergency pursuant to </w:t>
      </w:r>
      <w:hyperlink r:id="rId119">
        <w:r>
          <w:rPr>
            <w:rStyle w:val="Hyperlink"/>
            <w:rFonts w:ascii="Times New Roman" w:hAnsi="Times New Roman"/>
            <w:b w:val="false"/>
            <w:i w:val="false"/>
            <w:color w:val="000000"/>
            <w:sz w:val="22"/>
          </w:rPr>
          <w:t>641—70.2</w:t>
        </w:r>
      </w:hyperlink>
      <w:r>
        <w:rPr>
          <w:rFonts w:ascii="Times New Roman" w:hAnsi="Times New Roman"/>
          <w:b w:val="false"/>
          <w:i w:val="false"/>
          <w:color w:val="000000"/>
          <w:sz w:val="22"/>
        </w:rPr>
        <w:t>(135) shall contain a description of the circumstances explaining why the renovations were immediately required and which work practice standards were not followed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reports or documentation completed by a certified lead professional concerning the renovation project, including documentation from certified lead inspector/risk assessors or certified elevated blood lead (EBL) lead inspector/risk assessors regarding housing, components, or surfaces that have been determined to be free of lead-based paint and clearance reports from clearance testing performed in lieu of postrenovation cleaning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each noncertified individual working on the renovation project had, or was receiving, the appropriate on-the-job training outlined in </w:t>
      </w:r>
      <w:hyperlink r:id="rId120">
        <w:r>
          <w:rPr>
            <w:rStyle w:val="Hyperlink"/>
            <w:rFonts w:ascii="Times New Roman" w:hAnsi="Times New Roman"/>
            <w:b w:val="false"/>
            <w:i w:val="false"/>
            <w:color w:val="000000"/>
            <w:sz w:val="22"/>
          </w:rPr>
          <w:t>70.6(11)</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documentation must include the names of all of the noncertified individuals who worked on the renovation.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certified lead-safe renovator followed the work practices for renovation activities outlined in 70.6(11). This shall include documentation that the following work practices were followed: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Signs were posted at the entrance to the work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work area was contained.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objects in the work area were covered or removed.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HVAC ducts in the work area were closed and covered.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windows in the work area were closed, and all windows within 20 feet of exterior work areas were closed.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doors not used to enter the work area were closed and sealed, and all doors within 20 feet of exterior work areas were closed and sealed.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All doors used as an entrance to the work area had containment in place to prevent the spread of dust and debris.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All floors in the work area were covered for a sufficient distance to contain the dust and debris from the renovation.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Adequate ground cover was in place to contain the dust and debris for exterior renovations.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Adequate vertical containment was in place to contain the dust and debris for exterior renovations.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All waste generated during the renovations was contained throughout the renovation and the transportation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renovation work area was cleaned and passed the postrenovation cleaning verification procedures outlined in </w:t>
      </w:r>
      <w:hyperlink r:id="rId121">
        <w:r>
          <w:rPr>
            <w:rStyle w:val="Hyperlink"/>
            <w:rFonts w:ascii="Times New Roman" w:hAnsi="Times New Roman"/>
            <w:b w:val="false"/>
            <w:i w:val="false"/>
            <w:color w:val="000000"/>
            <w:sz w:val="22"/>
          </w:rPr>
          <w:t>70.6(11)</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the expiration date of the cleaning verification cards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regarding the use of any recognized test kits outlined in </w:t>
      </w:r>
      <w:hyperlink r:id="rId122">
        <w:r>
          <w:rPr>
            <w:rStyle w:val="Hyperlink"/>
            <w:rFonts w:ascii="Times New Roman" w:hAnsi="Times New Roman"/>
            <w:b w:val="false"/>
            <w:i w:val="false"/>
            <w:color w:val="000000"/>
            <w:sz w:val="22"/>
          </w:rPr>
          <w:t>70.6(11)</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documentation shall include a copy of the written report required by </w:t>
      </w:r>
      <w:hyperlink r:id="rId123">
        <w:r>
          <w:rPr>
            <w:rStyle w:val="Hyperlink"/>
            <w:rFonts w:ascii="Times New Roman" w:hAnsi="Times New Roman"/>
            <w:b w:val="false"/>
            <w:i w:val="false"/>
            <w:color w:val="000000"/>
            <w:sz w:val="22"/>
          </w:rPr>
          <w:t>70.6(11)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 activities that are deemed to be an emergency are exempt from the certification requirements and all of the work practice standards, except for the cleaning requirements, postrenovation cleaning verification, and the written report required by </w:t>
      </w:r>
      <w:hyperlink r:id="rId124">
        <w:r>
          <w:rPr>
            <w:rStyle w:val="Hyperlink"/>
            <w:rFonts w:ascii="Times New Roman" w:hAnsi="Times New Roman"/>
            <w:b w:val="false"/>
            <w:i w:val="false"/>
            <w:color w:val="000000"/>
            <w:sz w:val="22"/>
          </w:rPr>
          <w:t>70.6(11)</w:t>
        </w:r>
        <w:r>
          <w:rPr>
            <w:rFonts w:ascii="Times New Roman" w:hAnsi="Times New Roman"/>
            <w:b w:val="false"/>
            <w:i/>
            <w:color w:val="000000"/>
            <w:sz w:val="22"/>
          </w:rPr>
          <w:t>“f.”</w:t>
        </w:r>
      </w:hyperlink>
      <w:r>
        <w:rPr>
          <w:rFonts w:ascii="Times New Roman" w:hAnsi="Times New Roman"/>
          <w:b w:val="false"/>
          <w:i w:val="false"/>
          <w:color w:val="000000"/>
          <w:sz w:val="22"/>
        </w:rPr>
        <w:t xml:space="preserve"> All postrenovation cleaning must take place under the direction of a certified lead abatement contractor, certified lead abatement worker, or certified lead-safe renovator. The postrenovation cleaning verification after an emergency renovation must be performed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renovations that are required as a result of an elevated blood lead (EBL) inspection are initially exempt from the certification requirements. The work practice standards found in </w:t>
      </w:r>
      <w:hyperlink r:id="rId125">
        <w:r>
          <w:rPr>
            <w:rStyle w:val="Hyperlink"/>
            <w:rFonts w:ascii="Times New Roman" w:hAnsi="Times New Roman"/>
            <w:b w:val="false"/>
            <w:i w:val="false"/>
            <w:color w:val="000000"/>
            <w:sz w:val="22"/>
          </w:rPr>
          <w:t>70.6(11)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apply. All individuals who perform emergency renovations in response to an elevated blood lead (EBL) inspection are required to obtain certification as a lead-safe renovator, lead abatement contractor, or lead abatement worker within six months from the date the elevated blood lead (EBL) inspection report was issued. Renovations and interim controls performed in response to an elevated blood lead (EBL) inspection are required to pass clearance testing that is performed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2/12/20</w:t>
      </w:r>
      <w:r>
        <w:rPr>
          <w:rFonts w:ascii="Times New Roman" w:hAnsi="Times New Roman"/>
          <w:b w:val="false"/>
          <w:i w:val="false"/>
          <w:color w:val="000000"/>
          <w:sz w:val="22"/>
        </w:rPr>
        <w:t>, effective 3/18/20.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certified as a lead inspector/risk assessor, sampling technician, or elevated blood lead (EBL) inspector/risk assessor and as a lead abatement contractor or lead abatement worker. Except as specified by paragraph </w:t>
      </w:r>
      <w:hyperlink r:id="rId126">
        <w:r>
          <w:rPr>
            <w:rStyle w:val="Hyperlink"/>
            <w:rFonts w:ascii="Times New Roman" w:hAnsi="Times New Roman"/>
            <w:b w:val="false"/>
            <w:i w:val="false"/>
            <w:color w:val="000000"/>
            <w:sz w:val="22"/>
          </w:rPr>
          <w:t>70.6(6)</w:t>
        </w:r>
        <w:r>
          <w:rPr>
            <w:rFonts w:ascii="Times New Roman" w:hAnsi="Times New Roman"/>
            <w:b w:val="false"/>
            <w:i/>
            <w:color w:val="000000"/>
            <w:sz w:val="22"/>
          </w:rPr>
          <w:t>“k”</w:t>
        </w:r>
      </w:hyperlink>
      <w:r>
        <w:rPr>
          <w:rFonts w:ascii="Times New Roman" w:hAnsi="Times New Roman"/>
          <w:b w:val="false"/>
          <w:i w:val="false"/>
          <w:color w:val="000000"/>
          <w:sz w:val="22"/>
        </w:rPr>
        <w:t xml:space="preserve"> and paragraph </w:t>
      </w:r>
      <w:hyperlink r:id="rId127">
        <w:r>
          <w:rPr>
            <w:rStyle w:val="Hyperlink"/>
            <w:rFonts w:ascii="Times New Roman" w:hAnsi="Times New Roman"/>
            <w:b w:val="false"/>
            <w:i w:val="false"/>
            <w:color w:val="000000"/>
            <w:sz w:val="22"/>
          </w:rPr>
          <w:t>70.6(8)</w:t>
        </w:r>
      </w:hyperlink>
      <w:r>
        <w:rPr>
          <w:rFonts w:ascii="Times New Roman" w:hAnsi="Times New Roman"/>
          <w:b w:val="false"/>
          <w:i/>
          <w:color w:val="000000"/>
          <w:sz w:val="22"/>
        </w:rPr>
        <w:t>“f,”</w:t>
      </w:r>
      <w:r>
        <w:rPr>
          <w:rFonts w:ascii="Times New Roman" w:hAnsi="Times New Roman"/>
          <w:b w:val="false"/>
          <w:i w:val="false"/>
          <w:color w:val="000000"/>
          <w:sz w:val="22"/>
        </w:rPr>
        <w:t xml:space="preserve"> a person who is certified both as a lead inspector/risk assessor, sampling technician, or elevated blood lead (EBL) inspector/risk assessor and as a lead abatement contractor or lead abatement worker shall not provide both lead inspection or visual risk assessment and lead abatement services at the same site unless a written consent or waiver, following full disclosure by the person, is obtained from the owner or manager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paint chip, dust, or soil samples collected pursuant to the work practice standards contained in subrules </w:t>
      </w:r>
      <w:hyperlink r:id="rId128">
        <w:r>
          <w:rPr>
            <w:rStyle w:val="Hyperlink"/>
            <w:rFonts w:ascii="Times New Roman" w:hAnsi="Times New Roman"/>
            <w:b w:val="false"/>
            <w:i w:val="false"/>
            <w:color w:val="000000"/>
            <w:sz w:val="22"/>
          </w:rPr>
          <w:t>70.6(1)</w:t>
        </w:r>
      </w:hyperlink>
      <w:r>
        <w:rPr>
          <w:rFonts w:ascii="Times New Roman" w:hAnsi="Times New Roman"/>
          <w:b w:val="false"/>
          <w:i w:val="false"/>
          <w:color w:val="000000"/>
          <w:sz w:val="22"/>
        </w:rPr>
        <w:t xml:space="preserve"> to </w:t>
      </w:r>
      <w:hyperlink r:id="rId129">
        <w:r>
          <w:rPr>
            <w:rStyle w:val="Hyperlink"/>
            <w:rFonts w:ascii="Times New Roman" w:hAnsi="Times New Roman"/>
            <w:b w:val="false"/>
            <w:i w:val="false"/>
            <w:color w:val="000000"/>
            <w:sz w:val="22"/>
          </w:rPr>
          <w:t>70.6(6)</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70.6(9)</w:t>
        </w:r>
      </w:hyperlink>
      <w:r>
        <w:rPr>
          <w:rFonts w:ascii="Times New Roman" w:hAnsi="Times New Roman"/>
          <w:b w:val="false"/>
          <w:i w:val="false"/>
          <w:color w:val="000000"/>
          <w:sz w:val="22"/>
        </w:rPr>
        <w:t xml:space="preserve"> shall be collected by persons certified as a lead inspector/risk assessor or an elevated blood lead (EBL) inspector/risk assessor. Any paint chip, dust, or soil samples collected pursuant to the work practice standards contained in subrule </w:t>
      </w:r>
      <w:hyperlink r:id="rId131">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xml:space="preserve"> for clearance testing following lead abatement shall be collected by persons certified as a lead inspector/risk assessor or an elevated blood lead (EBL) inspector/risk assessor. Any dust or soil samples collected pursuant to the work practice standards contained in subrule </w:t>
      </w:r>
      <w:hyperlink r:id="rId132">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xml:space="preserve"> for clearance testing after renovation or interim controls, paint stabilization, standard treatments, ongoing lead-based paint maintenance, and rehabilitation pursuant to 24 CFR Part 35 shall be collected only by certified sampling technicians, certified lead inspector/risk assessors, or certified elevated blood lead (EBL) inspector/risk assessors. Any paint chip, dust, or soil samples collected pursuant to the work practice standards contained in </w:t>
      </w:r>
      <w:hyperlink r:id="rId133">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shall be analyzed by a recognized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70.6(15)</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dust sampling shall be conducted only in the situations specified in subrules </w:t>
      </w:r>
      <w:hyperlink r:id="rId134">
        <w:r>
          <w:rPr>
            <w:rStyle w:val="Hyperlink"/>
            <w:rFonts w:ascii="Times New Roman" w:hAnsi="Times New Roman"/>
            <w:b w:val="false"/>
            <w:i w:val="false"/>
            <w:color w:val="000000"/>
            <w:sz w:val="22"/>
          </w:rPr>
          <w:t>70.6(4)</w:t>
        </w:r>
      </w:hyperlink>
      <w:r>
        <w:rPr>
          <w:rFonts w:ascii="Times New Roman" w:hAnsi="Times New Roman"/>
          <w:b w:val="false"/>
          <w:i w:val="false"/>
          <w:color w:val="000000"/>
          <w:sz w:val="22"/>
        </w:rPr>
        <w:t xml:space="preserve"> to </w:t>
      </w:r>
      <w:hyperlink r:id="rId135">
        <w:r>
          <w:rPr>
            <w:rStyle w:val="Hyperlink"/>
            <w:rFonts w:ascii="Times New Roman" w:hAnsi="Times New Roman"/>
            <w:b w:val="false"/>
            <w:i w:val="false"/>
            <w:color w:val="000000"/>
            <w:sz w:val="22"/>
          </w:rPr>
          <w:t>70.6(6)</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If composite sampling is conducted, it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shall consist of at least two subsamples.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component that is being tested shall be included in the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shall not consist of subsamples from more than one type of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composite dust samples shall be evaluated by comparing the residual lead level as determined by the laboratory analysis from each composite dust sample with applicable single-surface dust-lead hazard or clearance levels for lead in dust on floors, interior windowsills, and window troughs divided by half the number of subsamples in the composite sample. For example, the applicable clearance level for a composite window trough sample consisting of three subsamples would be 267 micrograms per square foot (400/1.5).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6/7/17</w:t>
      </w:r>
      <w:r>
        <w:rPr>
          <w:rFonts w:ascii="Times New Roman" w:hAnsi="Times New Roman"/>
          <w:b w:val="false"/>
          <w:i w:val="false"/>
          <w:color w:val="000000"/>
          <w:sz w:val="22"/>
        </w:rPr>
        <w:t>, effective 7/12/17.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641—70.7</w:t>
      </w:r>
      <w:r>
        <w:rPr>
          <w:rFonts w:ascii="Times New Roman" w:hAnsi="Times New Roman"/>
          <w:b/>
          <w:i w:val="false"/>
          <w:color w:val="000000"/>
          <w:sz w:val="22"/>
        </w:rPr>
        <w:t xml:space="preserve">(135) </w:t>
      </w:r>
      <w:r>
        <w:rPr>
          <w:rFonts w:ascii="Times New Roman" w:hAnsi="Times New Roman"/>
          <w:b/>
          <w:i w:val="false"/>
          <w:color w:val="000000"/>
          <w:sz w:val="22"/>
        </w:rPr>
        <w:t xml:space="preserve">Firms. </w:t>
      </w:r>
      <w:r>
        <w:rPr>
          <w:rFonts w:ascii="Times New Roman" w:hAnsi="Times New Roman"/>
          <w:b w:val="false"/>
          <w:i w:val="false"/>
          <w:color w:val="000000"/>
          <w:sz w:val="22"/>
        </w:rPr>
        <w:t xml:space="preserve">All firms that perform or offer to perform lead-based paint activities must be certified by the department. Firms shall employ only appropriately certified employees to conduct lead-based paint activities, and the firm and its employees shall follow the work practice standards in </w:t>
      </w:r>
      <w:hyperlink r:id="rId137">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for conducting lead-based paint activities. A firm must employ at least one certified individual in order to receive or maintain firm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70.7(1)</w:t>
      </w:r>
      <w:r>
        <w:rPr>
          <w:rFonts w:ascii="Times New Roman" w:hAnsi="Times New Roman"/>
          <w:b w:val="false"/>
          <w:i w:val="false"/>
          <w:color w:val="000000"/>
          <w:sz w:val="22"/>
        </w:rPr>
        <w:t> </w:t>
      </w:r>
      <w:r>
        <w:rPr>
          <w:rFonts w:ascii="Times New Roman" w:hAnsi="Times New Roman"/>
          <w:b w:val="false"/>
          <w:i w:val="false"/>
          <w:color w:val="000000"/>
          <w:sz w:val="22"/>
        </w:rPr>
        <w:t>A firm wishing to be certified shall apply to the department electronically in a format specified by the department or may apply using a paper application supplied by the department. The firm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must document that the agency and its employees or contractors will follow the work practice standards in </w:t>
      </w:r>
      <w:hyperlink r:id="rId138">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for conducting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firm must maintain all records required by </w:t>
      </w:r>
      <w:hyperlink r:id="rId139">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with the exception of elevated blood lead (EBL) inspection reports, for three years. Certified firms that are also certified as elevated blood lead (EBL) inspection agencies must maintain elevated blood lead (EBL) inspection reports for at least 10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70.7(2)</w:t>
      </w:r>
      <w:r>
        <w:rPr>
          <w:rFonts w:ascii="Times New Roman" w:hAnsi="Times New Roman"/>
          <w:b w:val="false"/>
          <w:i w:val="false"/>
          <w:color w:val="000000"/>
          <w:sz w:val="22"/>
        </w:rPr>
        <w:t> </w:t>
      </w:r>
      <w:r>
        <w:rPr>
          <w:rFonts w:ascii="Times New Roman" w:hAnsi="Times New Roman"/>
          <w:b w:val="false"/>
          <w:i w:val="false"/>
          <w:color w:val="000000"/>
          <w:sz w:val="22"/>
        </w:rPr>
        <w:t>Firms must be recertified every three years. To be recertified, the firm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firm will employ only appropriately certified lead professionals to perform lead-based paint activities. In addition, the firm must document that the firm and its employees or contractors will follow the work practice standards in </w:t>
      </w:r>
      <w:hyperlink r:id="rId140">
        <w:r>
          <w:rPr>
            <w:rStyle w:val="Hyperlink"/>
            <w:rFonts w:ascii="Times New Roman" w:hAnsi="Times New Roman"/>
            <w:b w:val="false"/>
            <w:i w:val="false"/>
            <w:color w:val="000000"/>
            <w:sz w:val="22"/>
          </w:rPr>
          <w:t>641—70.6</w:t>
        </w:r>
      </w:hyperlink>
      <w:r>
        <w:rPr>
          <w:rFonts w:ascii="Times New Roman" w:hAnsi="Times New Roman"/>
          <w:b w:val="false"/>
          <w:i w:val="false"/>
          <w:color w:val="000000"/>
          <w:sz w:val="22"/>
        </w:rPr>
        <w:t>(135) for conducting lead-based paint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641—70.8</w:t>
      </w:r>
      <w:r>
        <w:rPr>
          <w:rFonts w:ascii="Times New Roman" w:hAnsi="Times New Roman"/>
          <w:b/>
          <w:i w:val="false"/>
          <w:color w:val="000000"/>
          <w:sz w:val="22"/>
        </w:rPr>
        <w:t xml:space="preserve">(135) </w:t>
      </w:r>
      <w:r>
        <w:rPr>
          <w:rFonts w:ascii="Times New Roman" w:hAnsi="Times New Roman"/>
          <w:b/>
          <w:i w:val="false"/>
          <w:color w:val="000000"/>
          <w:sz w:val="22"/>
        </w:rPr>
        <w:t xml:space="preserve">Lead-safe work practices training program approval and lead-safe work practices contractor registration.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2/10/10</w:t>
      </w:r>
      <w:r>
        <w:rPr>
          <w:rFonts w:ascii="Times New Roman" w:hAnsi="Times New Roman"/>
          <w:b w:val="false"/>
          <w:i w:val="false"/>
          <w:color w:val="000000"/>
          <w:sz w:val="22"/>
        </w:rPr>
        <w:t>, effective 1/13/10.</w:t>
      </w:r>
    </w:p>
    <w:p>
      <w:pPr>
        <w:spacing w:before="0" w:after="0"/>
        <w:ind w:left="120"/>
        <w:jc w:val="both"/>
      </w:pPr>
      <w:r>
        <w:rPr>
          <w:rFonts w:ascii="Times New Roman" w:hAnsi="Times New Roman"/>
          <w:b/>
          <w:i w:val="false"/>
          <w:color w:val="000000"/>
          <w:sz w:val="22"/>
        </w:rPr>
        <w:t>641—70.9</w:t>
      </w:r>
      <w:r>
        <w:rPr>
          <w:rFonts w:ascii="Times New Roman" w:hAnsi="Times New Roman"/>
          <w:b/>
          <w:i w:val="false"/>
          <w:color w:val="000000"/>
          <w:sz w:val="22"/>
        </w:rPr>
        <w:t xml:space="preserve">(135) </w:t>
      </w:r>
      <w:r>
        <w:rPr>
          <w:rFonts w:ascii="Times New Roman" w:hAnsi="Times New Roman"/>
          <w:b/>
          <w:i w:val="false"/>
          <w:color w:val="000000"/>
          <w:sz w:val="22"/>
        </w:rPr>
        <w:t xml:space="preserve">Compliance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70.9(1)</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violations of the provisions regarding lead-based paint activities may occur for the purpose of conducting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70.9(2)</w:t>
      </w:r>
      <w:r>
        <w:rPr>
          <w:rFonts w:ascii="Times New Roman" w:hAnsi="Times New Roman"/>
          <w:b w:val="false"/>
          <w:i w:val="false"/>
          <w:color w:val="000000"/>
          <w:sz w:val="22"/>
        </w:rPr>
        <w:t> </w:t>
      </w:r>
      <w:r>
        <w:rPr>
          <w:rFonts w:ascii="Times New Roman" w:hAnsi="Times New Roman"/>
          <w:b w:val="false"/>
          <w:i w:val="false"/>
          <w:color w:val="000000"/>
          <w:sz w:val="22"/>
        </w:rPr>
        <w:t>The department may enter premises or facilities where training programs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70.9(3)</w:t>
      </w:r>
      <w:r>
        <w:rPr>
          <w:rFonts w:ascii="Times New Roman" w:hAnsi="Times New Roman"/>
          <w:b w:val="false"/>
          <w:i w:val="false"/>
          <w:color w:val="000000"/>
          <w:sz w:val="22"/>
        </w:rPr>
        <w:t> </w:t>
      </w:r>
      <w:r>
        <w:rPr>
          <w:rFonts w:ascii="Times New Roman" w:hAnsi="Times New Roman"/>
          <w:b w:val="false"/>
          <w:i w:val="false"/>
          <w:color w:val="000000"/>
          <w:sz w:val="22"/>
        </w:rPr>
        <w:t>The department may take samples and review records as part of the lead-based paint activities compliance inspection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70.9(4)</w:t>
      </w:r>
      <w:r>
        <w:rPr>
          <w:rFonts w:ascii="Times New Roman" w:hAnsi="Times New Roman"/>
          <w:b w:val="false"/>
          <w:i w:val="false"/>
          <w:color w:val="000000"/>
          <w:sz w:val="22"/>
        </w:rPr>
        <w:t> </w:t>
      </w:r>
      <w:r>
        <w:rPr>
          <w:rFonts w:ascii="Times New Roman" w:hAnsi="Times New Roman"/>
          <w:b w:val="false"/>
          <w:i w:val="false"/>
          <w:color w:val="000000"/>
          <w:sz w:val="22"/>
        </w:rPr>
        <w:t>The department may review all reports involving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70.9(5)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subpoenas pursuant to </w:t>
      </w:r>
      <w:hyperlink r:id="rId141">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 Iowa Administrative Code, for the purposes of determining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641—70.10</w:t>
      </w:r>
      <w:r>
        <w:rPr>
          <w:rFonts w:ascii="Times New Roman" w:hAnsi="Times New Roman"/>
          <w:b/>
          <w:i w:val="false"/>
          <w:color w:val="000000"/>
          <w:sz w:val="22"/>
        </w:rPr>
        <w:t xml:space="preserve">(135) </w:t>
      </w:r>
      <w:r>
        <w:rPr>
          <w:rFonts w:ascii="Times New Roman" w:hAnsi="Times New Roman"/>
          <w:b/>
          <w:i w:val="false"/>
          <w:color w:val="000000"/>
          <w:sz w:val="22"/>
        </w:rPr>
        <w:t xml:space="preserve">Denial, suspension, or revocation of certification; denial, suspension, revocation, or modification of course approval; and imposition of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finds that the applicant, certified lead professional, or certified firm has committed any of the following acts, the department may deny an application for certification, may suspend or revoke a certification, may prohibit specific work practices, may require a project conducted by persons or firms that are not certified or a project where prohibited work practices are being used to be halted, may require the cleanup of lead hazards created by the use of prohibited work practices, may impose a civil penalty, may place on probation, may require additional education, may require reexamination of the state certification examination, may issue a warning, may refer the case to the office of the county attorney for possible criminal penalties pursuant to Iowa Code section </w:t>
      </w:r>
      <w:hyperlink r:id="rId14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or may impose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or refusal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establish, maintain, provide, copy, or permit access to records or reports as required by rules </w:t>
      </w:r>
      <w:hyperlink r:id="rId143">
        <w:r>
          <w:rPr>
            <w:rStyle w:val="Hyperlink"/>
            <w:rFonts w:ascii="Times New Roman" w:hAnsi="Times New Roman"/>
            <w:b w:val="false"/>
            <w:i w:val="false"/>
            <w:color w:val="000000"/>
            <w:sz w:val="22"/>
          </w:rPr>
          <w:t>641—70.3(135)</w:t>
        </w:r>
      </w:hyperlink>
      <w:r>
        <w:rPr>
          <w:rFonts w:ascii="Times New Roman" w:hAnsi="Times New Roman"/>
          <w:b w:val="false"/>
          <w:i w:val="false"/>
          <w:color w:val="000000"/>
          <w:sz w:val="22"/>
        </w:rPr>
        <w:t xml:space="preserve"> to 641—</w:t>
      </w:r>
      <w:hyperlink r:id="rId144">
        <w:r>
          <w:rPr>
            <w:rStyle w:val="Hyperlink"/>
            <w:rFonts w:ascii="Times New Roman" w:hAnsi="Times New Roman"/>
            <w:b w:val="false"/>
            <w:i w:val="false"/>
            <w:color w:val="000000"/>
            <w:sz w:val="22"/>
          </w:rPr>
          <w:t>70.7(135)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refusal to permit entry or inspection as described in subrules </w:t>
      </w:r>
      <w:hyperlink r:id="rId145">
        <w:r>
          <w:rPr>
            <w:rStyle w:val="Hyperlink"/>
            <w:rFonts w:ascii="Times New Roman" w:hAnsi="Times New Roman"/>
            <w:b w:val="false"/>
            <w:i w:val="false"/>
            <w:color w:val="000000"/>
            <w:sz w:val="22"/>
          </w:rPr>
          <w:t>70.9(1)</w:t>
        </w:r>
      </w:hyperlink>
      <w:r>
        <w:rPr>
          <w:rFonts w:ascii="Times New Roman" w:hAnsi="Times New Roman"/>
          <w:b w:val="false"/>
          <w:i w:val="false"/>
          <w:color w:val="000000"/>
          <w:sz w:val="22"/>
        </w:rPr>
        <w:t xml:space="preserve"> to </w:t>
      </w:r>
      <w:hyperlink r:id="rId146">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certification through fraudulent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obtain certification from the department and performing work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Fraudulently obtaining certification and engaging in any lead-based paint activities requiring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any part of a lead-based paint activity that requires certification without being certified or with a certification that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Obtained documentation of training through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Gained admission to an accredited training program through misrepresentation of admission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Obtained certification through misrepresentation of certification requirements or related documents pertaining to education, training, professional registration,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Performed work requiring certification at a job site without having proof of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Permitted the duplication or use of the individual’s or firm’s own certificate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follow the standards of conduct required by </w:t>
      </w:r>
      <w:hyperlink r:id="rId147">
        <w:r>
          <w:rPr>
            <w:rStyle w:val="Hyperlink"/>
            <w:rFonts w:ascii="Times New Roman" w:hAnsi="Times New Roman"/>
            <w:b w:val="false"/>
            <w:i w:val="false"/>
            <w:color w:val="000000"/>
            <w:sz w:val="22"/>
          </w:rPr>
          <w:t>641—70.6</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Performed work for which certification is required with employees or persons under the control of the certified elevated blood lead (EBL) inspection agency or certified firm who were not appropriately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lead professional activities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lead professional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Negligence by the firm or individual in the practice of lead professional activities. This includes a failure to exercise due care, including negligent delegation of duties or supervision of employees or other individuals, whether or not injury results; or any conduct, practice, or conditions that impair the ability of the firm or individual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Been convicted of a felony or misdemeanor related to lead professional activities or the conviction of any felony or misdemeanor that would affect the ability of the firm or individual to perform lead professional activities. A copy of the record of conviction or plea of guilty shall be conclusive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Unethical conduct. This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conduct with or making suggestive, lewd, lascivious, or improper remarks or advances to a client or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ability of the firm or individual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drugs.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inability of a lead professional to practice with reasonable skill and safety by reason of the excessive use of alcohol on a continuing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excessive use of drugs which may impair a lead professional’s ability to practice with reasonable skill or safety.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Registration on a state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suspend, revoke, or modify the approval for a course, or may place on probation, or impose other sanctions allowed by law as may be appropriate, or may impose a civil penalty or may refer the case to the office of the county attorney for possible criminal penalties pursuant to Iowa Code section </w:t>
      </w:r>
      <w:hyperlink r:id="rId148">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when it finds that the training program, training manager, or other person with supervisory authority over the course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Misrepresented the contents of a training course to the department or to the student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Failed to maintain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approval records, instructor qualifications, or other information or documentation related to course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to comply with the training standards and requirements in </w:t>
      </w:r>
      <w:hyperlink r:id="rId149">
        <w:r>
          <w:rPr>
            <w:rStyle w:val="Hyperlink"/>
            <w:rFonts w:ascii="Times New Roman" w:hAnsi="Times New Roman"/>
            <w:b w:val="false"/>
            <w:i w:val="false"/>
            <w:color w:val="000000"/>
            <w:sz w:val="22"/>
          </w:rPr>
          <w:t>641—70.4(135)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Made false or misleading statements to the department in its application for approval or reapproval which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Failed to comply with federal, state, or local lead-based paint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Knowingly made misleading, deceptive, untrue, or fraudulent representations in the practice of conducting a training program or engaged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Used untruthful or improbable statements in advertisements. This includes, but is not limited to, an action by a training program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Accepted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failure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70.10(3)</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individual, training program, or firm that has been revoked, denied, or suspended may apply to the department in accordance with the terms and conditions of the order of revocation or suspension, unless the order of revocation provides that the certification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order of revocation or suspension did not establish terms and conditions upon which reinstatement might occur, or if the certification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70.10(4)</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certified lead professional, a certified elevated blood lead (EBL) inspection agency, a certified firm, or an approved course shall be submitted in writing to the Iowa Department of Public Health, Lead Poisoning Prevention Program, 321 East 12th Street, Des Moines, Iowa 50319-0075. The complainant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lead professional, certified elevated blood lead (EBL) inspection agency, or certified firm and the specific details of the action(s) by the certified lead professional, certified elevated blood lead (EBL) inspection agency, or certified firm that did not comply with the rules;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lead professional or firm that conducted lead professional activities without the appropriate certification or approval as required by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of an approved course and the specific way(s) that an approved course did not comply with the rules;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sponsoring person or organization that provided a course without the approval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70.10(5)</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150">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 xml:space="preserve">, the department shall serve a written notice of violation upon the person charged. The notice of violation shall specify the date or dates, facts, and the nature of the alleged act or omission with which the person is charged and shall identify specifically the particular provision or provisions of the law, rule, regulation, certification, approval, or cease and desist order involved in the alleged violation and must state the amount of each proposed penalty. The notice of violation shall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shall advise the person charged that upon failure to pay a civil penalty subsequently determined by the department, if any, unless compromised, remitted, or mitigated, the fee shall be collected by civil action, pursuant to Iowa Code section </w:t>
      </w:r>
      <w:hyperlink r:id="rId151">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152">
        <w:r>
          <w:rPr>
            <w:rStyle w:val="Hyperlink"/>
            <w:rFonts w:ascii="Times New Roman" w:hAnsi="Times New Roman"/>
            <w:b w:val="false"/>
            <w:i w:val="false"/>
            <w:color w:val="000000"/>
            <w:sz w:val="22"/>
          </w:rPr>
          <w:t>70.10(5)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153">
        <w:r>
          <w:rPr>
            <w:rStyle w:val="Hyperlink"/>
            <w:rFonts w:ascii="Times New Roman" w:hAnsi="Times New Roman"/>
            <w:b w:val="false"/>
            <w:i w:val="false"/>
            <w:color w:val="000000"/>
            <w:sz w:val="22"/>
          </w:rPr>
          <w:t>70.10(5)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requests a hearing, the department will issue an order designating the time and place of hearing. The hearing shall be conducted according to the procedural rules of the department of inspections and appeals found in </w:t>
      </w:r>
      <w:hyperlink r:id="rId15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compromise any civil penalty. If the civil penalty is not compromised, or is not remitted by the presiding officer or the department, and if payment is not made within ten days following either the service of the order described in paragraph </w:t>
      </w:r>
      <w:hyperlink r:id="rId155">
        <w:r>
          <w:rPr>
            <w:rStyle w:val="Hyperlink"/>
            <w:rFonts w:ascii="Times New Roman" w:hAnsi="Times New Roman"/>
            <w:b w:val="false"/>
            <w:i w:val="false"/>
            <w:color w:val="000000"/>
            <w:sz w:val="22"/>
          </w:rPr>
          <w:t>70.10(5)</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or the expiration of the time for requesting a hearing described in paragraph </w:t>
      </w:r>
      <w:hyperlink r:id="rId156">
        <w:r>
          <w:rPr>
            <w:rStyle w:val="Hyperlink"/>
            <w:rFonts w:ascii="Times New Roman" w:hAnsi="Times New Roman"/>
            <w:b w:val="false"/>
            <w:i w:val="false"/>
            <w:color w:val="000000"/>
            <w:sz w:val="22"/>
          </w:rPr>
          <w:t>70.10(5)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157">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 xml:space="preserve"> shall be made by check, draft, or money order payable to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70.10(6)</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denial, suspension or revocation of certification, or denial, suspension, revocation, or modification of course approval shall be sent to the affected individual or organization by restricted certified mail, return receipt requested, or by personal service. The affected individual or organization shall have a right to appeal the denial,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of a denial, suspension or revocation or other disciplinary action shall be submitted by certified mail, return receipt requested, within 20 days of the receipt of the department’s notice to the Iowa Department of Public Health, Lead Poisoning Prevention Program, 321 East 12th Street, Des Moines, Iowa 50319-0075. If such a request is made within the 20-day time period, the notice of denial, suspension or revocation or other disciplinary action shall be deemed to be suspended. Prior to or at the hearing, the department may rescind the notice upon satisfaction that the reason for the denial, suspension or revocation or other disciplinary action has been or will be removed. After the hearing, or upon default of the applicant or alleged violator, the administrative law judge shall affirm, modify or set aside the denial, suspension or revocation or other disciplinary action. If no appeal is submitted within 20 days, the denial, suspension or revocation or other disciplinary action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transmitted to the department of inspections and appeals within five working days of receipt pursuant to the rules adopted by that agency regarding the transmission of contested cases. The information upon which the denial, suspension or revocation is based shall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15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restricted certified mail, return receipt requested, or delivered by personal service. The proposed decision and order then becomes the department’s final agency action without further proceedings ten days after it is received by the aggrieved party unless an appeal to the director is taken as provided in paragraph </w:t>
      </w:r>
      <w:hyperlink r:id="rId159">
        <w:r>
          <w:rPr>
            <w:rStyle w:val="Hyperlink"/>
            <w:rFonts w:ascii="Times New Roman" w:hAnsi="Times New Roman"/>
            <w:b w:val="false"/>
            <w:i w:val="false"/>
            <w:color w:val="000000"/>
            <w:sz w:val="22"/>
          </w:rPr>
          <w:t>70.10(6)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proposed findings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6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1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20 days after the decision and order becomes final. A copy of the notice of appeal shall be sent to the department by certified mail, return receipt requested, or by personal service to the Iowa Department of Public Health, Lead Poisoning Prevention Program,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70.10(7)</w:t>
      </w:r>
      <w:r>
        <w:rPr>
          <w:rFonts w:ascii="Times New Roman" w:hAnsi="Times New Roman"/>
          <w:b w:val="false"/>
          <w:i w:val="false"/>
          <w:color w:val="000000"/>
          <w:sz w:val="22"/>
        </w:rPr>
        <w:t> </w:t>
      </w:r>
      <w:r>
        <w:rPr>
          <w:rFonts w:ascii="Times New Roman" w:hAnsi="Times New Roman"/>
          <w:b w:val="false"/>
          <w:i w:val="false"/>
          <w:color w:val="000000"/>
          <w:sz w:val="22"/>
        </w:rPr>
        <w:t>Public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shall be notified of the suspension, revocation, modification, or reinstatement of course approval through appropriate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courses for which the approval has been suspended, revoked, modified, or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shall be notified of the suspension or revocation of the certification of a lead professional or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lead professionals and firms for which certification has been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641—70.11</w:t>
      </w:r>
      <w:r>
        <w:rPr>
          <w:rFonts w:ascii="Times New Roman" w:hAnsi="Times New Roman"/>
          <w:b/>
          <w:i w:val="false"/>
          <w:color w:val="000000"/>
          <w:sz w:val="22"/>
        </w:rPr>
        <w:t xml:space="preserve">(135)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162">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3">
        <w:r>
          <w:rPr>
            <w:rStyle w:val="Hyperlink"/>
            <w:rFonts w:ascii="Times New Roman" w:hAnsi="Times New Roman"/>
            <w:b w:val="false"/>
            <w:i w:val="false"/>
            <w:color w:val="000000"/>
            <w:sz w:val="22"/>
          </w:rPr>
          <w:t>135.105A</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9/16/96—published 10/9/96, effective 9/16/96]</w:t>
      </w:r>
    </w:p>
    <w:p>
      <w:pPr>
        <w:spacing w:before="0" w:after="0"/>
        <w:ind w:left="120"/>
        <w:jc w:val="center"/>
      </w:pPr>
      <w:r>
        <w:rPr>
          <w:rFonts w:ascii="Times New Roman" w:hAnsi="Times New Roman"/>
          <w:b w:val="false"/>
          <w:i w:val="false"/>
          <w:color w:val="000000"/>
          <w:sz w:val="21"/>
        </w:rPr>
        <w:t>[Filed 1/9/97, Notice 10/9/96—published 1/29/97, effective 3/5/97]</w:t>
      </w:r>
    </w:p>
    <w:p>
      <w:pPr>
        <w:spacing w:before="0" w:after="0"/>
        <w:ind w:left="120"/>
        <w:jc w:val="center"/>
      </w:pPr>
      <w:r>
        <w:rPr>
          <w:rFonts w:ascii="Times New Roman" w:hAnsi="Times New Roman"/>
          <w:b w:val="false"/>
          <w:i w:val="false"/>
          <w:color w:val="000000"/>
          <w:sz w:val="21"/>
        </w:rPr>
        <w:t>[Filed emergency 5/16/97 after Notice 4/9/97—published 6/4/97, effective 5/16/97]</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emergency 9/17/99—published 10/6/99, effective 9/17/99]</w:t>
      </w:r>
    </w:p>
    <w:p>
      <w:pPr>
        <w:spacing w:before="0" w:after="0"/>
        <w:ind w:left="120"/>
        <w:jc w:val="center"/>
      </w:pPr>
      <w:r>
        <w:rPr>
          <w:rFonts w:ascii="Times New Roman" w:hAnsi="Times New Roman"/>
          <w:b w:val="false"/>
          <w:i w:val="false"/>
          <w:color w:val="000000"/>
          <w:sz w:val="21"/>
        </w:rPr>
        <w:t>[Filed 11/12/99, Notice 10/6/99—published 12/1/99, effective 1/5/00]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9/14/00 after Notice 8/9/00—published 10/4/00, effective 9/14/00]</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After Notice ARC 8502B</w:t>
      </w:r>
      <w:r>
        <w:rPr>
          <w:rFonts w:ascii="Times New Roman" w:hAnsi="Times New Roman"/>
          <w:b w:val="false"/>
          <w:i w:val="false"/>
          <w:color w:val="000000"/>
          <w:sz w:val="21"/>
        </w:rPr>
        <w:t xml:space="preserve"> (Notice ARC 8357B,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0482C</w:t>
      </w:r>
      <w:r>
        <w:rPr>
          <w:rFonts w:ascii="Times New Roman" w:hAnsi="Times New Roman"/>
          <w:b w:val="false"/>
          <w:i w:val="false"/>
          <w:color w:val="000000"/>
          <w:sz w:val="21"/>
        </w:rPr>
        <w:t xml:space="preserve"> (Notice ARC 0369C,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3104C</w:t>
      </w:r>
      <w:r>
        <w:rPr>
          <w:rFonts w:ascii="Times New Roman" w:hAnsi="Times New Roman"/>
          <w:b w:val="false"/>
          <w:i w:val="false"/>
          <w:color w:val="000000"/>
          <w:sz w:val="21"/>
        </w:rPr>
        <w:t xml:space="preserve"> (Notice ARC 2969C, IAB 3/15/17)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4906C</w:t>
      </w:r>
      <w:r>
        <w:rPr>
          <w:rFonts w:ascii="Times New Roman" w:hAnsi="Times New Roman"/>
          <w:b w:val="false"/>
          <w:i w:val="false"/>
          <w:color w:val="000000"/>
          <w:sz w:val="21"/>
        </w:rPr>
        <w:t xml:space="preserve"> (Notice ARC 4773C, IAB 11/20/19)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5763C</w:t>
      </w:r>
      <w:r>
        <w:rPr>
          <w:rFonts w:ascii="Times New Roman" w:hAnsi="Times New Roman"/>
          <w:b w:val="false"/>
          <w:i w:val="false"/>
          <w:color w:val="000000"/>
          <w:sz w:val="21"/>
        </w:rPr>
        <w:t xml:space="preserve"> (Notice ARC 5506C, IAB 3/10/21)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0.5.pdf" Type="http://schemas.openxmlformats.org/officeDocument/2006/relationships/hyperlink" Id="rId5"/>
    <Relationship TargetMode="External" Target="https://www.legis.iowa.gov/docs/iac/rule/641.70.7.pdf" Type="http://schemas.openxmlformats.org/officeDocument/2006/relationships/hyperlink" Id="rId6"/>
    <Relationship TargetMode="External" Target="https://www.legis.iowa.gov/docs/iac/rule/641.70.5.pdf" Type="http://schemas.openxmlformats.org/officeDocument/2006/relationships/hyperlink" Id="rId7"/>
    <Relationship TargetMode="External" Target="https://www.legis.iowa.gov/docs/iac/rule/641.70.5.pdf" Type="http://schemas.openxmlformats.org/officeDocument/2006/relationships/hyperlink" Id="rId8"/>
    <Relationship TargetMode="External" Target="https://www.legis.iowa.gov/docs/iac/rule/641.70.5.pdf" Type="http://schemas.openxmlformats.org/officeDocument/2006/relationships/hyperlink" Id="rId9"/>
    <Relationship TargetMode="External" Target="https://www.legis.iowa.gov/docs/iac/rule/641.70.5.pdf" Type="http://schemas.openxmlformats.org/officeDocument/2006/relationships/hyperlink" Id="rId10"/>
    <Relationship TargetMode="External" Target="https://www.legis.iowa.gov/docs/iac/rule/641.70.5.pdf" Type="http://schemas.openxmlformats.org/officeDocument/2006/relationships/hyperlink" Id="rId11"/>
    <Relationship TargetMode="External" Target="https://www.legis.iowa.gov/docs/iac/rule/641.70.5.pdf" Type="http://schemas.openxmlformats.org/officeDocument/2006/relationships/hyperlink" Id="rId12"/>
    <Relationship TargetMode="External" Target="https://www.legis.iowa.gov/docs/iac/rule/641.70.6.pdf" Type="http://schemas.openxmlformats.org/officeDocument/2006/relationships/hyperlink" Id="rId13"/>
    <Relationship TargetMode="External" Target="https://www.legis.iowa.gov/docs/iac/rule/641.70.5.pdf" Type="http://schemas.openxmlformats.org/officeDocument/2006/relationships/hyperlink" Id="rId14"/>
    <Relationship TargetMode="External" Target="https://www.legis.iowa.gov/docs/iac/rule/641.70.5.pdf" Type="http://schemas.openxmlformats.org/officeDocument/2006/relationships/hyperlink" Id="rId15"/>
    <Relationship TargetMode="External" Target="https://www.legis.iowa.gov/docs/iac/rule/641.70.4.pdf" Type="http://schemas.openxmlformats.org/officeDocument/2006/relationships/hyperlink" Id="rId16"/>
    <Relationship TargetMode="External" Target="https://www.legis.iowa.gov/docs/iac/rule/641.70.4.pdf" Type="http://schemas.openxmlformats.org/officeDocument/2006/relationships/hyperlink" Id="rId17"/>
    <Relationship TargetMode="External" Target="https://www.legis.iowa.gov/docs/iac/rule/641.70.4.pdf" Type="http://schemas.openxmlformats.org/officeDocument/2006/relationships/hyperlink" Id="rId18"/>
    <Relationship TargetMode="External" Target="https://www.legis.iowa.gov/docs/iac/rule/641.70.6.pdf" Type="http://schemas.openxmlformats.org/officeDocument/2006/relationships/hyperlink" Id="rId19"/>
    <Relationship TargetMode="External" Target="https://www.legis.iowa.gov/docs/iac/rule/641.70.4.pdf" Type="http://schemas.openxmlformats.org/officeDocument/2006/relationships/hyperlink" Id="rId20"/>
    <Relationship TargetMode="External" Target="https://www.legis.iowa.gov/docs/iac/rule/641.70.4.pdf" Type="http://schemas.openxmlformats.org/officeDocument/2006/relationships/hyperlink" Id="rId21"/>
    <Relationship TargetMode="External" Target="https://www.legis.iowa.gov/docs/iac/rule/641.70.4.pdf" Type="http://schemas.openxmlformats.org/officeDocument/2006/relationships/hyperlink" Id="rId22"/>
    <Relationship TargetMode="External" Target="https://www.legis.iowa.gov/docs/iac/chapter/641.69.pdf" Type="http://schemas.openxmlformats.org/officeDocument/2006/relationships/hyperlink" Id="rId23"/>
    <Relationship TargetMode="External" Target="https://www.legis.iowa.gov/docs/iac/rule/641.70.6.pdf" Type="http://schemas.openxmlformats.org/officeDocument/2006/relationships/hyperlink" Id="rId24"/>
    <Relationship TargetMode="External" Target="https://www.legis.iowa.gov/docs/iac/chapter/641.69.pdf" Type="http://schemas.openxmlformats.org/officeDocument/2006/relationships/hyperlink" Id="rId25"/>
    <Relationship TargetMode="External" Target="https://www.legis.iowa.gov/docs/iac/chapter/641.69.pdf" Type="http://schemas.openxmlformats.org/officeDocument/2006/relationships/hyperlink" Id="rId26"/>
    <Relationship TargetMode="External" Target="https://www.legis.iowa.gov/docs/iac/chapter/641.69.pdf" Type="http://schemas.openxmlformats.org/officeDocument/2006/relationships/hyperlink" Id="rId27"/>
    <Relationship TargetMode="External" Target="https://www.legis.iowa.gov/docs/iac/chapter/641.69.pdf" Type="http://schemas.openxmlformats.org/officeDocument/2006/relationships/hyperlink" Id="rId28"/>
    <Relationship TargetMode="External" Target="https://www.legis.iowa.gov/docs/iac/chapter/641.69.pdf" Type="http://schemas.openxmlformats.org/officeDocument/2006/relationships/hyperlink" Id="rId29"/>
    <Relationship TargetMode="External" Target="https://www.legis.iowa.gov/docs/iac/chapter/641.69.pdf" Type="http://schemas.openxmlformats.org/officeDocument/2006/relationships/hyperlink" Id="rId30"/>
    <Relationship TargetMode="External" Target="https://www.legis.iowa.gov/docs/iac/chapter/641.69.pdf" Type="http://schemas.openxmlformats.org/officeDocument/2006/relationships/hyperlink" Id="rId31"/>
    <Relationship TargetMode="External" Target="https://www.legis.iowa.gov/docs/iac/chapter/641.69.pdf" Type="http://schemas.openxmlformats.org/officeDocument/2006/relationships/hyperlink" Id="rId32"/>
    <Relationship TargetMode="External" Target="https://www.legis.iowa.gov/docs/iac/chapter/641.69.pdf" Type="http://schemas.openxmlformats.org/officeDocument/2006/relationships/hyperlink" Id="rId33"/>
    <Relationship TargetMode="External" Target="https://www.legis.iowa.gov/docs/iac/rule/641.70.5.pdf" Type="http://schemas.openxmlformats.org/officeDocument/2006/relationships/hyperlink" Id="rId34"/>
    <Relationship TargetMode="External" Target="https://www.legis.iowa.gov/docs/iac/rule/641.70.5.pdf" Type="http://schemas.openxmlformats.org/officeDocument/2006/relationships/hyperlink" Id="rId35"/>
    <Relationship TargetMode="External" Target="https://www.legis.iowa.gov/docs/iac/rule/641.70.4.pdf" Type="http://schemas.openxmlformats.org/officeDocument/2006/relationships/hyperlink" Id="rId36"/>
    <Relationship TargetMode="External" Target="https://www.legis.iowa.gov/docs/iac/rule/641.70.4.pdf" Type="http://schemas.openxmlformats.org/officeDocument/2006/relationships/hyperlink" Id="rId37"/>
    <Relationship TargetMode="External" Target="https://www.legis.iowa.gov/docs/iac/rule/641.70.4.pdf" Type="http://schemas.openxmlformats.org/officeDocument/2006/relationships/hyperlink" Id="rId38"/>
    <Relationship TargetMode="External" Target="https://www.legis.iowa.gov/docs/iac/rule/641.70.4.pdf" Type="http://schemas.openxmlformats.org/officeDocument/2006/relationships/hyperlink" Id="rId39"/>
    <Relationship TargetMode="External" Target="https://www.legis.iowa.gov/docs/iac/rule/641.70.4.pdf" Type="http://schemas.openxmlformats.org/officeDocument/2006/relationships/hyperlink" Id="rId40"/>
    <Relationship TargetMode="External" Target="https://www.legis.iowa.gov/docs/iac/rule/641.70.4.pdf" Type="http://schemas.openxmlformats.org/officeDocument/2006/relationships/hyperlink" Id="rId41"/>
    <Relationship TargetMode="External" Target="https://www.legis.iowa.gov/docs/iac/rule/641.70.5.pdf" Type="http://schemas.openxmlformats.org/officeDocument/2006/relationships/hyperlink" Id="rId42"/>
    <Relationship TargetMode="External" Target="https://www.legis.iowa.gov/docs/iac/rule/641.70.5.pdf" Type="http://schemas.openxmlformats.org/officeDocument/2006/relationships/hyperlink" Id="rId43"/>
    <Relationship TargetMode="External" Target="https://www.legis.iowa.gov/docs/iac/rule/641.70.5.pdf" Type="http://schemas.openxmlformats.org/officeDocument/2006/relationships/hyperlink" Id="rId44"/>
    <Relationship TargetMode="External" Target="https://www.legis.iowa.gov/docs/iac/rule/641.70.5.pdf" Type="http://schemas.openxmlformats.org/officeDocument/2006/relationships/hyperlink" Id="rId45"/>
    <Relationship TargetMode="External" Target="https://www.legis.iowa.gov/docs/iac/rule/641.70.5.pdf" Type="http://schemas.openxmlformats.org/officeDocument/2006/relationships/hyperlink" Id="rId46"/>
    <Relationship TargetMode="External" Target="https://www.legis.iowa.gov/docs/ico/chapter/272C.15.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ac/rule/641.70.5.pdf" Type="http://schemas.openxmlformats.org/officeDocument/2006/relationships/hyperlink" Id="rId49"/>
    <Relationship TargetMode="External" Target="https://www.legis.iowa.gov/docs/iac/rule/641.70.6.pdf" Type="http://schemas.openxmlformats.org/officeDocument/2006/relationships/hyperlink" Id="rId50"/>
    <Relationship TargetMode="External" Target="https://www.legis.iowa.gov/docs/ico/chapter/622.1.pdf" Type="http://schemas.openxmlformats.org/officeDocument/2006/relationships/hyperlink" Id="rId51"/>
    <Relationship TargetMode="External" Target="https://www.legis.iowa.gov/docs/iac/chapter/641.69.pdf" Type="http://schemas.openxmlformats.org/officeDocument/2006/relationships/hyperlink" Id="rId52"/>
    <Relationship TargetMode="External" Target="https://www.legis.iowa.gov/docs/iac/chapter/641.70.pdf" Type="http://schemas.openxmlformats.org/officeDocument/2006/relationships/hyperlink" Id="rId53"/>
    <Relationship TargetMode="External" Target="https://www.legis.iowa.gov/docs/iac/rule/641.70.3.pdf" Type="http://schemas.openxmlformats.org/officeDocument/2006/relationships/hyperlink" Id="rId54"/>
    <Relationship TargetMode="External" Target="https://www.legis.iowa.gov/docs/iac/rule/641.70.5.pdf" Type="http://schemas.openxmlformats.org/officeDocument/2006/relationships/hyperlink" Id="rId55"/>
    <Relationship TargetMode="External" Target="https://www.legis.iowa.gov/docs/ico/chapter/622.1.pdf" Type="http://schemas.openxmlformats.org/officeDocument/2006/relationships/hyperlink" Id="rId56"/>
    <Relationship TargetMode="External" Target="https://www.legis.iowa.gov/docs/iac/chapter/641.69.pdf" Type="http://schemas.openxmlformats.org/officeDocument/2006/relationships/hyperlink" Id="rId57"/>
    <Relationship TargetMode="External" Target="https://www.legis.iowa.gov/docs/iac/chapter/641.70.pdf" Type="http://schemas.openxmlformats.org/officeDocument/2006/relationships/hyperlink" Id="rId58"/>
    <Relationship TargetMode="External" Target="https://www.legis.iowa.gov/docs/iac/rule/641.70.3.pdf" Type="http://schemas.openxmlformats.org/officeDocument/2006/relationships/hyperlink" Id="rId59"/>
    <Relationship TargetMode="External" Target="https://www.legis.iowa.gov/docs/iac/rule/641.70.5.pdf" Type="http://schemas.openxmlformats.org/officeDocument/2006/relationships/hyperlink" Id="rId60"/>
    <Relationship TargetMode="External" Target="https://www.legis.iowa.gov/docs/iac/chapter/641.69.pdf" Type="http://schemas.openxmlformats.org/officeDocument/2006/relationships/hyperlink" Id="rId61"/>
    <Relationship TargetMode="External" Target="https://www.legis.iowa.gov/docs/iac/chapter/641.70.pdf" Type="http://schemas.openxmlformats.org/officeDocument/2006/relationships/hyperlink" Id="rId62"/>
    <Relationship TargetMode="External" Target="https://www.legis.iowa.gov/docs/iac/rule/641.70.3.pdf" Type="http://schemas.openxmlformats.org/officeDocument/2006/relationships/hyperlink" Id="rId63"/>
    <Relationship TargetMode="External" Target="https://www.legis.iowa.gov/docs/iac/rule/641.70.5.pdf" Type="http://schemas.openxmlformats.org/officeDocument/2006/relationships/hyperlink" Id="rId64"/>
    <Relationship TargetMode="External" Target="https://www.legis.iowa.gov/docs/iac/chapter/641.69.pdf" Type="http://schemas.openxmlformats.org/officeDocument/2006/relationships/hyperlink" Id="rId65"/>
    <Relationship TargetMode="External" Target="https://www.legis.iowa.gov/docs/iac/chapter/641.70.pdf" Type="http://schemas.openxmlformats.org/officeDocument/2006/relationships/hyperlink" Id="rId66"/>
    <Relationship TargetMode="External" Target="https://www.legis.iowa.gov/docs/iac/rule/641.70.4.pdf" Type="http://schemas.openxmlformats.org/officeDocument/2006/relationships/hyperlink" Id="rId67"/>
    <Relationship TargetMode="External" Target="https://www.legis.iowa.gov/docs/iac/rule/641.70.5.pdf" Type="http://schemas.openxmlformats.org/officeDocument/2006/relationships/hyperlink" Id="rId68"/>
    <Relationship TargetMode="External" Target="https://www.legis.iowa.gov/docs/iac/rule/641.70.6.pdf" Type="http://schemas.openxmlformats.org/officeDocument/2006/relationships/hyperlink" Id="rId69"/>
    <Relationship TargetMode="External" Target="https://www.legis.iowa.gov/docs/iac/chapter/641.69.pdf" Type="http://schemas.openxmlformats.org/officeDocument/2006/relationships/hyperlink" Id="rId70"/>
    <Relationship TargetMode="External" Target="https://www.legis.iowa.gov/docs/iac/chapter/641.70.pdf" Type="http://schemas.openxmlformats.org/officeDocument/2006/relationships/hyperlink" Id="rId71"/>
    <Relationship TargetMode="External" Target="https://www.legis.iowa.gov/docs/iac/rule/641.70.3.pdf" Type="http://schemas.openxmlformats.org/officeDocument/2006/relationships/hyperlink" Id="rId72"/>
    <Relationship TargetMode="External" Target="https://www.legis.iowa.gov/docs/iac/rule/641.70.5.pdf" Type="http://schemas.openxmlformats.org/officeDocument/2006/relationships/hyperlink" Id="rId73"/>
    <Relationship TargetMode="External" Target="https://www.legis.iowa.gov/docs/iac/chapter/641.69.pdf" Type="http://schemas.openxmlformats.org/officeDocument/2006/relationships/hyperlink" Id="rId74"/>
    <Relationship TargetMode="External" Target="https://www.legis.iowa.gov/docs/iac/chapter/641.70.pdf" Type="http://schemas.openxmlformats.org/officeDocument/2006/relationships/hyperlink" Id="rId75"/>
    <Relationship TargetMode="External" Target="https://www.legis.iowa.gov/docs/iac/rule/641.70.3.pdf" Type="http://schemas.openxmlformats.org/officeDocument/2006/relationships/hyperlink" Id="rId76"/>
    <Relationship TargetMode="External" Target="https://www.legis.iowa.gov/docs/iac/rule/641.70.5.pdf" Type="http://schemas.openxmlformats.org/officeDocument/2006/relationships/hyperlink" Id="rId77"/>
    <Relationship TargetMode="External" Target="https://www.legis.iowa.gov/docs/iac/rule/641.70.3.pdf" Type="http://schemas.openxmlformats.org/officeDocument/2006/relationships/hyperlink" Id="rId78"/>
    <Relationship TargetMode="External" Target="https://www.legis.iowa.gov/docs/iac/rule/641.70.5.pdf" Type="http://schemas.openxmlformats.org/officeDocument/2006/relationships/hyperlink" Id="rId79"/>
    <Relationship TargetMode="External" Target="https://www.legis.iowa.gov/docs/iac/rule/641.70.6.pdf" Type="http://schemas.openxmlformats.org/officeDocument/2006/relationships/hyperlink" Id="rId80"/>
    <Relationship TargetMode="External" Target="https://www.legis.iowa.gov/docs/iac/rule/641.70.6.pdf" Type="http://schemas.openxmlformats.org/officeDocument/2006/relationships/hyperlink" Id="rId81"/>
    <Relationship TargetMode="External" Target="https://www.legis.iowa.gov/docs/iac/rule/641.70.6.pdf" Type="http://schemas.openxmlformats.org/officeDocument/2006/relationships/hyperlink" Id="rId82"/>
    <Relationship TargetMode="External" Target="https://www.legis.iowa.gov/docs/iac/chapter/641.69.pdf" Type="http://schemas.openxmlformats.org/officeDocument/2006/relationships/hyperlink" Id="rId83"/>
    <Relationship TargetMode="External" Target="https://www.legis.iowa.gov/docs/iac/chapter/641.70.pdf" Type="http://schemas.openxmlformats.org/officeDocument/2006/relationships/hyperlink" Id="rId84"/>
    <Relationship TargetMode="External" Target="https://www.legis.iowa.gov/docs/iac/rule/641.70.6.pdf" Type="http://schemas.openxmlformats.org/officeDocument/2006/relationships/hyperlink" Id="rId85"/>
    <Relationship TargetMode="External" Target="https://www.legis.iowa.gov/docs/iac/chapter/641.69.pdf" Type="http://schemas.openxmlformats.org/officeDocument/2006/relationships/hyperlink" Id="rId86"/>
    <Relationship TargetMode="External" Target="https://www.legis.iowa.gov/docs/iac/chapter/641.70.pdf" Type="http://schemas.openxmlformats.org/officeDocument/2006/relationships/hyperlink" Id="rId87"/>
    <Relationship TargetMode="External" Target="https://www.legis.iowa.gov/docs/iac/rule/641.70.3.pdf" Type="http://schemas.openxmlformats.org/officeDocument/2006/relationships/hyperlink" Id="rId88"/>
    <Relationship TargetMode="External" Target="https://www.legis.iowa.gov/docs/iac/rule/641.70.5.pdf" Type="http://schemas.openxmlformats.org/officeDocument/2006/relationships/hyperlink" Id="rId89"/>
    <Relationship TargetMode="External" Target="https://www.legis.iowa.gov/docs/iac/rule/641.70.6.pdf" Type="http://schemas.openxmlformats.org/officeDocument/2006/relationships/hyperlink" Id="rId90"/>
    <Relationship TargetMode="External" Target="https://www.legis.iowa.gov/docs/iac/rule/641.70.6.pdf" Type="http://schemas.openxmlformats.org/officeDocument/2006/relationships/hyperlink" Id="rId91"/>
    <Relationship TargetMode="External" Target="https://www.legis.iowa.gov/docs/iac/rule/641.70.6.pdf" Type="http://schemas.openxmlformats.org/officeDocument/2006/relationships/hyperlink" Id="rId92"/>
    <Relationship TargetMode="External" Target="https://www.legis.iowa.gov/docs/iac/chapter/641.69.pdf" Type="http://schemas.openxmlformats.org/officeDocument/2006/relationships/hyperlink" Id="rId93"/>
    <Relationship TargetMode="External" Target="https://www.legis.iowa.gov/docs/iac/chapter/641.70.pdf" Type="http://schemas.openxmlformats.org/officeDocument/2006/relationships/hyperlink" Id="rId94"/>
    <Relationship TargetMode="External" Target="https://www.legis.iowa.gov/docs/iac/rule/641.70.3.pdf" Type="http://schemas.openxmlformats.org/officeDocument/2006/relationships/hyperlink" Id="rId95"/>
    <Relationship TargetMode="External" Target="https://www.legis.iowa.gov/docs/iac/rule/641.70.5.pdf" Type="http://schemas.openxmlformats.org/officeDocument/2006/relationships/hyperlink" Id="rId96"/>
    <Relationship TargetMode="External" Target="https://www.legis.iowa.gov/docs/iac/rule/641.70.6.pdf" Type="http://schemas.openxmlformats.org/officeDocument/2006/relationships/hyperlink" Id="rId97"/>
    <Relationship TargetMode="External" Target="https://www.legis.iowa.gov/docs/iac/rule/641.70.6.pdf" Type="http://schemas.openxmlformats.org/officeDocument/2006/relationships/hyperlink" Id="rId98"/>
    <Relationship TargetMode="External" Target="https://www.legis.iowa.gov/docs/iac/chapter/641.69.pdf" Type="http://schemas.openxmlformats.org/officeDocument/2006/relationships/hyperlink" Id="rId99"/>
    <Relationship TargetMode="External" Target="https://www.legis.iowa.gov/docs/iac/chapter/641.70.pdf" Type="http://schemas.openxmlformats.org/officeDocument/2006/relationships/hyperlink" Id="rId100"/>
    <Relationship TargetMode="External" Target="https://www.legis.iowa.gov/docs/iac/rule/641.70.3.pdf" Type="http://schemas.openxmlformats.org/officeDocument/2006/relationships/hyperlink" Id="rId101"/>
    <Relationship TargetMode="External" Target="https://www.legis.iowa.gov/docs/iac/rule/641.70.5.pdf" Type="http://schemas.openxmlformats.org/officeDocument/2006/relationships/hyperlink" Id="rId102"/>
    <Relationship TargetMode="External" Target="https://www.legis.iowa.gov/docs/iac/rule/641.70.6.pdf" Type="http://schemas.openxmlformats.org/officeDocument/2006/relationships/hyperlink" Id="rId103"/>
    <Relationship TargetMode="External" Target="https://www.legis.iowa.gov/docs/iac/chapter/641.69.pdf" Type="http://schemas.openxmlformats.org/officeDocument/2006/relationships/hyperlink" Id="rId104"/>
    <Relationship TargetMode="External" Target="https://www.legis.iowa.gov/docs/iac/chapter/641.70.pdf" Type="http://schemas.openxmlformats.org/officeDocument/2006/relationships/hyperlink" Id="rId105"/>
    <Relationship TargetMode="External" Target="https://www.legis.iowa.gov/docs/iac/rule/641.70.3.pdf" Type="http://schemas.openxmlformats.org/officeDocument/2006/relationships/hyperlink" Id="rId106"/>
    <Relationship TargetMode="External" Target="https://www.legis.iowa.gov/docs/iac/rule/641.70.5.pdf" Type="http://schemas.openxmlformats.org/officeDocument/2006/relationships/hyperlink" Id="rId107"/>
    <Relationship TargetMode="External" Target="https://www.legis.iowa.gov/docs/iac/rule/641.70.6.pdf" Type="http://schemas.openxmlformats.org/officeDocument/2006/relationships/hyperlink" Id="rId108"/>
    <Relationship TargetMode="External" Target="https://www.legis.iowa.gov/docs/iac/rule/641.70.6.pdf" Type="http://schemas.openxmlformats.org/officeDocument/2006/relationships/hyperlink" Id="rId109"/>
    <Relationship TargetMode="External" Target="https://www.legis.iowa.gov/docs/iac/rule/641.70.6.pdf" Type="http://schemas.openxmlformats.org/officeDocument/2006/relationships/hyperlink" Id="rId110"/>
    <Relationship TargetMode="External" Target="https://www.legis.iowa.gov/docs/iac/rule/641.70.6.pdf" Type="http://schemas.openxmlformats.org/officeDocument/2006/relationships/hyperlink" Id="rId111"/>
    <Relationship TargetMode="External" Target="https://www.legis.iowa.gov/docs/iac/rule/641.70.6.pdf" Type="http://schemas.openxmlformats.org/officeDocument/2006/relationships/hyperlink" Id="rId112"/>
    <Relationship TargetMode="External" Target="https://www.legis.iowa.gov/docs/iac/rule/641.70.6.pdf" Type="http://schemas.openxmlformats.org/officeDocument/2006/relationships/hyperlink" Id="rId113"/>
    <Relationship TargetMode="External" Target="https://www.legis.iowa.gov/docs/iac/rule/641.70.6.pdf" Type="http://schemas.openxmlformats.org/officeDocument/2006/relationships/hyperlink" Id="rId114"/>
    <Relationship TargetMode="External" Target="https://www.legis.iowa.gov/docs/iac/chapter/641.69.pdf" Type="http://schemas.openxmlformats.org/officeDocument/2006/relationships/hyperlink" Id="rId115"/>
    <Relationship TargetMode="External" Target="https://www.legis.iowa.gov/docs/iac/rule/641.70.6.pdf" Type="http://schemas.openxmlformats.org/officeDocument/2006/relationships/hyperlink" Id="rId116"/>
    <Relationship TargetMode="External" Target="https://www.legis.iowa.gov/docs/iac/chapter/641.69.pdf" Type="http://schemas.openxmlformats.org/officeDocument/2006/relationships/hyperlink" Id="rId117"/>
    <Relationship TargetMode="External" Target="https://www.legis.iowa.gov/docs/iac/chapter/641.70.pdf" Type="http://schemas.openxmlformats.org/officeDocument/2006/relationships/hyperlink" Id="rId118"/>
    <Relationship TargetMode="External" Target="https://www.legis.iowa.gov/docs/iac/rule/641.70.2.pdf" Type="http://schemas.openxmlformats.org/officeDocument/2006/relationships/hyperlink" Id="rId119"/>
    <Relationship TargetMode="External" Target="https://www.legis.iowa.gov/docs/iac/rule/641.70.6.pdf" Type="http://schemas.openxmlformats.org/officeDocument/2006/relationships/hyperlink" Id="rId120"/>
    <Relationship TargetMode="External" Target="https://www.legis.iowa.gov/docs/iac/rule/641.70.6.pdf" Type="http://schemas.openxmlformats.org/officeDocument/2006/relationships/hyperlink" Id="rId121"/>
    <Relationship TargetMode="External" Target="https://www.legis.iowa.gov/docs/iac/rule/641.70.6.pdf" Type="http://schemas.openxmlformats.org/officeDocument/2006/relationships/hyperlink" Id="rId122"/>
    <Relationship TargetMode="External" Target="https://www.legis.iowa.gov/docs/iac/rule/641.70.6.pdf" Type="http://schemas.openxmlformats.org/officeDocument/2006/relationships/hyperlink" Id="rId123"/>
    <Relationship TargetMode="External" Target="https://www.legis.iowa.gov/docs/iac/rule/641.70.6.pdf" Type="http://schemas.openxmlformats.org/officeDocument/2006/relationships/hyperlink" Id="rId124"/>
    <Relationship TargetMode="External" Target="https://www.legis.iowa.gov/docs/iac/rule/641.70.6.pdf" Type="http://schemas.openxmlformats.org/officeDocument/2006/relationships/hyperlink" Id="rId125"/>
    <Relationship TargetMode="External" Target="https://www.legis.iowa.gov/docs/iac/rule/641.70.6.pdf" Type="http://schemas.openxmlformats.org/officeDocument/2006/relationships/hyperlink" Id="rId126"/>
    <Relationship TargetMode="External" Target="https://www.legis.iowa.gov/docs/iac/rule/641.70.6.pdf" Type="http://schemas.openxmlformats.org/officeDocument/2006/relationships/hyperlink" Id="rId127"/>
    <Relationship TargetMode="External" Target="https://www.legis.iowa.gov/docs/iac/rule/641.70.6.pdf" Type="http://schemas.openxmlformats.org/officeDocument/2006/relationships/hyperlink" Id="rId128"/>
    <Relationship TargetMode="External" Target="https://www.legis.iowa.gov/docs/iac/rule/641.70.6.pdf" Type="http://schemas.openxmlformats.org/officeDocument/2006/relationships/hyperlink" Id="rId129"/>
    <Relationship TargetMode="External" Target="https://www.legis.iowa.gov/docs/iac/rule/641.70.6.pdf" Type="http://schemas.openxmlformats.org/officeDocument/2006/relationships/hyperlink" Id="rId130"/>
    <Relationship TargetMode="External" Target="https://www.legis.iowa.gov/docs/iac/rule/641.70.6.pdf" Type="http://schemas.openxmlformats.org/officeDocument/2006/relationships/hyperlink" Id="rId131"/>
    <Relationship TargetMode="External" Target="https://www.legis.iowa.gov/docs/iac/rule/641.70.6.pdf" Type="http://schemas.openxmlformats.org/officeDocument/2006/relationships/hyperlink" Id="rId132"/>
    <Relationship TargetMode="External" Target="https://www.legis.iowa.gov/docs/iac/rule/641.70.6.pdf" Type="http://schemas.openxmlformats.org/officeDocument/2006/relationships/hyperlink" Id="rId133"/>
    <Relationship TargetMode="External" Target="https://www.legis.iowa.gov/docs/iac/rule/641.70.6.pdf" Type="http://schemas.openxmlformats.org/officeDocument/2006/relationships/hyperlink" Id="rId134"/>
    <Relationship TargetMode="External" Target="https://www.legis.iowa.gov/docs/iac/rule/641.70.6.pdf" Type="http://schemas.openxmlformats.org/officeDocument/2006/relationships/hyperlink" Id="rId135"/>
    <Relationship TargetMode="External" Target="https://www.legis.iowa.gov/docs/iac/rule/641.70.6.pdf" Type="http://schemas.openxmlformats.org/officeDocument/2006/relationships/hyperlink" Id="rId136"/>
    <Relationship TargetMode="External" Target="https://www.legis.iowa.gov/docs/iac/rule/641.70.6.pdf" Type="http://schemas.openxmlformats.org/officeDocument/2006/relationships/hyperlink" Id="rId137"/>
    <Relationship TargetMode="External" Target="https://www.legis.iowa.gov/docs/iac/rule/641.70.6.pdf" Type="http://schemas.openxmlformats.org/officeDocument/2006/relationships/hyperlink" Id="rId138"/>
    <Relationship TargetMode="External" Target="https://www.legis.iowa.gov/docs/iac/rule/641.70.6.pdf" Type="http://schemas.openxmlformats.org/officeDocument/2006/relationships/hyperlink" Id="rId139"/>
    <Relationship TargetMode="External" Target="https://www.legis.iowa.gov/docs/iac/rule/641.70.6.pdf" Type="http://schemas.openxmlformats.org/officeDocument/2006/relationships/hyperlink" Id="rId140"/>
    <Relationship TargetMode="External" Target="https://www.legis.iowa.gov/docs/iac/chapter/641.173.pdf" Type="http://schemas.openxmlformats.org/officeDocument/2006/relationships/hyperlink" Id="rId141"/>
    <Relationship TargetMode="External" Target="https://www.legis.iowa.gov/docs/ico/chapter/135.38.pdf" Type="http://schemas.openxmlformats.org/officeDocument/2006/relationships/hyperlink" Id="rId142"/>
    <Relationship TargetMode="External" Target="https://www.legis.iowa.gov/docs/iac/rule/641.70.3.pdf" Type="http://schemas.openxmlformats.org/officeDocument/2006/relationships/hyperlink" Id="rId143"/>
    <Relationship TargetMode="External" Target="https://www.legis.iowa.gov/docs/iac/rule/641.70.7.pdf" Type="http://schemas.openxmlformats.org/officeDocument/2006/relationships/hyperlink" Id="rId144"/>
    <Relationship TargetMode="External" Target="https://www.legis.iowa.gov/docs/iac/rule/641.70.9.pdf" Type="http://schemas.openxmlformats.org/officeDocument/2006/relationships/hyperlink" Id="rId145"/>
    <Relationship TargetMode="External" Target="https://www.legis.iowa.gov/docs/iac/rule/641.70.9.pdf" Type="http://schemas.openxmlformats.org/officeDocument/2006/relationships/hyperlink" Id="rId146"/>
    <Relationship TargetMode="External" Target="https://www.legis.iowa.gov/docs/iac/rule/641.70.6.pdf" Type="http://schemas.openxmlformats.org/officeDocument/2006/relationships/hyperlink" Id="rId147"/>
    <Relationship TargetMode="External" Target="https://www.legis.iowa.gov/docs/ico/chapter/135.38.pdf" Type="http://schemas.openxmlformats.org/officeDocument/2006/relationships/hyperlink" Id="rId148"/>
    <Relationship TargetMode="External" Target="https://www.legis.iowa.gov/docs/iac/rule/641.70.4.pdf" Type="http://schemas.openxmlformats.org/officeDocument/2006/relationships/hyperlink" Id="rId149"/>
    <Relationship TargetMode="External" Target="https://www.legis.iowa.gov/docs/ico/chapter/135.105A.pdf" Type="http://schemas.openxmlformats.org/officeDocument/2006/relationships/hyperlink" Id="rId150"/>
    <Relationship TargetMode="External" Target="https://www.legis.iowa.gov/docs/ico/chapter/135.105A.pdf" Type="http://schemas.openxmlformats.org/officeDocument/2006/relationships/hyperlink" Id="rId151"/>
    <Relationship TargetMode="External" Target="https://www.legis.iowa.gov/docs/iac/rule/641.70.10.pdf" Type="http://schemas.openxmlformats.org/officeDocument/2006/relationships/hyperlink" Id="rId152"/>
    <Relationship TargetMode="External" Target="https://www.legis.iowa.gov/docs/iac/rule/641.70.10.pdf" Type="http://schemas.openxmlformats.org/officeDocument/2006/relationships/hyperlink" Id="rId153"/>
    <Relationship TargetMode="External" Target="https://www.legis.iowa.gov/docs/iac/chapter/481.10.pdf" Type="http://schemas.openxmlformats.org/officeDocument/2006/relationships/hyperlink" Id="rId154"/>
    <Relationship TargetMode="External" Target="https://www.legis.iowa.gov/docs/iac/rule/641.70.10.pdf" Type="http://schemas.openxmlformats.org/officeDocument/2006/relationships/hyperlink" Id="rId155"/>
    <Relationship TargetMode="External" Target="https://www.legis.iowa.gov/docs/iac/rule/641.70.10.pdf" Type="http://schemas.openxmlformats.org/officeDocument/2006/relationships/hyperlink" Id="rId156"/>
    <Relationship TargetMode="External" Target="https://www.legis.iowa.gov/docs/ico/chapter/135.105A.pdf" Type="http://schemas.openxmlformats.org/officeDocument/2006/relationships/hyperlink" Id="rId157"/>
    <Relationship TargetMode="External" Target="https://www.legis.iowa.gov/docs/iac/chapter/481.10.pdf" Type="http://schemas.openxmlformats.org/officeDocument/2006/relationships/hyperlink" Id="rId158"/>
    <Relationship TargetMode="External" Target="https://www.legis.iowa.gov/docs/iac/rule/641.70.10.pdf" Type="http://schemas.openxmlformats.org/officeDocument/2006/relationships/hyperlink" Id="rId159"/>
    <Relationship TargetMode="External" Target="https://www.legis.iowa.gov/docs/ico/chapter/17A.19.pdf" Type="http://schemas.openxmlformats.org/officeDocument/2006/relationships/hyperlink" Id="rId160"/>
    <Relationship TargetMode="External" Target="https://www.legis.iowa.gov/docs/ico/chapter/17A.pdf" Type="http://schemas.openxmlformats.org/officeDocument/2006/relationships/hyperlink" Id="rId161"/>
    <Relationship TargetMode="External" Target="https://www.legis.iowa.gov/docs/iac/chapter/641.178.pdf" Type="http://schemas.openxmlformats.org/officeDocument/2006/relationships/hyperlink" Id="rId162"/>
    <Relationship TargetMode="External" Target="https://www.legis.iowa.gov/docs/ico/chapter/135.105A.pdf" Type="http://schemas.openxmlformats.org/officeDocument/2006/relationships/hyperlink" Id="rId163"/>
    <Relationship TargetMode="External" Target="https://www.legis.iowa.gov/docs/ico/chapter/272C.4.pdf" Type="http://schemas.openxmlformats.org/officeDocument/2006/relationships/hyperlink" Id="rId164"/>
    <Relationship TargetMode="External" Target="https://www.legis.iowa.gov/docs/ico/chapter/272C.12.pdf" Type="http://schemas.openxmlformats.org/officeDocument/2006/relationships/hyperlink" Id="rId16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