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69</w:t>
      </w:r>
    </w:p>
    <w:p>
      <w:pPr>
        <w:spacing w:before="0" w:after="0"/>
        <w:ind w:left="120"/>
        <w:jc w:val="center"/>
      </w:pPr>
      <w:r>
        <w:rPr>
          <w:rFonts w:ascii="Times New Roman" w:hAnsi="Times New Roman"/>
          <w:b w:val="false"/>
          <w:i w:val="false"/>
          <w:color w:val="000000"/>
          <w:sz w:val="21"/>
        </w:rPr>
        <w:t>RENOVATION, REMODELING, AND REPAINTING—</w:t>
      </w:r>
      <w:r>
        <w:br/>
      </w:r>
      <w:r>
        <w:rPr>
          <w:rFonts w:ascii="Times New Roman" w:hAnsi="Times New Roman"/>
          <w:b w:val="false"/>
          <w:i w:val="false"/>
          <w:color w:val="000000"/>
          <w:sz w:val="21"/>
        </w:rPr>
        <w:t>LEAD HAZARD NOTIFICATION PROCESS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641—69.1</w:t>
      </w:r>
      <w:r>
        <w:rPr>
          <w:rFonts w:ascii="Times New Roman" w:hAnsi="Times New Roman"/>
          <w:b/>
          <w:i w:val="false"/>
          <w:color w:val="000000"/>
          <w:sz w:val="22"/>
        </w:rPr>
        <w:t xml:space="preserve">(135)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applies to all persons who perform renovation, remodeling, or repainting for compensation in target housing or a child-occupied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8501B</w:t>
      </w:r>
      <w:r>
        <w:rPr>
          <w:rFonts w:ascii="Times New Roman" w:hAnsi="Times New Roman"/>
          <w:b w:val="false"/>
          <w:i w:val="false"/>
          <w:color w:val="000000"/>
          <w:sz w:val="16"/>
        </w:rPr>
        <w:t>, IAB 2/10/10, effective 1/13/10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641—69.2</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“Arithmetic mean” </w:t>
      </w:r>
      <w:r>
        <w:rPr>
          <w:rFonts w:ascii="Times New Roman" w:hAnsi="Times New Roman"/>
          <w:b w:val="false"/>
          <w:i w:val="false"/>
          <w:color w:val="000000"/>
          <w:sz w:val="22"/>
        </w:rPr>
        <w:t>means the algebraic sum of data values divided by the number of data values. For example, the sum of the concentration of lead in several soil samples divided by the number of samples is the arithmetic mean.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of mailing” </w:t>
      </w:r>
      <w:r>
        <w:rPr>
          <w:rFonts w:ascii="Times New Roman" w:hAnsi="Times New Roman"/>
          <w:b w:val="false"/>
          <w:i w:val="false"/>
          <w:color w:val="000000"/>
          <w:sz w:val="22"/>
        </w:rPr>
        <w:t>means certified mail with return receipt or its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“Chewable surface” </w:t>
      </w:r>
      <w:r>
        <w:rPr>
          <w:rFonts w:ascii="Times New Roman" w:hAnsi="Times New Roman"/>
          <w:b w:val="false"/>
          <w:i w:val="false"/>
          <w:color w:val="000000"/>
          <w:sz w:val="22"/>
        </w:rPr>
        <w:t>means an interior or exterior surface painted with lead-based paint that a young child can mouth or chew.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“Child-occupied facility” </w:t>
      </w:r>
      <w:r>
        <w:rPr>
          <w:rFonts w:ascii="Times New Roman" w:hAnsi="Times New Roman"/>
          <w:b w:val="false"/>
          <w:i w:val="false"/>
          <w:color w:val="000000"/>
          <w:sz w:val="22"/>
        </w:rPr>
        <w:t>means a building, or portion of a building, constructed prior to 1978, that is described by all of the following: (1) The building is visited on a regular basis by the same child, who is less than six years of age, on at least two different days within any week. For purposes of this chapter, a week is a Sunday through Saturday period. (2) Each day’s visit by the child lasts at least 3 hours, and the combined annual visits total at least 60 hours. A child-occupied facility may include, but is not limited to, a child care center, preschool, or kindergarten classroom. A child-occupied facility also includes common areas that are routinely used by children who are less than six years of age, such as restrooms and cafeterias, and the exterior walls and adjoining space of the building that are immediately adjacent to the child-occupied facility or the common areas routinely used by children under the age of six years. “Child-occupied facility” also includes any building where lead-based paint activities are conducted immediately prior to or during the conversion of the building to a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“Common area” </w:t>
      </w:r>
      <w:r>
        <w:rPr>
          <w:rFonts w:ascii="Times New Roman" w:hAnsi="Times New Roman"/>
          <w:b w:val="false"/>
          <w:i w:val="false"/>
          <w:color w:val="000000"/>
          <w:sz w:val="22"/>
        </w:rPr>
        <w:t>means a portion of the building that is generally accessible to all occupants. This includes, but is not limited to, hallways, stairways, laundry and recreational rooms, playgrounds, community centers, garages, and boundary fences.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“Compensation” </w:t>
      </w:r>
      <w:r>
        <w:rPr>
          <w:rFonts w:ascii="Times New Roman" w:hAnsi="Times New Roman"/>
          <w:b w:val="false"/>
          <w:i w:val="false"/>
          <w:color w:val="000000"/>
          <w:sz w:val="22"/>
        </w:rPr>
        <w:t xml:space="preserve">means payment or reimbursement for services performed. Compensation is not limited to monetary considerations and includes payment of rent for rental units, receipt of a salary from the owner or manager of target housing, and receipt of a salary from the owner or operator of a child-occupied facility.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“Components” </w:t>
      </w:r>
      <w:r>
        <w:rPr>
          <w:rFonts w:ascii="Times New Roman" w:hAnsi="Times New Roman"/>
          <w:b w:val="false"/>
          <w:i w:val="false"/>
          <w:color w:val="000000"/>
          <w:sz w:val="22"/>
        </w:rPr>
        <w:t>means specific design or structural elements or fixtures of a building, residential dwelling, or child-occupied facility that are distinguished from each other by form, function, and location. These include, but are not limited to, interior components such as ceilings, crown moldings, walls, chair rails, doors, door trim, floors, fireplaces, radiators and other heating units, shelves, shelf supports, stair treads, stair risers, stair stringers, newel posts, railing caps, balustrades, windows and trim (including sashes, window heads, jambs, sills or stools and troughs), built-in cabinets, columns, beams, bathroom vanities, countertops, and air conditioners; and exterior components such as painted roofing, chimneys, flashing, gutters and downspouts, ceilings, soffits, fascias, rake boards, cornerboards, bulkheads, doors and door trim, fences, floors, joists, latticework, railings and railing caps, siding, handrails, stair risers and treads, stair stringers, columns, balustrades, windowsills or stools and troughs, casing, sashes and wells, and air conditioners.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“Dripline” </w:t>
      </w:r>
      <w:r>
        <w:rPr>
          <w:rFonts w:ascii="Times New Roman" w:hAnsi="Times New Roman"/>
          <w:b w:val="false"/>
          <w:i w:val="false"/>
          <w:color w:val="000000"/>
          <w:sz w:val="22"/>
        </w:rPr>
        <w:t>means the area within three feet surrounding the perimeter of a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“Dust-lead hazard” </w:t>
      </w:r>
      <w:r>
        <w:rPr>
          <w:rFonts w:ascii="Times New Roman" w:hAnsi="Times New Roman"/>
          <w:b w:val="false"/>
          <w:i w:val="false"/>
          <w:color w:val="000000"/>
          <w:sz w:val="22"/>
        </w:rPr>
        <w:t>means surface dust in residential dwellings or child-occupied facilities that contains a mass-per-area concentration of lead equal to or exceeding 10 micrograms per square foot on floors, 100 micrograms per square foot on interior windowsills, and 400 micrograms per square foot on window troughs based on wipe samples. A dust-lead hazard is present in a residential dwelling or child-occupied facility when the weighted arithmetic mean lead loading for all single-surface or composite samples of floors and interior windowsills is equal to or greater than 10 micrograms per square foot on floors, 100 micrograms per square foot on interior windowsills, and 400 micrograms per square foot on window troughs based on wipe samples. A dust-lead hazard is present on floors, interior windowsills, or window troughs in an unsampled residential dwelling in a multifamily dwelling if a dust-lead hazard is present on floors, interior windowsills, or window troughs, respectively, in at least one sampled residential unit on the property. A dust-lead hazard is present on floors, interior windowsills, or window troughs in an unsampled common area in a multifamily dwelling if a dust-lead hazard is present on floors, interior windowsills, or window troughs, respectively, in at least one sampled common area in the same common area group on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“Dwelling unit” </w:t>
      </w:r>
      <w:r>
        <w:rPr>
          <w:rFonts w:ascii="Times New Roman" w:hAnsi="Times New Roman"/>
          <w:b w:val="false"/>
          <w:i w:val="false"/>
          <w:color w:val="000000"/>
          <w:sz w:val="22"/>
        </w:rPr>
        <w:t>means a single, unified combination of rooms designed for use as a dwelling by one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renovation, remodeling, or repainting” </w:t>
      </w:r>
      <w:r>
        <w:rPr>
          <w:rFonts w:ascii="Times New Roman" w:hAnsi="Times New Roman"/>
          <w:b w:val="false"/>
          <w:i w:val="false"/>
          <w:color w:val="000000"/>
          <w:sz w:val="22"/>
        </w:rPr>
        <w:t>means renovation, remodeling, or repainting activities necessitated by nonroutine failures of equipment or a structure that were not planned but resulted from a sudden, unexpected event that, if not immediately attended to, presents a safety or public health hazard or threatens equipment or property with significant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“Friction surface” </w:t>
      </w:r>
      <w:r>
        <w:rPr>
          <w:rFonts w:ascii="Times New Roman" w:hAnsi="Times New Roman"/>
          <w:b w:val="false"/>
          <w:i w:val="false"/>
          <w:color w:val="000000"/>
          <w:sz w:val="22"/>
        </w:rPr>
        <w:t>means an interior or exterior surface that is subject to abrasion or friction including, but not limited to, certain window, floor, and stair surfaces.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“Hazardous lead-based paint” </w:t>
      </w:r>
      <w:r>
        <w:rPr>
          <w:rFonts w:ascii="Times New Roman" w:hAnsi="Times New Roman"/>
          <w:b w:val="false"/>
          <w:i w:val="false"/>
          <w:color w:val="000000"/>
          <w:sz w:val="22"/>
        </w:rPr>
        <w:t>means lead-based paint that is present on a friction surface where there is evidence of abrasion or where the dust-lead level on the nearest horizontal surface underneath the friction surface (e.g., the windowsill or floor) is equal to or greater than the dust-lead hazard level, lead-based paint that is present on an impact surface that is damaged or otherwise deteriorated from impact, lead-based paint that is present on a chewable surface, or any other deteriorated lead-based paint in any residential building or child-occupied facility or on the exterior of any residential building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“Housing for the elderly” </w:t>
      </w:r>
      <w:r>
        <w:rPr>
          <w:rFonts w:ascii="Times New Roman" w:hAnsi="Times New Roman"/>
          <w:b w:val="false"/>
          <w:i w:val="false"/>
          <w:color w:val="000000"/>
          <w:sz w:val="22"/>
        </w:rPr>
        <w:t xml:space="preserve">means retirement communities or similar types of housing reserved for households composed of one or more persons 62 years of age or older or an age recognized as elderly by a specific federal housing assistance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“Impact surface” </w:t>
      </w:r>
      <w:r>
        <w:rPr>
          <w:rFonts w:ascii="Times New Roman" w:hAnsi="Times New Roman"/>
          <w:b w:val="false"/>
          <w:i w:val="false"/>
          <w:color w:val="000000"/>
          <w:sz w:val="22"/>
        </w:rPr>
        <w:t>means an interior or exterior surface that is subject to damage by repeated sudden force such as certain parts of door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“Lead-based paint” </w:t>
      </w:r>
      <w:r>
        <w:rPr>
          <w:rFonts w:ascii="Times New Roman" w:hAnsi="Times New Roman"/>
          <w:b w:val="false"/>
          <w:i w:val="false"/>
          <w:color w:val="000000"/>
          <w:sz w:val="22"/>
        </w:rPr>
        <w:t>means paint or other surface coatings that contain lead equal to or in excess of 1.0 milligram per square centimeter or more than 0.5 percent by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“Lead-based paint hazard” </w:t>
      </w:r>
      <w:r>
        <w:rPr>
          <w:rFonts w:ascii="Times New Roman" w:hAnsi="Times New Roman"/>
          <w:b w:val="false"/>
          <w:i w:val="false"/>
          <w:color w:val="000000"/>
          <w:sz w:val="22"/>
        </w:rPr>
        <w:t>means hazardous lead-based paint, a dust-lead hazard, or a soil-lead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“Living area” </w:t>
      </w:r>
      <w:r>
        <w:rPr>
          <w:rFonts w:ascii="Times New Roman" w:hAnsi="Times New Roman"/>
          <w:b w:val="false"/>
          <w:i w:val="false"/>
          <w:color w:val="000000"/>
          <w:sz w:val="22"/>
        </w:rPr>
        <w:t>means any area of a residential dwelling used by at least one child six years of age or less including, but not limited to, living rooms, kitchen areas, dens, playrooms, and children’s bedrooms.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“Mid-yard” </w:t>
      </w:r>
      <w:r>
        <w:rPr>
          <w:rFonts w:ascii="Times New Roman" w:hAnsi="Times New Roman"/>
          <w:b w:val="false"/>
          <w:i w:val="false"/>
          <w:color w:val="000000"/>
          <w:sz w:val="22"/>
        </w:rPr>
        <w:t>means an area of a residential yard approximately midway between the dripline of a residential building and the nearest property boundary or between the driplines of a residential building and another building on the same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“Multifamily dwelling” </w:t>
      </w:r>
      <w:r>
        <w:rPr>
          <w:rFonts w:ascii="Times New Roman" w:hAnsi="Times New Roman"/>
          <w:b w:val="false"/>
          <w:i w:val="false"/>
          <w:color w:val="000000"/>
          <w:sz w:val="22"/>
        </w:rPr>
        <w:t>means a structure that contains more than one separate residential dwelling unit, which is used or occupied, or is intended to be used or occupied, in whole or in part, as the home or residence of one or more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individual, corporation, limited liability company, government or governmental subdivision or agency, business trust, estate, trust, partnership, or association, or any other legal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“Play area” </w:t>
      </w:r>
      <w:r>
        <w:rPr>
          <w:rFonts w:ascii="Times New Roman" w:hAnsi="Times New Roman"/>
          <w:b w:val="false"/>
          <w:i w:val="false"/>
          <w:color w:val="000000"/>
          <w:sz w:val="22"/>
        </w:rPr>
        <w:t>means an area of frequent soil contact by children of less than six years of age as indicated by, but not limited to, factors including the following: the presence of play equipment (sandboxes, swing sets, and sliding boards), toys, or other children’s possessions, observations of play patterns, or information provided by parents, residents, caregivers, or property 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“Regulated entity” </w:t>
      </w:r>
      <w:r>
        <w:rPr>
          <w:rFonts w:ascii="Times New Roman" w:hAnsi="Times New Roman"/>
          <w:b w:val="false"/>
          <w:i w:val="false"/>
          <w:color w:val="000000"/>
          <w:sz w:val="22"/>
        </w:rPr>
        <w:t>means any individual or company that is regulated by the department by virtue of these rules, the Iowa Code, or other official regulatory promulgation.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“Renovation, remodeling, repainting” </w:t>
      </w:r>
      <w:r>
        <w:rPr>
          <w:rFonts w:ascii="Times New Roman" w:hAnsi="Times New Roman"/>
          <w:b w:val="false"/>
          <w:i w:val="false"/>
          <w:color w:val="000000"/>
          <w:sz w:val="22"/>
        </w:rPr>
        <w:t xml:space="preserve">means modifying any existing structure or portion of a structure where painted surfaces are disturbed, unless the activity fits the criteria of lead abatement as defined in </w:t>
      </w:r>
      <w:hyperlink r:id="rId5">
        <w:r>
          <w:rPr>
            <w:rStyle w:val="Hyperlink"/>
            <w:rFonts w:ascii="Times New Roman" w:hAnsi="Times New Roman"/>
            <w:b w:val="false"/>
            <w:i w:val="false"/>
            <w:color w:val="000000"/>
            <w:sz w:val="22"/>
          </w:rPr>
          <w:t>641—70.2(135)</w:t>
        </w:r>
      </w:hyperlink>
      <w:r>
        <w:rPr>
          <w:rFonts w:ascii="Times New Roman" w:hAnsi="Times New Roman"/>
          <w:b w:val="false"/>
          <w:i w:val="false"/>
          <w:color w:val="000000"/>
          <w:sz w:val="22"/>
        </w:rPr>
        <w:t xml:space="preserve"> and is performed by a certified lead abatement contractor as defined in </w:t>
      </w:r>
      <w:hyperlink r:id="rId6">
        <w:r>
          <w:rPr>
            <w:rStyle w:val="Hyperlink"/>
            <w:rFonts w:ascii="Times New Roman" w:hAnsi="Times New Roman"/>
            <w:b w:val="false"/>
            <w:i w:val="false"/>
            <w:color w:val="000000"/>
            <w:sz w:val="22"/>
          </w:rPr>
          <w:t>641—70.2(135)</w:t>
        </w:r>
      </w:hyperlink>
      <w:r>
        <w:rPr>
          <w:rFonts w:ascii="Times New Roman" w:hAnsi="Times New Roman"/>
          <w:b w:val="false"/>
          <w:i w:val="false"/>
          <w:color w:val="000000"/>
          <w:sz w:val="22"/>
        </w:rPr>
        <w:t>. This includes, but is not limited to, removing walls, ceilings, and other painted building components; window replacement; floor refinishing; and sanding, scraping, stripping, water blasting, or otherwise removing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“Residential dwelling” </w:t>
      </w:r>
      <w:r>
        <w:rPr>
          <w:rFonts w:ascii="Times New Roman" w:hAnsi="Times New Roman"/>
          <w:b w:val="false"/>
          <w:i w:val="false"/>
          <w:color w:val="000000"/>
          <w:sz w:val="22"/>
        </w:rPr>
        <w:t>means (1) a detached single-family dwelling unit, including the surrounding yard, attached structures such as porches and stoops, and detached buildings and structures including, but not limited to, garages, farm buildings, and fences, or (2) a single-family dwelling unit in a structure that contains more than one separate residential dwelling unit, which is used or occupied, or intended to be used or occupied, in whole or part, as the home or residence of one or more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“Soil-lead hazard” </w:t>
      </w:r>
      <w:r>
        <w:rPr>
          <w:rFonts w:ascii="Times New Roman" w:hAnsi="Times New Roman"/>
          <w:b w:val="false"/>
          <w:i w:val="false"/>
          <w:color w:val="000000"/>
          <w:sz w:val="22"/>
        </w:rPr>
        <w:t>means bare soil on residential real property or on the property of a child-occupied facility that contains total lead in excess of 400 parts per million for the dripline, mid-yard, and play areas. A soil-lead hazard is present in a dripline, mid-yard, or play area when the soil-lead concentration from a composite sample of bare soil is equal to or greater than 400 parts per million.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“Target housing” </w:t>
      </w:r>
      <w:r>
        <w:rPr>
          <w:rFonts w:ascii="Times New Roman" w:hAnsi="Times New Roman"/>
          <w:b w:val="false"/>
          <w:i w:val="false"/>
          <w:color w:val="000000"/>
          <w:sz w:val="22"/>
        </w:rPr>
        <w:t>means housing constructed prior to 1978 with the exception of housing for the elderly or for persons with disabilities, unless at least one child under the age of six years resides or is expected to reside in the housing, and housing which does not contain a bedroom.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8501B</w:t>
      </w:r>
      <w:r>
        <w:rPr>
          <w:rFonts w:ascii="Times New Roman" w:hAnsi="Times New Roman"/>
          <w:b w:val="false"/>
          <w:i w:val="false"/>
          <w:color w:val="000000"/>
          <w:sz w:val="16"/>
        </w:rPr>
        <w:t>, IAB 2/10/10, effective 1/13/10</w:t>
      </w:r>
      <w:r>
        <w:rPr>
          <w:rFonts w:ascii="Times New Roman" w:hAnsi="Times New Roman"/>
          <w:b w:val="false"/>
          <w:i w:val="false"/>
          <w:color w:val="000000"/>
          <w:sz w:val="16"/>
        </w:rPr>
        <w:t xml:space="preserve">; </w:t>
      </w:r>
      <w:r>
        <w:rPr>
          <w:rFonts w:ascii="Times New Roman" w:hAnsi="Times New Roman"/>
          <w:b/>
          <w:i w:val="false"/>
          <w:color w:val="000000"/>
          <w:sz w:val="16"/>
        </w:rPr>
        <w:t>ARC 5684C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641—69.3</w:t>
      </w:r>
      <w:r>
        <w:rPr>
          <w:rFonts w:ascii="Times New Roman" w:hAnsi="Times New Roman"/>
          <w:b/>
          <w:i w:val="false"/>
          <w:color w:val="000000"/>
          <w:sz w:val="22"/>
        </w:rPr>
        <w:t xml:space="preserve">(135) </w:t>
      </w:r>
      <w:r>
        <w:rPr>
          <w:rFonts w:ascii="Times New Roman" w:hAnsi="Times New Roman"/>
          <w:b/>
          <w:i w:val="false"/>
          <w:color w:val="000000"/>
          <w:sz w:val="22"/>
        </w:rPr>
        <w:t xml:space="preserve">Notification required in target housing. </w:t>
      </w:r>
      <w:r>
        <w:rPr>
          <w:rFonts w:ascii="Times New Roman" w:hAnsi="Times New Roman"/>
          <w:b w:val="false"/>
          <w:i w:val="false"/>
          <w:color w:val="000000"/>
          <w:sz w:val="22"/>
        </w:rPr>
        <w:t>A person who performs renovation, remodeling, or repainting of target housing for compensation, except for emergency renovation, remodeling, or repainting of target housing, and except for minor repair and maintenance activities that disrupt less than 1.0 square feet of painted surface, must do the following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69.3(1)</w:t>
      </w:r>
      <w:r>
        <w:rPr>
          <w:rFonts w:ascii="Times New Roman" w:hAnsi="Times New Roman"/>
          <w:b w:val="false"/>
          <w:i w:val="false"/>
          <w:color w:val="000000"/>
          <w:sz w:val="22"/>
        </w:rPr>
        <w:t> </w:t>
      </w:r>
      <w:r>
        <w:rPr>
          <w:rFonts w:ascii="Times New Roman" w:hAnsi="Times New Roman"/>
          <w:b w:val="false"/>
          <w:i w:val="false"/>
          <w:color w:val="000000"/>
          <w:sz w:val="22"/>
        </w:rPr>
        <w:t>Provide the pamphlet, Lead Poisoning: How to Protect Iowa Families, or the federal pamphlet, Renovate Right, to the owner and adult occupant of each dwelling unit where renovation, remodeling, or repainting will be performed. The pamphlet shall be provided no more than 60 days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69.3(2)</w:t>
      </w:r>
      <w:r>
        <w:rPr>
          <w:rFonts w:ascii="Times New Roman" w:hAnsi="Times New Roman"/>
          <w:b w:val="false"/>
          <w:i w:val="false"/>
          <w:color w:val="000000"/>
          <w:sz w:val="22"/>
        </w:rPr>
        <w:t> </w:t>
      </w:r>
      <w:r>
        <w:rPr>
          <w:rFonts w:ascii="Times New Roman" w:hAnsi="Times New Roman"/>
          <w:b w:val="false"/>
          <w:i w:val="false"/>
          <w:color w:val="000000"/>
          <w:sz w:val="22"/>
        </w:rPr>
        <w:t>Obtain a signed, dated acknowledgment from the owner and known adult occupant of each dwelling unit where renovation, remodeling, or repainting will be performed affirming that they have received the pamphlet prior to the start of renovation, remodeling, or repainting and are aware of the potential health hazards from remodeling, renovating, or repainting housing containing lead-based paint. The acknowledgment shall be obtained no more than 60 days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acknowledgment shall include the owner’s and occupant’s names and the address of the residential dwelling undergoing renovation, remodeling, or repainting.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acknowledgment shall include the following language:</w:t>
      </w:r>
    </w:p>
    <w:p>
      <w:pPr>
        <w:spacing w:before="0" w:after="0"/>
        <w:ind w:left="710"/>
        <w:jc w:val="both"/>
      </w:pPr>
      <w:r>
        <w:rPr>
          <w:rFonts w:ascii="Times New Roman" w:hAnsi="Times New Roman"/>
          <w:b w:val="false"/>
          <w:i w:val="false"/>
          <w:color w:val="000000"/>
          <w:sz w:val="22"/>
        </w:rPr>
        <w:t>I have received the pamphlet entitled Lead Poisoning: How to Protect Iowa Families or the federal pamphlet, Renovate Right, prior to the start of renovation, remodeling, or repainting and am aware of the potential health risk associated with remodeling, renovating, or repainting housing containing lead-based paint or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Below the statement, the acknowledgment shall require the signature of the owner and occupant, along with their dates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signature cannot be obtained from an adult occupant, the person must certify in writing that the pamphlet has been delivered to the dwelling and that a written acknowledgment could not be obtained from an adult occupant. Such certification must include the address of the unit to be remodeled, renovated, or repainted, the date and method of delivery of the pamphlet, the name of the person delivering the pamphlet, the reason for lack of acknowledgment (e.g., occupant refuses to sign, no adult occupant available), the signature of the person conducting the renovation, remodeling, or repainting, and the date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type shall be clear and legible.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acknowledgment may be included as a separate sheet or as a part of any written contract or service agreement. The acknowledgment must be completed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parties use a written contract or agreement which is written in a language other than English, the acknowledgment text shall be written in the same language as the text of the contract or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69.3(3)</w:t>
      </w:r>
      <w:r>
        <w:rPr>
          <w:rFonts w:ascii="Times New Roman" w:hAnsi="Times New Roman"/>
          <w:b w:val="false"/>
          <w:i w:val="false"/>
          <w:color w:val="000000"/>
          <w:sz w:val="22"/>
        </w:rPr>
        <w:t> </w:t>
      </w:r>
      <w:r>
        <w:rPr>
          <w:rFonts w:ascii="Times New Roman" w:hAnsi="Times New Roman"/>
          <w:b w:val="false"/>
          <w:i w:val="false"/>
          <w:color w:val="000000"/>
          <w:sz w:val="22"/>
        </w:rPr>
        <w:t>In lieu of delivering the pamphlet and written acknowledgment, the person conducting the renovation, remodeling, or repainting may obtain a certificate of mailing the pamphlet and written acknowledgment at least seven days prior to beginning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69.3(4)</w:t>
      </w:r>
      <w:r>
        <w:rPr>
          <w:rFonts w:ascii="Times New Roman" w:hAnsi="Times New Roman"/>
          <w:b w:val="false"/>
          <w:i w:val="false"/>
          <w:color w:val="000000"/>
          <w:sz w:val="22"/>
        </w:rPr>
        <w:t> </w:t>
      </w:r>
      <w:r>
        <w:rPr>
          <w:rFonts w:ascii="Times New Roman" w:hAnsi="Times New Roman"/>
          <w:b w:val="false"/>
          <w:i w:val="false"/>
          <w:color w:val="000000"/>
          <w:sz w:val="22"/>
        </w:rPr>
        <w:t>If the general nature, location, and expected starting and ending dates of the planned renovation, remodeling, or repainting change after the initial notification has been conducted, the person conducting the renovation, remodeling, or repainting shall provide further notification to the owners and occupants providing revised information on the ongoing or planned activities. This subsequent notification must be provided before the person conducting the renovation, remodeling, or repainting initiates work beyond that which was described in the original notice.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8501B</w:t>
      </w:r>
      <w:r>
        <w:rPr>
          <w:rFonts w:ascii="Times New Roman" w:hAnsi="Times New Roman"/>
          <w:b w:val="false"/>
          <w:i w:val="false"/>
          <w:color w:val="000000"/>
          <w:sz w:val="16"/>
        </w:rPr>
        <w:t>, IAB 2/10/10, effective 1/13/10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641—69.4</w:t>
      </w:r>
      <w:r>
        <w:rPr>
          <w:rFonts w:ascii="Times New Roman" w:hAnsi="Times New Roman"/>
          <w:b/>
          <w:i w:val="false"/>
          <w:color w:val="000000"/>
          <w:sz w:val="22"/>
        </w:rPr>
        <w:t xml:space="preserve">(135) </w:t>
      </w:r>
      <w:r>
        <w:rPr>
          <w:rFonts w:ascii="Times New Roman" w:hAnsi="Times New Roman"/>
          <w:b/>
          <w:i w:val="false"/>
          <w:color w:val="000000"/>
          <w:sz w:val="22"/>
        </w:rPr>
        <w:t xml:space="preserve">Notification required in multifamily housing. </w:t>
      </w:r>
      <w:r>
        <w:rPr>
          <w:rFonts w:ascii="Times New Roman" w:hAnsi="Times New Roman"/>
          <w:b w:val="false"/>
          <w:i w:val="false"/>
          <w:color w:val="000000"/>
          <w:sz w:val="22"/>
        </w:rPr>
        <w:t>A person who performs renovation, remodeling, or repainting of common areas for compensation, except for emergency renovation, remodeling, or repainting of target housing, and except for minor repair and maintenance activities that disrupt less than 1.0 square feet of painted surface, must do the following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69.4(1)</w:t>
      </w:r>
      <w:r>
        <w:rPr>
          <w:rFonts w:ascii="Times New Roman" w:hAnsi="Times New Roman"/>
          <w:b w:val="false"/>
          <w:i w:val="false"/>
          <w:color w:val="000000"/>
          <w:sz w:val="22"/>
        </w:rPr>
        <w:t> </w:t>
      </w:r>
      <w:r>
        <w:rPr>
          <w:rFonts w:ascii="Times New Roman" w:hAnsi="Times New Roman"/>
          <w:b w:val="false"/>
          <w:i w:val="false"/>
          <w:color w:val="000000"/>
          <w:sz w:val="22"/>
        </w:rPr>
        <w:t>Provide the pamphlet, Lead Poisoning: How to Protect Iowa Families, or the federal pamphlet, Renovate Right, to the owner of the multifamily target housing where renovation, remodeling, or repainting will be performed. The pamphlet shall be provided no more than 60 days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69.4(2)</w:t>
      </w:r>
      <w:r>
        <w:rPr>
          <w:rFonts w:ascii="Times New Roman" w:hAnsi="Times New Roman"/>
          <w:b w:val="false"/>
          <w:i w:val="false"/>
          <w:color w:val="000000"/>
          <w:sz w:val="22"/>
        </w:rPr>
        <w:t> </w:t>
      </w:r>
      <w:r>
        <w:rPr>
          <w:rFonts w:ascii="Times New Roman" w:hAnsi="Times New Roman"/>
          <w:b w:val="false"/>
          <w:i w:val="false"/>
          <w:color w:val="000000"/>
          <w:sz w:val="22"/>
        </w:rPr>
        <w:t>Obtain a signed, dated acknowledgment from the owner of the multifamily target housing where renovation, remodeling, or repainting will be performed affirming that the owner has received the pamphlet prior to the start of renovation, remodeling, or repainting and is aware of the potential health hazards from remodeling, renovating, or repainting housing containing lead-based paint. The acknowledgment shall be obtained no more than 60 days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acknowledgment shall include the owner’s name and the address of the multifamily dwelling undergoing renovation, remodeling, or repainting.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acknowledgment shall include the following language:</w:t>
      </w:r>
    </w:p>
    <w:p>
      <w:pPr>
        <w:spacing w:before="0" w:after="0"/>
        <w:ind w:left="710"/>
        <w:jc w:val="both"/>
      </w:pPr>
      <w:r>
        <w:rPr>
          <w:rFonts w:ascii="Times New Roman" w:hAnsi="Times New Roman"/>
          <w:b w:val="false"/>
          <w:i w:val="false"/>
          <w:color w:val="000000"/>
          <w:sz w:val="22"/>
        </w:rPr>
        <w:t>I have received the pamphlet entitled Lead Poisoning: How to Protect Iowa Families or the federal pamphlet, Renovate Right, prior to the start of renovation, remodeling, or repainting and am aware of the potential health risk associated with remodeling, renovating, or repainting housing containing lead-based paint or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Below the statement, the acknowledgment shall require the signature of the owner, along with the date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type shall be clear and legible.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acknowledgment may be included as a separate sheet or as a part of any written contract or service agreement. The acknowledgment must be completed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parties use a written contract or agreement which is written in a language other than English, the acknowledgment text shall be written in the same language as the text of the contract or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Notify each occupant of the multifamily housing, in writing, of the intended remodeling, repainting, or renovation, and make the pamphlet, Lead Poisoning: How to Protect Iowa Families, or the federal pamphlet, Renovate Right, available upon request. At a minimum, this notification shall be accomplished by distributing written notice to each occupant of the target housing. The notice shall describe: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general nature and location of the planned renovation, remodeling, or repainting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expected starting and ending dates of the planned renovation, remodeling, or repainting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of how the owners and occupants can obtain the pamphlet, Lead Poisoning: How to Protect Iowa Families, or the federal pamphlet, Renovate Right, at no charge from the person conducting the renovation, remodeling, or repainting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These activities shall be conducted by the person planning to perform the renovation, remodeling, or repainting, or by the owner on behalf of this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person planning to perform the renovation, remodeling, or repainting must prepare, sign, and date a statement describing the steps performed to notify all occupants of the intended renovation, remodeling, or repainting, and to provide the pamphlet, Lead Poisoning: How to Protect Iowa Families, or the federal pamphlet, Renovate Right, at no charge upon request. Regardless of who performs the notification activities required in this subrule, the person planning to conduct the renovation, remodeling, or repainting shall be responsible for ensuring compliance with this subrule and shall be liable for any failures to comply with the notification requirements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69.4(3)</w:t>
      </w:r>
      <w:r>
        <w:rPr>
          <w:rFonts w:ascii="Times New Roman" w:hAnsi="Times New Roman"/>
          <w:b w:val="false"/>
          <w:i w:val="false"/>
          <w:color w:val="000000"/>
          <w:sz w:val="22"/>
        </w:rPr>
        <w:t> </w:t>
      </w:r>
      <w:r>
        <w:rPr>
          <w:rFonts w:ascii="Times New Roman" w:hAnsi="Times New Roman"/>
          <w:b w:val="false"/>
          <w:i w:val="false"/>
          <w:color w:val="000000"/>
          <w:sz w:val="22"/>
        </w:rPr>
        <w:t>In lieu of delivering the pamphlet and written acknowledgment to the owner, the person conducting the renovation, remodeling, or repainting may obtain a certificate of mailing the pamphlet and written acknowledgment at least seven days prior to beginning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69.4(4)</w:t>
      </w:r>
      <w:r>
        <w:rPr>
          <w:rFonts w:ascii="Times New Roman" w:hAnsi="Times New Roman"/>
          <w:b w:val="false"/>
          <w:i w:val="false"/>
          <w:color w:val="000000"/>
          <w:sz w:val="22"/>
        </w:rPr>
        <w:t> </w:t>
      </w:r>
      <w:r>
        <w:rPr>
          <w:rFonts w:ascii="Times New Roman" w:hAnsi="Times New Roman"/>
          <w:b w:val="false"/>
          <w:i w:val="false"/>
          <w:color w:val="000000"/>
          <w:sz w:val="22"/>
        </w:rPr>
        <w:t>If the general nature, location, and expected starting and ending dates of the planned renovation, remodeling, or repainting change after the initial notification has been conducted, the person conducting the renovation, remodeling, or repainting shall provide further notification to the owners and occupants providing revised information on the ongoing or planned activities. This subsequent notification must be provided before the person conducting the renovation, remodeling, or repainting initiates work beyond that which was described in the original notice.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8501B</w:t>
      </w:r>
      <w:r>
        <w:rPr>
          <w:rFonts w:ascii="Times New Roman" w:hAnsi="Times New Roman"/>
          <w:b w:val="false"/>
          <w:i w:val="false"/>
          <w:color w:val="000000"/>
          <w:sz w:val="16"/>
        </w:rPr>
        <w:t>, IAB 2/10/10, effective 1/13/10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641—69.5</w:t>
      </w:r>
      <w:r>
        <w:rPr>
          <w:rFonts w:ascii="Times New Roman" w:hAnsi="Times New Roman"/>
          <w:b/>
          <w:i w:val="false"/>
          <w:color w:val="000000"/>
          <w:sz w:val="22"/>
        </w:rPr>
        <w:t xml:space="preserve">(135) </w:t>
      </w:r>
      <w:r>
        <w:rPr>
          <w:rFonts w:ascii="Times New Roman" w:hAnsi="Times New Roman"/>
          <w:b/>
          <w:i w:val="false"/>
          <w:color w:val="000000"/>
          <w:sz w:val="22"/>
        </w:rPr>
        <w:t xml:space="preserve">Emergency renovation, remodeling, or repainting in target housing. </w:t>
      </w:r>
      <w:r>
        <w:rPr>
          <w:rFonts w:ascii="Times New Roman" w:hAnsi="Times New Roman"/>
          <w:b w:val="false"/>
          <w:i w:val="false"/>
          <w:color w:val="000000"/>
          <w:sz w:val="22"/>
        </w:rPr>
        <w:t>A person who performs emergency renovation, remodeling, or repainting of target housing for compensation, except for minor repair and maintenance activities that disrupt less than 1.0 square feet of painted surface, must do the following as soon as reasonably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69.5(1)</w:t>
      </w:r>
      <w:r>
        <w:rPr>
          <w:rFonts w:ascii="Times New Roman" w:hAnsi="Times New Roman"/>
          <w:b w:val="false"/>
          <w:i w:val="false"/>
          <w:color w:val="000000"/>
          <w:sz w:val="22"/>
        </w:rPr>
        <w:t> </w:t>
      </w:r>
      <w:r>
        <w:rPr>
          <w:rFonts w:ascii="Times New Roman" w:hAnsi="Times New Roman"/>
          <w:b w:val="false"/>
          <w:i w:val="false"/>
          <w:color w:val="000000"/>
          <w:sz w:val="22"/>
        </w:rPr>
        <w:t>Provide the pamphlet, Lead Poisoning: How to Protect Iowa Families, or the federal pamphlet, Renovate Right, to the owner of the target housing where renovation, remodeling, or repainting is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69.5(2)</w:t>
      </w:r>
      <w:r>
        <w:rPr>
          <w:rFonts w:ascii="Times New Roman" w:hAnsi="Times New Roman"/>
          <w:b w:val="false"/>
          <w:i w:val="false"/>
          <w:color w:val="000000"/>
          <w:sz w:val="22"/>
        </w:rPr>
        <w:t> </w:t>
      </w:r>
      <w:r>
        <w:rPr>
          <w:rFonts w:ascii="Times New Roman" w:hAnsi="Times New Roman"/>
          <w:b w:val="false"/>
          <w:i w:val="false"/>
          <w:color w:val="000000"/>
          <w:sz w:val="22"/>
        </w:rPr>
        <w:t>Notify each owner and occupant of the target housing, in writing, of the remodeling, repainting, or renovation, and make the pamphlet, Lead Poisoning: How to Protect Iowa Families, or the federal pamphlet, Renovate Right, available upon request. At a minimum, this notification shall be accomplished by distributing written notice to each owner and occupant of the target housing. The notice shall describe: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general nature and location of the renovation, remodeling, or repainting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starting and ending dates of the renovation, remodeling, or repainting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how the owners and occupants can obtain the pamphlet, Lead Poisoning: How to Protect Iowa Families, or the federal pamphlet, Renovate Right, at no charge from the person conducting the renovation, remodeling, or repainting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69.5(3)</w:t>
      </w:r>
      <w:r>
        <w:rPr>
          <w:rFonts w:ascii="Times New Roman" w:hAnsi="Times New Roman"/>
          <w:b w:val="false"/>
          <w:i w:val="false"/>
          <w:color w:val="000000"/>
          <w:sz w:val="22"/>
        </w:rPr>
        <w:t> </w:t>
      </w:r>
      <w:r>
        <w:rPr>
          <w:rFonts w:ascii="Times New Roman" w:hAnsi="Times New Roman"/>
          <w:b w:val="false"/>
          <w:i w:val="false"/>
          <w:color w:val="000000"/>
          <w:sz w:val="22"/>
        </w:rPr>
        <w:t>These activities shall be conducted by the person performing the renovation, remodeling, or repainting, or by the owner on behalf of this person. The person planning to perform the renovation, remodeling, or repainting must prepare, sign, and date a statement describing the steps performed to notify all occupants of the intended renovation, remodeling, or repainting, and to provide the pamphlet, Lead Poisoning: How to Protect Iowa Families, or the federal pamphlet, Renovate Right, at no charge upon request. Regardless of who performs the notification activities required in this rule, the person conducting the renovation, remodeling, or repainting shall be responsible for ensuring compliance with this rule and shall be liable for any failures to comply with the notification requirements in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8501B</w:t>
      </w:r>
      <w:r>
        <w:rPr>
          <w:rFonts w:ascii="Times New Roman" w:hAnsi="Times New Roman"/>
          <w:b w:val="false"/>
          <w:i w:val="false"/>
          <w:color w:val="000000"/>
          <w:sz w:val="16"/>
        </w:rPr>
        <w:t>, IAB 2/10/10, effective 1/13/10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641—69.6</w:t>
      </w:r>
      <w:r>
        <w:rPr>
          <w:rFonts w:ascii="Times New Roman" w:hAnsi="Times New Roman"/>
          <w:b/>
          <w:i w:val="false"/>
          <w:color w:val="000000"/>
          <w:sz w:val="22"/>
        </w:rPr>
        <w:t xml:space="preserve">(135) </w:t>
      </w:r>
      <w:r>
        <w:rPr>
          <w:rFonts w:ascii="Times New Roman" w:hAnsi="Times New Roman"/>
          <w:b/>
          <w:i w:val="false"/>
          <w:color w:val="000000"/>
          <w:sz w:val="22"/>
        </w:rPr>
        <w:t xml:space="preserve">Certification of attempted delivery in target housing. </w:t>
      </w:r>
      <w:r>
        <w:rPr>
          <w:rFonts w:ascii="Times New Roman" w:hAnsi="Times New Roman"/>
          <w:b w:val="false"/>
          <w:i w:val="false"/>
          <w:color w:val="000000"/>
          <w:sz w:val="22"/>
        </w:rPr>
        <w:t xml:space="preserve">When an adult occupant is unavailable for signature or refuses to sign the acknowledgment of receipt of the pamphlet, the person conducting the renovation, remodeling, or repainting is permitted by subrule </w:t>
      </w:r>
      <w:hyperlink r:id="rId7">
        <w:r>
          <w:rPr>
            <w:rStyle w:val="Hyperlink"/>
            <w:rFonts w:ascii="Times New Roman" w:hAnsi="Times New Roman"/>
            <w:b w:val="false"/>
            <w:i w:val="false"/>
            <w:color w:val="000000"/>
            <w:sz w:val="22"/>
          </w:rPr>
          <w:t>69.3(2)</w:t>
        </w:r>
      </w:hyperlink>
      <w:r>
        <w:rPr>
          <w:rFonts w:ascii="Times New Roman" w:hAnsi="Times New Roman"/>
          <w:b w:val="false"/>
          <w:i w:val="false"/>
          <w:color w:val="000000"/>
          <w:sz w:val="22"/>
        </w:rPr>
        <w:t xml:space="preserve"> to certify delivery for each instance. The certification shall include the address of the unit undergoing renovation, remodeling, or repainting, the date and method of delivery of the pamphlet, name of the person delivering the pamphlet, reason for lack of acknowledgment (e.g., occupant refuses to sign, no adult occupant available), the signature of the person conducting the renovation, remodeling, or repainting, and the date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69.6(1)</w:t>
      </w:r>
      <w:r>
        <w:rPr>
          <w:rFonts w:ascii="Times New Roman" w:hAnsi="Times New Roman"/>
          <w:b w:val="false"/>
          <w:i w:val="false"/>
          <w:color w:val="000000"/>
          <w:sz w:val="22"/>
        </w:rPr>
        <w:t> </w:t>
      </w:r>
      <w:r>
        <w:rPr>
          <w:rFonts w:ascii="Times New Roman" w:hAnsi="Times New Roman"/>
          <w:b w:val="false"/>
          <w:i/>
          <w:color w:val="000000"/>
          <w:sz w:val="22"/>
        </w:rPr>
        <w:t xml:space="preserve">Unavailable for signature.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an adult occupant is unavailable for signature, the certification shall contain the following language:</w:t>
      </w:r>
    </w:p>
    <w:p>
      <w:pPr>
        <w:spacing w:before="0" w:after="0"/>
        <w:ind w:left="710"/>
        <w:jc w:val="both"/>
      </w:pPr>
      <w:r>
        <w:rPr>
          <w:rFonts w:ascii="Times New Roman" w:hAnsi="Times New Roman"/>
          <w:b w:val="false"/>
          <w:i w:val="false"/>
          <w:color w:val="000000"/>
          <w:sz w:val="22"/>
        </w:rPr>
        <w:t>I certify that I have made a good-faith effort to deliver the pamphlet, Lead Poisoning: How to Protect Iowa Families, or the federal pamphlet, Renovate Right, to the unit listed below at the dates and times indicated, and that an adult occupant was unavailable to sign the acknowledgment. I further certify that I have left a copy of the pamphlet at the unit with the occupant.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Below the statement, the certification shall require the printed name and signature of the person conducting the renovation, remodeling, or repainting, the address of the unit, the attempted delivery dates and times, and the date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69.6(2)</w:t>
      </w:r>
      <w:r>
        <w:rPr>
          <w:rFonts w:ascii="Times New Roman" w:hAnsi="Times New Roman"/>
          <w:b w:val="false"/>
          <w:i w:val="false"/>
          <w:color w:val="000000"/>
          <w:sz w:val="22"/>
        </w:rPr>
        <w:t> </w:t>
      </w:r>
      <w:r>
        <w:rPr>
          <w:rFonts w:ascii="Times New Roman" w:hAnsi="Times New Roman"/>
          <w:b w:val="false"/>
          <w:i/>
          <w:color w:val="000000"/>
          <w:sz w:val="22"/>
        </w:rPr>
        <w:t xml:space="preserve">Refused to sign.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occupant refuses to sign the acknowledgment, the certification shall contain the following language:</w:t>
      </w:r>
    </w:p>
    <w:p>
      <w:pPr>
        <w:spacing w:before="0" w:after="0"/>
        <w:ind w:left="710"/>
        <w:jc w:val="both"/>
      </w:pPr>
      <w:r>
        <w:rPr>
          <w:rFonts w:ascii="Times New Roman" w:hAnsi="Times New Roman"/>
          <w:b w:val="false"/>
          <w:i w:val="false"/>
          <w:color w:val="000000"/>
          <w:sz w:val="22"/>
        </w:rPr>
        <w:t>I certify that I have made a good-faith effort to deliver the pamphlet, Lead Poisoning: How to Protect Iowa Families, or the federal pamphlet, Renovate Right, to the unit listed below at the dates and times indicated, and that the occupant refused to sign the acknowledgment. I further certify that I have left a copy of the pamphlet at the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Below the statement, the certification shall require the printed name and signature of the person conducting the renovation, remodeling, or repainting, the address of the unit, the attempted delivery dates and times, the location where the pamphlet was left at the unit (e.g., taped to the door, slipped under the door), and the date of signature.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8501B</w:t>
      </w:r>
      <w:r>
        <w:rPr>
          <w:rFonts w:ascii="Times New Roman" w:hAnsi="Times New Roman"/>
          <w:b w:val="false"/>
          <w:i w:val="false"/>
          <w:color w:val="000000"/>
          <w:sz w:val="16"/>
        </w:rPr>
        <w:t>, IAB 2/10/10, effective 1/13/10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641—69.7</w:t>
      </w:r>
      <w:r>
        <w:rPr>
          <w:rFonts w:ascii="Times New Roman" w:hAnsi="Times New Roman"/>
          <w:b/>
          <w:i w:val="false"/>
          <w:color w:val="000000"/>
          <w:sz w:val="22"/>
        </w:rPr>
        <w:t xml:space="preserve">(135) </w:t>
      </w:r>
      <w:r>
        <w:rPr>
          <w:rFonts w:ascii="Times New Roman" w:hAnsi="Times New Roman"/>
          <w:b/>
          <w:i w:val="false"/>
          <w:color w:val="000000"/>
          <w:sz w:val="22"/>
        </w:rPr>
        <w:t xml:space="preserve">Notification required in child-occupied facilities. </w:t>
      </w:r>
      <w:r>
        <w:rPr>
          <w:rFonts w:ascii="Times New Roman" w:hAnsi="Times New Roman"/>
          <w:b w:val="false"/>
          <w:i w:val="false"/>
          <w:color w:val="000000"/>
          <w:sz w:val="22"/>
        </w:rPr>
        <w:t>A person who performs renovation, remodeling, or repainting of child-occupied facilities for compensation, except for emergency renovation, remodeling, or repainting of child-occupied facilities, and except for minor repair and maintenance activities that disrupt less than 1.0 square feet of painted surface, must do the following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69.7(1)</w:t>
      </w:r>
      <w:r>
        <w:rPr>
          <w:rFonts w:ascii="Times New Roman" w:hAnsi="Times New Roman"/>
          <w:b w:val="false"/>
          <w:i w:val="false"/>
          <w:color w:val="000000"/>
          <w:sz w:val="22"/>
        </w:rPr>
        <w:t> </w:t>
      </w:r>
      <w:r>
        <w:rPr>
          <w:rFonts w:ascii="Times New Roman" w:hAnsi="Times New Roman"/>
          <w:b w:val="false"/>
          <w:i w:val="false"/>
          <w:color w:val="000000"/>
          <w:sz w:val="22"/>
        </w:rPr>
        <w:t>Provide the pamphlet, Lead Poisoning: How to Protect Iowa Families, or the federal pamphlet, Renovate Right, to the owner of the building where renovation, remodeling, or repainting will be performed. The pamphlet shall be provided no more than 60 days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69.7(2)</w:t>
      </w:r>
      <w:r>
        <w:rPr>
          <w:rFonts w:ascii="Times New Roman" w:hAnsi="Times New Roman"/>
          <w:b w:val="false"/>
          <w:i w:val="false"/>
          <w:color w:val="000000"/>
          <w:sz w:val="22"/>
        </w:rPr>
        <w:t> </w:t>
      </w:r>
      <w:r>
        <w:rPr>
          <w:rFonts w:ascii="Times New Roman" w:hAnsi="Times New Roman"/>
          <w:b w:val="false"/>
          <w:i w:val="false"/>
          <w:color w:val="000000"/>
          <w:sz w:val="22"/>
        </w:rPr>
        <w:t>Obtain a signed, dated acknowledgment from the owner of the building where renovation, remodeling, or repainting will be performed affirming that the owner has received the pamphlet prior to the start of renovation, remodeling, or repainting and is aware of the potential health hazards from remodeling, renovating, or repainting buildings containing lead-based paint. The acknowledgment shall be obtained no more than 60 days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acknowledgment shall include the owner’s name and the address of the child-occupied facility undergoing renovation, remodeling, or repainting.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acknowledgment shall include the following language:</w:t>
      </w:r>
    </w:p>
    <w:p>
      <w:pPr>
        <w:spacing w:before="0" w:after="0"/>
        <w:ind w:left="710"/>
        <w:jc w:val="both"/>
      </w:pPr>
      <w:r>
        <w:rPr>
          <w:rFonts w:ascii="Times New Roman" w:hAnsi="Times New Roman"/>
          <w:b w:val="false"/>
          <w:i w:val="false"/>
          <w:color w:val="000000"/>
          <w:sz w:val="22"/>
        </w:rPr>
        <w:t>I have received the pamphlet entitled Lead Poisoning: How to Protect Iowa Families or the federal pamphlet, Renovate Right, prior to the start of renovation, remodeling, or repainting and am aware of the potential health risk associated with remodeling, renovating, or repainting buildings containing lead-based paint or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Below the statement, the acknowledgment shall require the signature of the owner along with the date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signature cannot be obtained from the owner, the person must certify in writing that the pamphlet has been delivered to the building and that a written acknowledgment could not be obtained from an owner. Such certification must include the address of the building to be remodeled, renovated, or repainted, the date and method of delivery of the pamphlet, the name of the person delivering the pamphlet, the reason for lack of acknowledgment (e.g., owner refuses to sign, owner not available), the signature of the person conducting the renovation, remodeling, or repainting, and the date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type shall be clear and legible.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acknowledgment may be included as a separate sheet or as a part of any written contract or service agreement. The acknowledgment must be completed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parties use a written contract or agreement which is written in a language other than English, the acknowledgment text shall be written in the same language as the text of the contract or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69.7(3)</w:t>
      </w:r>
      <w:r>
        <w:rPr>
          <w:rFonts w:ascii="Times New Roman" w:hAnsi="Times New Roman"/>
          <w:b w:val="false"/>
          <w:i w:val="false"/>
          <w:color w:val="000000"/>
          <w:sz w:val="22"/>
        </w:rPr>
        <w:t> </w:t>
      </w:r>
      <w:r>
        <w:rPr>
          <w:rFonts w:ascii="Times New Roman" w:hAnsi="Times New Roman"/>
          <w:b w:val="false"/>
          <w:i w:val="false"/>
          <w:color w:val="000000"/>
          <w:sz w:val="22"/>
        </w:rPr>
        <w:t>In lieu of delivering the pamphlet and written acknowledgment, the person conducting the renovation, remodeling, or repainting may obtain a certificate of mailing the pamphlet and written acknowledgment to the owner at least 7 days prior to beginning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69.7(4)</w:t>
      </w:r>
      <w:r>
        <w:rPr>
          <w:rFonts w:ascii="Times New Roman" w:hAnsi="Times New Roman"/>
          <w:b w:val="false"/>
          <w:i w:val="false"/>
          <w:color w:val="000000"/>
          <w:sz w:val="22"/>
        </w:rPr>
        <w:t> </w:t>
      </w:r>
      <w:r>
        <w:rPr>
          <w:rFonts w:ascii="Times New Roman" w:hAnsi="Times New Roman"/>
          <w:b w:val="false"/>
          <w:i w:val="false"/>
          <w:color w:val="000000"/>
          <w:sz w:val="22"/>
        </w:rPr>
        <w:t>If the general nature, location, and expected starting and ending dates of the planned renovation, remodeling, or repainting change after the initial notification has been conducted, the person conducting the renovation, remodeling, or repainting shall provide further notification to the owners providing revised information on the ongoing or planned activities. This subsequent notification must be provided before the person conducting the renovation, remodeling, or repainting initiates work beyond that which was described in the original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69.7(5)</w:t>
      </w:r>
      <w:r>
        <w:rPr>
          <w:rFonts w:ascii="Times New Roman" w:hAnsi="Times New Roman"/>
          <w:b w:val="false"/>
          <w:i w:val="false"/>
          <w:color w:val="000000"/>
          <w:sz w:val="22"/>
        </w:rPr>
        <w:t> </w:t>
      </w:r>
      <w:r>
        <w:rPr>
          <w:rFonts w:ascii="Times New Roman" w:hAnsi="Times New Roman"/>
          <w:b w:val="false"/>
          <w:i w:val="false"/>
          <w:color w:val="000000"/>
          <w:sz w:val="22"/>
        </w:rPr>
        <w:t>If the operator of the child-occupied facility is not the owner of the building, provide the pamphlet, Lead Poisoning: How to Protect Iowa Families, or the federal pamphlet, Renovate Right, to the operator of the child-occupied facility where renovation, remodeling, or repainting will be performed. The pamphlet shall be provided no more than 60 days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69.7(6)</w:t>
      </w:r>
      <w:r>
        <w:rPr>
          <w:rFonts w:ascii="Times New Roman" w:hAnsi="Times New Roman"/>
          <w:b w:val="false"/>
          <w:i w:val="false"/>
          <w:color w:val="000000"/>
          <w:sz w:val="22"/>
        </w:rPr>
        <w:t> </w:t>
      </w:r>
      <w:r>
        <w:rPr>
          <w:rFonts w:ascii="Times New Roman" w:hAnsi="Times New Roman"/>
          <w:b w:val="false"/>
          <w:i w:val="false"/>
          <w:color w:val="000000"/>
          <w:sz w:val="22"/>
        </w:rPr>
        <w:t>If the operator of the child-occupied facility is not the owner of the building, obtain a signed, dated acknowledgment from the operator of the child-occupied facility where renovation, remodeling, or repainting will be performed affirming that the operator has received the pamphlet prior to the start of renovation, remodeling, or repainting and is aware of the potential health hazards from remodeling, renovating, or repainting buildings containing lead-based paint. The acknowledgment shall be obtained no more than 60 days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acknowledgment shall include the name of the operator of the child-occupied facility and the address of the child-occupied facility undergoing renovation, remodeling, or repainting.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acknowledgment shall include the following language:</w:t>
      </w:r>
    </w:p>
    <w:p>
      <w:pPr>
        <w:spacing w:before="0" w:after="0"/>
        <w:ind w:left="710"/>
        <w:jc w:val="both"/>
      </w:pPr>
      <w:r>
        <w:rPr>
          <w:rFonts w:ascii="Times New Roman" w:hAnsi="Times New Roman"/>
          <w:b w:val="false"/>
          <w:i w:val="false"/>
          <w:color w:val="000000"/>
          <w:sz w:val="22"/>
        </w:rPr>
        <w:t>I have received the pamphlet entitled Lead Poisoning: How to Protect Iowa Families or the federal pamphlet, Renovate Right, prior to the start of renovation, remodeling, or repainting and am aware of the potential health risk associated with remodeling, renovating, or repainting buildings containing lead-based paint or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Below the statement, the acknowledgment shall require the signature of the operator of the child-occupied facility along with the date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signature cannot be obtained from the operator of the child-occupied facility, the person must certify in writing that the pamphlet has been delivered to the building and that a written acknowledgment could not be obtained from the operator of the child-occupied facility. Such certification must include the address of the building to be remodeled, renovated, or repainted, the date and method of delivery of the pamphlet, the name of the person delivering the pamphlet, the reason for lack of acknowledgment (e.g., operator of the child-occupied facility refuses to sign, operator of the child-occupied facility not available), the signature of the person conducting the renovation, remodeling, or repainting, and the date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type shall be clear and legible.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acknowledgment may be included as a separate sheet or as a part of any written contract or service agreement. The acknowledgment must be completed prior to commencing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parties use a written contract or agreement which is written in a language other than English, the acknowledgment text shall be written in the same language as the text of the contract or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69.7(7)</w:t>
      </w:r>
      <w:r>
        <w:rPr>
          <w:rFonts w:ascii="Times New Roman" w:hAnsi="Times New Roman"/>
          <w:b w:val="false"/>
          <w:i w:val="false"/>
          <w:color w:val="000000"/>
          <w:sz w:val="22"/>
        </w:rPr>
        <w:t> </w:t>
      </w:r>
      <w:r>
        <w:rPr>
          <w:rFonts w:ascii="Times New Roman" w:hAnsi="Times New Roman"/>
          <w:b w:val="false"/>
          <w:i w:val="false"/>
          <w:color w:val="000000"/>
          <w:sz w:val="22"/>
        </w:rPr>
        <w:t>In lieu of delivering the pamphlet and written acknowledgment, the person conducting the renovation, remodeling, or repainting may obtain a certificate of mailing the pamphlet and written acknowledgment to the operator of the child-occupied facility at least 7 days prior to beginning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69.7(8)</w:t>
      </w:r>
      <w:r>
        <w:rPr>
          <w:rFonts w:ascii="Times New Roman" w:hAnsi="Times New Roman"/>
          <w:b w:val="false"/>
          <w:i w:val="false"/>
          <w:color w:val="000000"/>
          <w:sz w:val="22"/>
        </w:rPr>
        <w:t> </w:t>
      </w:r>
      <w:r>
        <w:rPr>
          <w:rFonts w:ascii="Times New Roman" w:hAnsi="Times New Roman"/>
          <w:b w:val="false"/>
          <w:i w:val="false"/>
          <w:color w:val="000000"/>
          <w:sz w:val="22"/>
        </w:rPr>
        <w:t>If the general nature, location, and expected starting and ending dates of the planned renovation, remodeling, or repainting change after the initial notification has been conducted, the person conducting the renovation, remodeling, or repainting shall provide further notification to the operator of the child-occupied facility providing revised information on the ongoing or planned activities. This subsequent notification must be provided before the person conducting the renovation, remodeling, or repainting initiates work beyond that which was described in the original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69.7(9)</w:t>
      </w:r>
      <w:r>
        <w:rPr>
          <w:rFonts w:ascii="Times New Roman" w:hAnsi="Times New Roman"/>
          <w:b w:val="false"/>
          <w:i w:val="false"/>
          <w:color w:val="000000"/>
          <w:sz w:val="22"/>
        </w:rPr>
        <w:t> </w:t>
      </w:r>
      <w:r>
        <w:rPr>
          <w:rFonts w:ascii="Times New Roman" w:hAnsi="Times New Roman"/>
          <w:b w:val="false"/>
          <w:i w:val="false"/>
          <w:color w:val="000000"/>
          <w:sz w:val="22"/>
        </w:rPr>
        <w:t>Provide the pamphlet, Lead Poisoning: How to Protect Iowa Families, or the federal pamphlet, Renovate Right, and information regarding the general nature and locations of the renovation, remodeling, or repainting and the anticipated completion date to the parents and guardians of children using the child-occupied facility where renovation, remodeling, or repainting will be performed. The pamphlet and information shall be provided no more than 60 days prior to commencing the work. The person conducting the renovation, remodeling, or repainting shall provide this information using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Mail or hand-deliver the pamphlet and information to each parent or guardian of each child using the child-occupied facility (the pamphlet and information may not be sent home with the child);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While the renovation, remodeling, or repainting is ongoing, post informational signs describing the general nature and locations of the renovation, remodeling, or repainting and the anticipated completion date. These signs must be posted in areas where they can be seen by the parents of the children frequenting the child-occupied facility. The signs must be accompanied by a posted copy of the pamphlet or information on how interested parents or guardians can review a copy of the pamphlet or obtain a copy from the person conducting the renovation, remodeling, or repainting at no cost to the parents or guardians.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69.7(10)</w:t>
      </w:r>
      <w:r>
        <w:rPr>
          <w:rFonts w:ascii="Times New Roman" w:hAnsi="Times New Roman"/>
          <w:b w:val="false"/>
          <w:i w:val="false"/>
          <w:color w:val="000000"/>
          <w:sz w:val="22"/>
        </w:rPr>
        <w:t> </w:t>
      </w:r>
      <w:r>
        <w:rPr>
          <w:rFonts w:ascii="Times New Roman" w:hAnsi="Times New Roman"/>
          <w:b w:val="false"/>
          <w:i w:val="false"/>
          <w:color w:val="000000"/>
          <w:sz w:val="22"/>
        </w:rPr>
        <w:t>The activities in subrule 69.7(9) shall be conducted by the person planning to perform the renovation, remodeling, or repainting or by the owner or operator of the child-occupied facility on behalf of this person. Regardless of who performs the notification activities required in subrule 69.7(9), the person conducting the renovation, remodeling, or repainting shall be responsible for ensuring compliance with this rule and shall be liable for any failures to comply with the notification requirements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69.7(11)</w:t>
      </w:r>
      <w:r>
        <w:rPr>
          <w:rFonts w:ascii="Times New Roman" w:hAnsi="Times New Roman"/>
          <w:b w:val="false"/>
          <w:i w:val="false"/>
          <w:color w:val="000000"/>
          <w:sz w:val="22"/>
        </w:rPr>
        <w:t> </w:t>
      </w:r>
      <w:r>
        <w:rPr>
          <w:rFonts w:ascii="Times New Roman" w:hAnsi="Times New Roman"/>
          <w:b w:val="false"/>
          <w:i w:val="false"/>
          <w:color w:val="000000"/>
          <w:sz w:val="22"/>
        </w:rPr>
        <w:t>The person conducting the renovation, remodeling, or repainting shall prepare, sign, and date a statement describing the steps performed to notify all parents and guardians of the intended renovation, remodeling, or repainting and to provide the pamphlet to them.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69.7(12)</w:t>
      </w:r>
      <w:r>
        <w:rPr>
          <w:rFonts w:ascii="Times New Roman" w:hAnsi="Times New Roman"/>
          <w:b w:val="false"/>
          <w:i w:val="false"/>
          <w:color w:val="000000"/>
          <w:sz w:val="22"/>
        </w:rPr>
        <w:t> </w:t>
      </w:r>
      <w:r>
        <w:rPr>
          <w:rFonts w:ascii="Times New Roman" w:hAnsi="Times New Roman"/>
          <w:b w:val="false"/>
          <w:i w:val="false"/>
          <w:color w:val="000000"/>
          <w:sz w:val="22"/>
        </w:rPr>
        <w:t>If the general nature, location, and expected starting and ending dates of the planned renovation, remodeling, or repainting change after the initial notification has been conducted, the person conducting the renovation, remodeling, or repainting shall provide revised information on the ongoing or planned activities to the parents and guardians of children frequenting the child-occupied facility providing revised information on the ongoing or planned activities. This subsequent notification must be provided before the person conducting the renovation, remodeling, or repainting initiates work beyond that which was described in the original notice.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8501B</w:t>
      </w:r>
      <w:r>
        <w:rPr>
          <w:rFonts w:ascii="Times New Roman" w:hAnsi="Times New Roman"/>
          <w:b w:val="false"/>
          <w:i w:val="false"/>
          <w:color w:val="000000"/>
          <w:sz w:val="16"/>
        </w:rPr>
        <w:t>, IAB 2/10/10, effective 1/13/10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641—69.8</w:t>
      </w:r>
      <w:r>
        <w:rPr>
          <w:rFonts w:ascii="Times New Roman" w:hAnsi="Times New Roman"/>
          <w:b/>
          <w:i w:val="false"/>
          <w:color w:val="000000"/>
          <w:sz w:val="22"/>
        </w:rPr>
        <w:t xml:space="preserve">(135) </w:t>
      </w:r>
      <w:r>
        <w:rPr>
          <w:rFonts w:ascii="Times New Roman" w:hAnsi="Times New Roman"/>
          <w:b/>
          <w:i w:val="false"/>
          <w:color w:val="000000"/>
          <w:sz w:val="22"/>
        </w:rPr>
        <w:t xml:space="preserve">Emergency renovation, remodeling, or repainting in child-occupied facilities. </w:t>
      </w:r>
      <w:r>
        <w:rPr>
          <w:rFonts w:ascii="Times New Roman" w:hAnsi="Times New Roman"/>
          <w:b w:val="false"/>
          <w:i w:val="false"/>
          <w:color w:val="000000"/>
          <w:sz w:val="22"/>
        </w:rPr>
        <w:t>A person who performs emergency renovation, remodeling, or repainting of child-occupied facilities for compensation, except for minor repair and maintenance activities that disrupt less than 1.0 square feet of painted surface, must do the following as soon as reasonably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69.8(1)</w:t>
      </w:r>
      <w:r>
        <w:rPr>
          <w:rFonts w:ascii="Times New Roman" w:hAnsi="Times New Roman"/>
          <w:b w:val="false"/>
          <w:i w:val="false"/>
          <w:color w:val="000000"/>
          <w:sz w:val="22"/>
        </w:rPr>
        <w:t> </w:t>
      </w:r>
      <w:r>
        <w:rPr>
          <w:rFonts w:ascii="Times New Roman" w:hAnsi="Times New Roman"/>
          <w:b w:val="false"/>
          <w:i w:val="false"/>
          <w:color w:val="000000"/>
          <w:sz w:val="22"/>
        </w:rPr>
        <w:t>Provide the pamphlet, Lead Poisoning: How to Protect Iowa Families, or the federal pamphlet, Renovate Right, to the owner of the building where renovation, remodeling, or repainting is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69.8(2)</w:t>
      </w:r>
      <w:r>
        <w:rPr>
          <w:rFonts w:ascii="Times New Roman" w:hAnsi="Times New Roman"/>
          <w:b w:val="false"/>
          <w:i w:val="false"/>
          <w:color w:val="000000"/>
          <w:sz w:val="22"/>
        </w:rPr>
        <w:t> </w:t>
      </w:r>
      <w:r>
        <w:rPr>
          <w:rFonts w:ascii="Times New Roman" w:hAnsi="Times New Roman"/>
          <w:b w:val="false"/>
          <w:i w:val="false"/>
          <w:color w:val="000000"/>
          <w:sz w:val="22"/>
        </w:rPr>
        <w:t>Notify each owner and, if different, the operator of the child-occupied facility, in writing, of the remodeling, repainting, or renovation, and make the pamphlet, Lead Poisoning: How to Protect Iowa Families, or the federal pamphlet, Renovate Right, available upon request. At a minimum, this notification shall be accomplished by distributing written notice to each owner and, if different, operator of the child-occupied facility. The notice shall describe: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general nature and location of the renovation, remodeling, or repainting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starting and ending dates of the renovation, remodeling, or repainting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how each owner and, if different, the operator of the child-occupied facility can obtain the pamphlet, Lead Poisoning: How to Protect Iowa Families, or the federal pamphlet, Renovate Right, at no charge from the person conducting the renovation, remodeling, or repainting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69.8(3)</w:t>
      </w:r>
      <w:r>
        <w:rPr>
          <w:rFonts w:ascii="Times New Roman" w:hAnsi="Times New Roman"/>
          <w:b w:val="false"/>
          <w:i w:val="false"/>
          <w:color w:val="000000"/>
          <w:sz w:val="22"/>
        </w:rPr>
        <w:t> </w:t>
      </w:r>
      <w:r>
        <w:rPr>
          <w:rFonts w:ascii="Times New Roman" w:hAnsi="Times New Roman"/>
          <w:b w:val="false"/>
          <w:i w:val="false"/>
          <w:color w:val="000000"/>
          <w:sz w:val="22"/>
        </w:rPr>
        <w:t>Provide the pamphlet, Lead Poisoning: How to Protect Iowa Families, or the federal pamphlet, Renovate Right, and information regarding the general nature and locations of the renovation, remodeling, or repainting and the anticipated completion date to the parents and guardians of children using the child-occupied facility where renovation, remodeling, or repainting will be performed. The person conducting the renovation, remodeling, or repainting shall provide this information using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Mail or hand-deliver the pamphlet and information to each parent or guardian of each child using the child-occupied facility (the pamphlet and information may not be sent home with the child);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While the renovation, remodeling, or repainting is ongoing, post informational signs describing the general nature and locations of the renovation, remodeling, or repainting and the anticipated completion date. These signs must be posted in areas where they can be seen by the parents or guardians of the children frequenting the child-occupied facility. The signs must be accompanied by a posted copy of the pamphlet or information on how interested parents or guardians can review a copy of the pamphlet or obtain a copy from the person conducting the renovation, remodeling, or repainting at no cost to the parents or guardians.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69.8(4)</w:t>
      </w:r>
      <w:r>
        <w:rPr>
          <w:rFonts w:ascii="Times New Roman" w:hAnsi="Times New Roman"/>
          <w:b w:val="false"/>
          <w:i w:val="false"/>
          <w:color w:val="000000"/>
          <w:sz w:val="22"/>
        </w:rPr>
        <w:t> </w:t>
      </w:r>
      <w:r>
        <w:rPr>
          <w:rFonts w:ascii="Times New Roman" w:hAnsi="Times New Roman"/>
          <w:b w:val="false"/>
          <w:i w:val="false"/>
          <w:color w:val="000000"/>
          <w:sz w:val="22"/>
        </w:rPr>
        <w:t>The activities in subrule 69.8(3) shall be conducted by the person planning to perform the renovation, remodeling, or repainting or by the owner or operator of the child-occupied facility on behalf of this person. Regardless of who performs the notification activities required in subrule 69.8(3), the person conducting the renovation, remodeling, or repainting shall be responsible for ensuring compliance with this rule and shall be liable for any failures to comply with the notification requirements in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8501B</w:t>
      </w:r>
      <w:r>
        <w:rPr>
          <w:rFonts w:ascii="Times New Roman" w:hAnsi="Times New Roman"/>
          <w:b w:val="false"/>
          <w:i w:val="false"/>
          <w:color w:val="000000"/>
          <w:sz w:val="16"/>
        </w:rPr>
        <w:t>, IAB 2/10/10, effective 1/13/10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641—69.9</w:t>
      </w:r>
      <w:r>
        <w:rPr>
          <w:rFonts w:ascii="Times New Roman" w:hAnsi="Times New Roman"/>
          <w:b/>
          <w:i w:val="false"/>
          <w:color w:val="000000"/>
          <w:sz w:val="22"/>
        </w:rPr>
        <w:t xml:space="preserve">(135) </w:t>
      </w:r>
      <w:r>
        <w:rPr>
          <w:rFonts w:ascii="Times New Roman" w:hAnsi="Times New Roman"/>
          <w:b/>
          <w:i w:val="false"/>
          <w:color w:val="000000"/>
          <w:sz w:val="22"/>
        </w:rPr>
        <w:t xml:space="preserve">Certification of attempted delivery for child-occupied facilities. </w:t>
      </w:r>
      <w:r>
        <w:rPr>
          <w:rFonts w:ascii="Times New Roman" w:hAnsi="Times New Roman"/>
          <w:b w:val="false"/>
          <w:i w:val="false"/>
          <w:color w:val="000000"/>
          <w:sz w:val="22"/>
        </w:rPr>
        <w:t>When the owner and, if different, operator of a child-occupied facility are unavailable for signature or refuse to sign the acknowledgment of receipt of the pamphlet, the person conducting the renovation, remodeling, or repainting is permitted by subrule 69.3(2) to certify delivery for each instance. The certification shall include the address of the child-occupied facility undergoing renovation, remodeling, or repainting, the date and method of delivery of the pamphlet, name of the person delivering the pamphlet, reason for lack of acknowledgment (e.g., owner and, if different, operator refuse to sign), the signature of the individual conducting the renovation, remodeling, or repainting, and the date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69.9(1)</w:t>
      </w:r>
      <w:r>
        <w:rPr>
          <w:rFonts w:ascii="Times New Roman" w:hAnsi="Times New Roman"/>
          <w:b w:val="false"/>
          <w:i w:val="false"/>
          <w:color w:val="000000"/>
          <w:sz w:val="22"/>
        </w:rPr>
        <w:t> </w:t>
      </w:r>
      <w:r>
        <w:rPr>
          <w:rFonts w:ascii="Times New Roman" w:hAnsi="Times New Roman"/>
          <w:b w:val="false"/>
          <w:i/>
          <w:color w:val="000000"/>
          <w:sz w:val="22"/>
        </w:rPr>
        <w:t xml:space="preserve">Unavailable for signature.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owner and, if different, operator of the child-occupied facility are unavailable for signature, the certification shall contain the following language:</w:t>
      </w:r>
    </w:p>
    <w:p>
      <w:pPr>
        <w:spacing w:before="0" w:after="0"/>
        <w:ind w:left="710"/>
        <w:jc w:val="both"/>
      </w:pPr>
      <w:r>
        <w:rPr>
          <w:rFonts w:ascii="Times New Roman" w:hAnsi="Times New Roman"/>
          <w:b w:val="false"/>
          <w:i w:val="false"/>
          <w:color w:val="000000"/>
          <w:sz w:val="22"/>
        </w:rPr>
        <w:t>I certify that I have made a good-faith effort to deliver the pamphlet, Lead Poisoning: How to Protect Iowa Families, or the federal pamphlet, Renovate Right, to the child-occupied facility listed below at the dates and times indicated, and that the owner and, if different, operator of the child-occupied facility were unavailable to sign the acknowledgment. I further certify that I have left a copy of the pamphlet at the child-occupied facility with the owner and, if different,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Below the statement, the certification shall require the printed name and signature of the person conducting the renovation, remodeling, or repainting, the address of the child-occupied facility, the attempted delivery dates and times, and the date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69.9(2)</w:t>
      </w:r>
      <w:r>
        <w:rPr>
          <w:rFonts w:ascii="Times New Roman" w:hAnsi="Times New Roman"/>
          <w:b w:val="false"/>
          <w:i w:val="false"/>
          <w:color w:val="000000"/>
          <w:sz w:val="22"/>
        </w:rPr>
        <w:t> </w:t>
      </w:r>
      <w:r>
        <w:rPr>
          <w:rFonts w:ascii="Times New Roman" w:hAnsi="Times New Roman"/>
          <w:b w:val="false"/>
          <w:i/>
          <w:color w:val="000000"/>
          <w:sz w:val="22"/>
        </w:rPr>
        <w:t xml:space="preserve">Refused to sign.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owner and, if different, operator refuse to sign the acknowledgment, the certification shall contain the following language:</w:t>
      </w:r>
    </w:p>
    <w:p>
      <w:pPr>
        <w:spacing w:before="0" w:after="0"/>
        <w:ind w:left="710"/>
        <w:jc w:val="both"/>
      </w:pPr>
      <w:r>
        <w:rPr>
          <w:rFonts w:ascii="Times New Roman" w:hAnsi="Times New Roman"/>
          <w:b w:val="false"/>
          <w:i w:val="false"/>
          <w:color w:val="000000"/>
          <w:sz w:val="22"/>
        </w:rPr>
        <w:t>I certify that I have made a good-faith effort to deliver the pamphlet, Lead Poisoning: How to Protect Iowa Families, or the federal pamphlet, Renovate Right, to the child-occupied facility listed below at the dates and times indicated, and that the owner and, if different, operator refused to sign the acknowledgment. I further certify that I have left a copy of the pamphlet at the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Below the statement, the certification shall require the printed name and signature of the person conducting the renovation, remodeling, or repainting, the address of the child-occupied facility, the attempted delivery dates and times, the location where the pamphlet was left at the child-occupied facility (e.g., taped to the door, slipped under the door), and the date of signature.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8501B</w:t>
      </w:r>
      <w:r>
        <w:rPr>
          <w:rFonts w:ascii="Times New Roman" w:hAnsi="Times New Roman"/>
          <w:b w:val="false"/>
          <w:i w:val="false"/>
          <w:color w:val="000000"/>
          <w:sz w:val="16"/>
        </w:rPr>
        <w:t>, IAB 2/10/10, effective 1/13/10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641—69.10</w:t>
      </w:r>
      <w:r>
        <w:rPr>
          <w:rFonts w:ascii="Times New Roman" w:hAnsi="Times New Roman"/>
          <w:b/>
          <w:i w:val="false"/>
          <w:color w:val="000000"/>
          <w:sz w:val="22"/>
        </w:rPr>
        <w:t xml:space="preserve">(135) </w:t>
      </w:r>
      <w:r>
        <w:rPr>
          <w:rFonts w:ascii="Times New Roman" w:hAnsi="Times New Roman"/>
          <w:b/>
          <w:i w:val="false"/>
          <w:color w:val="000000"/>
          <w:sz w:val="22"/>
        </w:rPr>
        <w:t xml:space="preserve">Subcontracts. </w:t>
      </w:r>
      <w:r>
        <w:rPr>
          <w:rFonts w:ascii="Times New Roman" w:hAnsi="Times New Roman"/>
          <w:b w:val="false"/>
          <w:i w:val="false"/>
          <w:color w:val="000000"/>
          <w:sz w:val="22"/>
        </w:rPr>
        <w:t xml:space="preserve">In cases where renovation, remodeling, or repainting activities involve subcontracts, it is the responsibility of the person receiving the compensation from the property owner, or other party on behalf of the property owner, to provide the notification(s) described in </w:t>
      </w:r>
      <w:hyperlink r:id="rId8">
        <w:r>
          <w:rPr>
            <w:rStyle w:val="Hyperlink"/>
            <w:rFonts w:ascii="Times New Roman" w:hAnsi="Times New Roman"/>
            <w:b w:val="false"/>
            <w:i w:val="false"/>
            <w:color w:val="000000"/>
            <w:sz w:val="22"/>
          </w:rPr>
          <w:t>641—69.3(135)</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641—69.4(135)</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641—69.5(135)</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641—69.6(135)</w:t>
        </w:r>
      </w:hyperlink>
      <w:r>
        <w:rPr>
          <w:rFonts w:ascii="Times New Roman" w:hAnsi="Times New Roman"/>
          <w:b w:val="false"/>
          <w:i w:val="false"/>
          <w:color w:val="000000"/>
          <w:sz w:val="22"/>
        </w:rPr>
        <w:t xml:space="preserve"> of this chapter.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8501B</w:t>
      </w:r>
      <w:r>
        <w:rPr>
          <w:rFonts w:ascii="Times New Roman" w:hAnsi="Times New Roman"/>
          <w:b w:val="false"/>
          <w:i w:val="false"/>
          <w:color w:val="000000"/>
          <w:sz w:val="16"/>
        </w:rPr>
        <w:t>, IAB 2/10/10, effective 1/13/10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641—69.11</w:t>
      </w:r>
      <w:r>
        <w:rPr>
          <w:rFonts w:ascii="Times New Roman" w:hAnsi="Times New Roman"/>
          <w:b/>
          <w:i w:val="false"/>
          <w:color w:val="000000"/>
          <w:sz w:val="22"/>
        </w:rPr>
        <w:t xml:space="preserve">(135) </w:t>
      </w:r>
      <w:r>
        <w:rPr>
          <w:rFonts w:ascii="Times New Roman" w:hAnsi="Times New Roman"/>
          <w:b/>
          <w:i w:val="false"/>
          <w:color w:val="000000"/>
          <w:sz w:val="22"/>
        </w:rPr>
        <w:t xml:space="preserve">Exemption. </w:t>
      </w:r>
      <w:r>
        <w:rPr>
          <w:rFonts w:ascii="Times New Roman" w:hAnsi="Times New Roman"/>
          <w:b w:val="false"/>
          <w:i w:val="false"/>
          <w:color w:val="000000"/>
          <w:sz w:val="22"/>
        </w:rPr>
        <w:t xml:space="preserve">Renovation, remodeling, or repainting in target housing or a child-occupied facility in which a lead inspector/risk assessor or elevated blood lead (EBL) inspector/risk assessor certified pursuant to </w:t>
      </w:r>
      <w:hyperlink r:id="rId12">
        <w:r>
          <w:rPr>
            <w:rStyle w:val="Hyperlink"/>
            <w:rFonts w:ascii="Times New Roman" w:hAnsi="Times New Roman"/>
            <w:b w:val="false"/>
            <w:i w:val="false"/>
            <w:color w:val="000000"/>
            <w:sz w:val="22"/>
          </w:rPr>
          <w:t>641—Chapter 70</w:t>
        </w:r>
      </w:hyperlink>
      <w:r>
        <w:rPr>
          <w:rFonts w:ascii="Times New Roman" w:hAnsi="Times New Roman"/>
          <w:b w:val="false"/>
          <w:i w:val="false"/>
          <w:color w:val="000000"/>
          <w:sz w:val="22"/>
        </w:rPr>
        <w:t xml:space="preserve"> has made a written determination that the components affected by the renovation are free of lead-based paint and where the person conducting the renovation, remodeling, or repainting has obtained a copy of the written determination is exempt from the provisions of </w:t>
      </w:r>
      <w:hyperlink r:id="rId13">
        <w:r>
          <w:rPr>
            <w:rStyle w:val="Hyperlink"/>
            <w:rFonts w:ascii="Times New Roman" w:hAnsi="Times New Roman"/>
            <w:b w:val="false"/>
            <w:i w:val="false"/>
            <w:color w:val="000000"/>
            <w:sz w:val="22"/>
          </w:rPr>
          <w:t>641—Chapter 69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8501B</w:t>
      </w:r>
      <w:r>
        <w:rPr>
          <w:rFonts w:ascii="Times New Roman" w:hAnsi="Times New Roman"/>
          <w:b w:val="false"/>
          <w:i w:val="false"/>
          <w:color w:val="000000"/>
          <w:sz w:val="16"/>
        </w:rPr>
        <w:t>, IAB 2/10/10, effective 1/13/10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641—69.12</w:t>
      </w:r>
      <w:r>
        <w:rPr>
          <w:rFonts w:ascii="Times New Roman" w:hAnsi="Times New Roman"/>
          <w:b/>
          <w:i w:val="false"/>
          <w:color w:val="000000"/>
          <w:sz w:val="22"/>
        </w:rPr>
        <w:t xml:space="preserve">(135) </w:t>
      </w:r>
      <w:r>
        <w:rPr>
          <w:rFonts w:ascii="Times New Roman" w:hAnsi="Times New Roman"/>
          <w:b/>
          <w:i w:val="false"/>
          <w:color w:val="000000"/>
          <w:sz w:val="22"/>
        </w:rPr>
        <w:t xml:space="preserve">Record-keeping requirements. </w:t>
      </w:r>
      <w:r>
        <w:rPr>
          <w:rFonts w:ascii="Times New Roman" w:hAnsi="Times New Roman"/>
          <w:b w:val="false"/>
          <w:i w:val="false"/>
          <w:color w:val="000000"/>
          <w:sz w:val="22"/>
        </w:rPr>
        <w:t>A person who conducts renovation, remodeling, or repainting for compensation in target housing or a child-occupied facility shall retain all records necessary to demonstrate compliance with this chapter for a minimum of three years following completion of the renovation, remodeling, or repainting. The records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69.12(1)</w:t>
      </w:r>
      <w:r>
        <w:rPr>
          <w:rFonts w:ascii="Times New Roman" w:hAnsi="Times New Roman"/>
          <w:b w:val="false"/>
          <w:i w:val="false"/>
          <w:color w:val="000000"/>
          <w:sz w:val="22"/>
        </w:rPr>
        <w:t> </w:t>
      </w:r>
      <w:r>
        <w:rPr>
          <w:rFonts w:ascii="Times New Roman" w:hAnsi="Times New Roman"/>
          <w:b w:val="false"/>
          <w:i w:val="false"/>
          <w:color w:val="000000"/>
          <w:sz w:val="22"/>
        </w:rPr>
        <w:t>The address or location of the target housing or child-occupied facility where remodeling, renovation, or repainting was conducted.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69.12(2)</w:t>
      </w:r>
      <w:r>
        <w:rPr>
          <w:rFonts w:ascii="Times New Roman" w:hAnsi="Times New Roman"/>
          <w:b w:val="false"/>
          <w:i w:val="false"/>
          <w:color w:val="000000"/>
          <w:sz w:val="22"/>
        </w:rPr>
        <w:t> </w:t>
      </w:r>
      <w:r>
        <w:rPr>
          <w:rFonts w:ascii="Times New Roman" w:hAnsi="Times New Roman"/>
          <w:b w:val="false"/>
          <w:i w:val="false"/>
          <w:color w:val="000000"/>
          <w:sz w:val="22"/>
        </w:rPr>
        <w:t>A list of all known occupants of the dwelling units where renovation, remodeling, or repainting was conducted at the commencement of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69.12(3)</w:t>
      </w:r>
      <w:r>
        <w:rPr>
          <w:rFonts w:ascii="Times New Roman" w:hAnsi="Times New Roman"/>
          <w:b w:val="false"/>
          <w:i w:val="false"/>
          <w:color w:val="000000"/>
          <w:sz w:val="22"/>
        </w:rPr>
        <w:t> </w:t>
      </w:r>
      <w:r>
        <w:rPr>
          <w:rFonts w:ascii="Times New Roman" w:hAnsi="Times New Roman"/>
          <w:b w:val="false"/>
          <w:i w:val="false"/>
          <w:color w:val="000000"/>
          <w:sz w:val="22"/>
        </w:rPr>
        <w:t xml:space="preserve">Copies of signed, dated acknowledgments as required by </w:t>
      </w:r>
      <w:hyperlink r:id="rId14">
        <w:r>
          <w:rPr>
            <w:rStyle w:val="Hyperlink"/>
            <w:rFonts w:ascii="Times New Roman" w:hAnsi="Times New Roman"/>
            <w:b w:val="false"/>
            <w:i w:val="false"/>
            <w:color w:val="000000"/>
            <w:sz w:val="22"/>
          </w:rPr>
          <w:t>subrule 69.3(2)</w:t>
        </w:r>
      </w:hyperlink>
      <w:r>
        <w:rPr>
          <w:rFonts w:ascii="Times New Roman" w:hAnsi="Times New Roman"/>
          <w:b w:val="false"/>
          <w:i w:val="false"/>
          <w:color w:val="000000"/>
          <w:sz w:val="22"/>
        </w:rPr>
        <w:t xml:space="preserve"> from each owner and occupant of a dwelling unit where renovation, remodeling, or repainting was conducted.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69.12(4)</w:t>
      </w:r>
      <w:r>
        <w:rPr>
          <w:rFonts w:ascii="Times New Roman" w:hAnsi="Times New Roman"/>
          <w:b w:val="false"/>
          <w:i w:val="false"/>
          <w:color w:val="000000"/>
          <w:sz w:val="22"/>
        </w:rPr>
        <w:t> </w:t>
      </w:r>
      <w:r>
        <w:rPr>
          <w:rFonts w:ascii="Times New Roman" w:hAnsi="Times New Roman"/>
          <w:b w:val="false"/>
          <w:i w:val="false"/>
          <w:color w:val="000000"/>
          <w:sz w:val="22"/>
        </w:rPr>
        <w:t xml:space="preserve">Copies of signed, dated acknowledgments as required by </w:t>
      </w:r>
      <w:hyperlink r:id="rId15">
        <w:r>
          <w:rPr>
            <w:rStyle w:val="Hyperlink"/>
            <w:rFonts w:ascii="Times New Roman" w:hAnsi="Times New Roman"/>
            <w:b w:val="false"/>
            <w:i w:val="false"/>
            <w:color w:val="000000"/>
            <w:sz w:val="22"/>
          </w:rPr>
          <w:t>subrule 69.4(2)</w:t>
        </w:r>
      </w:hyperlink>
      <w:r>
        <w:rPr>
          <w:rFonts w:ascii="Times New Roman" w:hAnsi="Times New Roman"/>
          <w:b w:val="false"/>
          <w:i w:val="false"/>
          <w:color w:val="000000"/>
          <w:sz w:val="22"/>
        </w:rPr>
        <w:t xml:space="preserve"> from each owner of multifamily target housing where renovation, remodeling, or repainting was conducted in common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69.12(5)</w:t>
      </w:r>
      <w:r>
        <w:rPr>
          <w:rFonts w:ascii="Times New Roman" w:hAnsi="Times New Roman"/>
          <w:b w:val="false"/>
          <w:i w:val="false"/>
          <w:color w:val="000000"/>
          <w:sz w:val="22"/>
        </w:rPr>
        <w:t> </w:t>
      </w:r>
      <w:r>
        <w:rPr>
          <w:rFonts w:ascii="Times New Roman" w:hAnsi="Times New Roman"/>
          <w:b w:val="false"/>
          <w:i w:val="false"/>
          <w:color w:val="000000"/>
          <w:sz w:val="22"/>
        </w:rPr>
        <w:t xml:space="preserve">Copies of all signed, dated statements of notification, as well as copies of all notification materials given to all owners and occupants and acknowledgments as required by </w:t>
      </w:r>
      <w:hyperlink r:id="rId16">
        <w:r>
          <w:rPr>
            <w:rStyle w:val="Hyperlink"/>
            <w:rFonts w:ascii="Times New Roman" w:hAnsi="Times New Roman"/>
            <w:b w:val="false"/>
            <w:i w:val="false"/>
            <w:color w:val="000000"/>
            <w:sz w:val="22"/>
          </w:rPr>
          <w:t>subrule 69.4(2)</w:t>
        </w:r>
      </w:hyperlink>
      <w:r>
        <w:rPr>
          <w:rFonts w:ascii="Times New Roman" w:hAnsi="Times New Roman"/>
          <w:b w:val="false"/>
          <w:i w:val="false"/>
          <w:color w:val="000000"/>
          <w:sz w:val="22"/>
        </w:rPr>
        <w:t xml:space="preserve"> from each owner and occupant of multifamily target housing where renovation, remodeling, or repainting was conducted in common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69.12(6)</w:t>
      </w:r>
      <w:r>
        <w:rPr>
          <w:rFonts w:ascii="Times New Roman" w:hAnsi="Times New Roman"/>
          <w:b w:val="false"/>
          <w:i w:val="false"/>
          <w:color w:val="000000"/>
          <w:sz w:val="22"/>
        </w:rPr>
        <w:t> </w:t>
      </w:r>
      <w:r>
        <w:rPr>
          <w:rFonts w:ascii="Times New Roman" w:hAnsi="Times New Roman"/>
          <w:b w:val="false"/>
          <w:i w:val="false"/>
          <w:color w:val="000000"/>
          <w:sz w:val="22"/>
        </w:rPr>
        <w:t>Copies of signed, dated acknowledgments as required by 641—69.7(135) from the owner and, if different, operator of a child-occupied facility where renovation, remodeling, or repainting was conducted.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69.12(7)</w:t>
      </w:r>
      <w:r>
        <w:rPr>
          <w:rFonts w:ascii="Times New Roman" w:hAnsi="Times New Roman"/>
          <w:b w:val="false"/>
          <w:i w:val="false"/>
          <w:color w:val="000000"/>
          <w:sz w:val="22"/>
        </w:rPr>
        <w:t> </w:t>
      </w:r>
      <w:r>
        <w:rPr>
          <w:rFonts w:ascii="Times New Roman" w:hAnsi="Times New Roman"/>
          <w:b w:val="false"/>
          <w:i w:val="false"/>
          <w:color w:val="000000"/>
          <w:sz w:val="22"/>
        </w:rPr>
        <w:t>Copies of all notification materials given to the parents or guardians of children using a child-occupied facility or the signs posted in areas where the signs can be seen by the parents or guardians of children using the child-occupied facility as required by subrule 69.7(9).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69.12(8)</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Reports showing that a lead inspector/risk assessor or elevated blood level (EBL) inspector/risk assessor certified pursuant to </w:t>
      </w:r>
      <w:hyperlink r:id="rId17">
        <w:r>
          <w:rPr>
            <w:rStyle w:val="Hyperlink"/>
            <w:rFonts w:ascii="Times New Roman" w:hAnsi="Times New Roman"/>
            <w:b w:val="false"/>
            <w:i w:val="false"/>
            <w:color w:val="000000"/>
            <w:sz w:val="22"/>
          </w:rPr>
          <w:t>641—Chapter 70</w:t>
        </w:r>
      </w:hyperlink>
      <w:r>
        <w:rPr>
          <w:rFonts w:ascii="Times New Roman" w:hAnsi="Times New Roman"/>
          <w:b w:val="false"/>
          <w:i w:val="false"/>
          <w:color w:val="000000"/>
          <w:sz w:val="22"/>
        </w:rPr>
        <w:t xml:space="preserve"> has made a written determination that the components affected by the renovation are free of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69.12(9)</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Certifications of attempted delivery as described in </w:t>
      </w:r>
      <w:hyperlink r:id="rId18">
        <w:r>
          <w:rPr>
            <w:rStyle w:val="Hyperlink"/>
            <w:rFonts w:ascii="Times New Roman" w:hAnsi="Times New Roman"/>
            <w:b w:val="false"/>
            <w:i w:val="false"/>
            <w:color w:val="000000"/>
            <w:sz w:val="22"/>
          </w:rPr>
          <w:t>641—69.6(135)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69.12(10)</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Certificates of mailing as described in </w:t>
      </w:r>
      <w:hyperlink r:id="rId19">
        <w:r>
          <w:rPr>
            <w:rStyle w:val="Hyperlink"/>
            <w:rFonts w:ascii="Times New Roman" w:hAnsi="Times New Roman"/>
            <w:b w:val="false"/>
            <w:i w:val="false"/>
            <w:color w:val="000000"/>
            <w:sz w:val="22"/>
          </w:rPr>
          <w:t>subrules 69.3(3)</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69.4(3)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8501B</w:t>
      </w:r>
      <w:r>
        <w:rPr>
          <w:rFonts w:ascii="Times New Roman" w:hAnsi="Times New Roman"/>
          <w:b w:val="false"/>
          <w:i w:val="false"/>
          <w:color w:val="000000"/>
          <w:sz w:val="16"/>
        </w:rPr>
        <w:t>, IAB 2/10/10, effective 1/13/10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641—69.13</w:t>
      </w:r>
      <w:r>
        <w:rPr>
          <w:rFonts w:ascii="Times New Roman" w:hAnsi="Times New Roman"/>
          <w:b/>
          <w:i w:val="false"/>
          <w:color w:val="000000"/>
          <w:sz w:val="22"/>
        </w:rPr>
        <w:t xml:space="preserve">(135) </w:t>
      </w:r>
      <w:r>
        <w:rPr>
          <w:rFonts w:ascii="Times New Roman" w:hAnsi="Times New Roman"/>
          <w:b/>
          <w:i w:val="false"/>
          <w:color w:val="000000"/>
          <w:sz w:val="22"/>
        </w:rPr>
        <w:t xml:space="preserve">Compliance inspections. </w:t>
      </w:r>
      <w:r>
        <w:rPr>
          <w:rFonts w:ascii="Times New Roman" w:hAnsi="Times New Roman"/>
          <w:b w:val="false"/>
          <w:i w:val="false"/>
          <w:color w:val="000000"/>
          <w:sz w:val="22"/>
        </w:rPr>
        <w:t>The department may enter the place of business of a person who conducts renovation, remodeling, or repainting for the purpose of enforcing the notification required by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8501B</w:t>
      </w:r>
      <w:r>
        <w:rPr>
          <w:rFonts w:ascii="Times New Roman" w:hAnsi="Times New Roman"/>
          <w:b w:val="false"/>
          <w:i w:val="false"/>
          <w:color w:val="000000"/>
          <w:sz w:val="16"/>
        </w:rPr>
        <w:t>, IAB 2/10/10, effective 1/13/10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641—69.14</w:t>
      </w:r>
      <w:r>
        <w:rPr>
          <w:rFonts w:ascii="Times New Roman" w:hAnsi="Times New Roman"/>
          <w:b/>
          <w:i w:val="false"/>
          <w:color w:val="000000"/>
          <w:sz w:val="22"/>
        </w:rPr>
        <w:t xml:space="preserve">(135) </w:t>
      </w:r>
      <w:r>
        <w:rPr>
          <w:rFonts w:ascii="Times New Roman" w:hAnsi="Times New Roman"/>
          <w:b/>
          <w:i w:val="false"/>
          <w:color w:val="000000"/>
          <w:sz w:val="22"/>
        </w:rPr>
        <w:t xml:space="preserve">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impose a civil penalty pursuant to Iowa Code section </w:t>
      </w:r>
      <w:hyperlink r:id="rId21">
        <w:r>
          <w:rPr>
            <w:rStyle w:val="Hyperlink"/>
            <w:rFonts w:ascii="Times New Roman" w:hAnsi="Times New Roman"/>
            <w:b w:val="false"/>
            <w:i w:val="false"/>
            <w:color w:val="000000"/>
            <w:sz w:val="22"/>
          </w:rPr>
          <w:t>135.105C</w:t>
        </w:r>
      </w:hyperlink>
      <w:r>
        <w:rPr>
          <w:rFonts w:ascii="Times New Roman" w:hAnsi="Times New Roman"/>
          <w:b w:val="false"/>
          <w:i w:val="false"/>
          <w:color w:val="000000"/>
          <w:sz w:val="22"/>
        </w:rPr>
        <w:t xml:space="preserve"> and this rule and may refer the case to the office of the county attorney for possible criminal penalties pursuant to Iowa Code section </w:t>
      </w:r>
      <w:hyperlink r:id="rId22">
        <w:r>
          <w:rPr>
            <w:rStyle w:val="Hyperlink"/>
            <w:rFonts w:ascii="Times New Roman" w:hAnsi="Times New Roman"/>
            <w:b w:val="false"/>
            <w:i w:val="false"/>
            <w:color w:val="000000"/>
            <w:sz w:val="22"/>
          </w:rPr>
          <w:t>135.38</w:t>
        </w:r>
      </w:hyperlink>
      <w:r>
        <w:rPr>
          <w:rFonts w:ascii="Times New Roman" w:hAnsi="Times New Roman"/>
          <w:b w:val="false"/>
          <w:i w:val="false"/>
          <w:color w:val="000000"/>
          <w:sz w:val="22"/>
        </w:rPr>
        <w:t xml:space="preserve"> when it finds that a person has committed any of the following 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Failed or refused to comply with any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Failed or refused to establish, maintain, provide, copy, or permit access to records or reports as required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Failed or refused to permit entry or inspection as described in subrule </w:t>
      </w:r>
      <w:hyperlink r:id="rId23">
        <w:r>
          <w:rPr>
            <w:rStyle w:val="Hyperlink"/>
            <w:rFonts w:ascii="Times New Roman" w:hAnsi="Times New Roman"/>
            <w:b w:val="false"/>
            <w:i w:val="false"/>
            <w:color w:val="000000"/>
            <w:sz w:val="22"/>
          </w:rPr>
          <w:t>69.14(1)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Falsified reports and records required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Failed to comply with the terms of a department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Failed to respond within 20 days of receipt of communication sent by the department by registered or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Engaged in any conduct that subverts or attempts to subvert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Failed to comply with a subpoena issued by the department or failed to cooperate with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Failed to pay costs assessed in any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69.14(2)</w:t>
      </w:r>
      <w:r>
        <w:rPr>
          <w:rFonts w:ascii="Times New Roman" w:hAnsi="Times New Roman"/>
          <w:b w:val="false"/>
          <w:i w:val="false"/>
          <w:color w:val="000000"/>
          <w:sz w:val="22"/>
        </w:rPr>
        <w:t> </w:t>
      </w:r>
      <w:r>
        <w:rPr>
          <w:rFonts w:ascii="Times New Roman" w:hAnsi="Times New Roman"/>
          <w:b w:val="false"/>
          <w:i w:val="false"/>
          <w:color w:val="000000"/>
          <w:sz w:val="22"/>
        </w:rPr>
        <w:t>Complaints and other requests for action under this rule. Complaints regarding a person who performs renovation, remodeling, or repainting for compensation in target housing or a child-occupied facility shall be submitted in writing to the Iowa Department of Public Health, Lead Poisoning Prevention Program, 321 East 12th Street, Des Moines, Iowa 50319-0075. The complainant shall provide the name of the person who performs renovation, remodeling, or repainting for compensation in target housing or a child-occupied facility and the specific details of the person’s action(s) that did not comply with the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69.14(3)</w:t>
      </w:r>
      <w:r>
        <w:rPr>
          <w:rFonts w:ascii="Times New Roman" w:hAnsi="Times New Roman"/>
          <w:b w:val="false"/>
          <w:i w:val="false"/>
          <w:color w:val="000000"/>
          <w:sz w:val="22"/>
        </w:rPr>
        <w:t> </w:t>
      </w:r>
      <w:r>
        <w:rPr>
          <w:rFonts w:ascii="Times New Roman" w:hAnsi="Times New Roman"/>
          <w:b w:val="false"/>
          <w:i w:val="false"/>
          <w:color w:val="000000"/>
          <w:sz w:val="22"/>
        </w:rPr>
        <w:t>Civil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instituting any proceeding to impose a civil penalty under Iowa Code section </w:t>
      </w:r>
      <w:hyperlink r:id="rId24">
        <w:r>
          <w:rPr>
            <w:rStyle w:val="Hyperlink"/>
            <w:rFonts w:ascii="Times New Roman" w:hAnsi="Times New Roman"/>
            <w:b w:val="false"/>
            <w:i w:val="false"/>
            <w:color w:val="000000"/>
            <w:sz w:val="22"/>
          </w:rPr>
          <w:t>135.105C</w:t>
        </w:r>
      </w:hyperlink>
      <w:r>
        <w:rPr>
          <w:rFonts w:ascii="Times New Roman" w:hAnsi="Times New Roman"/>
          <w:b w:val="false"/>
          <w:i w:val="false"/>
          <w:color w:val="000000"/>
          <w:sz w:val="22"/>
        </w:rPr>
        <w:t xml:space="preserve">, the department shall serve a written notice of violation upon the person charged. The notice of violation shall specify the date or dates, facts, and the nature of the alleged act or omission with which the person is charged and shall identify specifically the particular provision or provisions of the law, rule, regulation, or cease and desist order involved in the alleged violation and must state the amount of each proposed penalty. The notice of violation shall also advise the person charged that the civil penalty may be paid in the amount specified therein, or the proposed imposition of the civil penalty may be protested in its entirety or in part, by a written answer, either denying the violation or showing extenuating circumstances. The notice of violation shall advise the person charged that upon failure to pay a civil penalty subsequently determined by the department, if any, unless compromised, remitted, or mitigated, the fee shall be collected by civil action pursuant to Iowa Code section </w:t>
      </w:r>
      <w:hyperlink r:id="rId25">
        <w:r>
          <w:rPr>
            <w:rStyle w:val="Hyperlink"/>
            <w:rFonts w:ascii="Times New Roman" w:hAnsi="Times New Roman"/>
            <w:b w:val="false"/>
            <w:i w:val="false"/>
            <w:color w:val="000000"/>
            <w:sz w:val="22"/>
          </w:rPr>
          <w:t>135.105C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20 days of the date of a notice of violation or other time specified in the notice, the person charged may either pay the penalty in the amount proposed or answer the notice of violation. The answer to the notice of violation shall state any facts, explanations, and arguments denying the charges of violation or demonstrating any extenuating circumstances, error in the notice of violation, or other reason why the penalty should not be imposed and may request remission or mitigation of the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person charged with a violation fails to answer within the time specified in paragraph 69.14(3)</w:t>
      </w:r>
      <w:r>
        <w:rPr>
          <w:rFonts w:ascii="Times New Roman" w:hAnsi="Times New Roman"/>
          <w:b w:val="false"/>
          <w:i/>
          <w:color w:val="000000"/>
          <w:sz w:val="22"/>
        </w:rPr>
        <w:t>“b,”</w:t>
      </w:r>
      <w:r>
        <w:rPr>
          <w:rFonts w:ascii="Times New Roman" w:hAnsi="Times New Roman"/>
          <w:b w:val="false"/>
          <w:i w:val="false"/>
          <w:color w:val="000000"/>
          <w:sz w:val="22"/>
        </w:rPr>
        <w:t xml:space="preserve"> an order may be issued imposing the civil penalty in the amount set forth in the notice of violation described in paragraph 69.14(3)</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person charged with a violation files an answer to the notice of violation, the department, upon consideration of the answer, will issue an order dismissing the proceeding or imposing, mitigating, or remitting the civil penalty. The person charged may, within 20 days of the date of the order or other time specified in the order, request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person charged with a violation requests a hearing, the department will issue an order designating the time and place of hearing. The hearing shall be conducted according to the procedural rules of the department of inspections and appeals found in </w:t>
      </w:r>
      <w:hyperlink r:id="rId26">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a hearing is held, an order will be issued after the hearing by the presiding officer or the department dismissing the proceeding or imposing, mitigating, or remitting the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department may compromise any civil penalty. If the civil penalty is not compromised or is not remitted by the presiding officer or the department or if the time for requesting a hearing described in paragraph 69.14(3)</w:t>
      </w:r>
      <w:r>
        <w:rPr>
          <w:rFonts w:ascii="Times New Roman" w:hAnsi="Times New Roman"/>
          <w:b w:val="false"/>
          <w:i/>
          <w:color w:val="000000"/>
          <w:sz w:val="22"/>
        </w:rPr>
        <w:t>“d”</w:t>
      </w:r>
      <w:r>
        <w:rPr>
          <w:rFonts w:ascii="Times New Roman" w:hAnsi="Times New Roman"/>
          <w:b w:val="false"/>
          <w:i w:val="false"/>
          <w:color w:val="000000"/>
          <w:sz w:val="22"/>
        </w:rPr>
        <w:t xml:space="preserve"> has expired, the department may refer the matter to the attorney general for collection.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when payment is made after compromise or mitigation by the department of justice or as ordered by a court of the state, following reference of the matter to the attorney general for collection, payment of civil penalties imposed under Iowa Code section </w:t>
      </w:r>
      <w:hyperlink r:id="rId27">
        <w:r>
          <w:rPr>
            <w:rStyle w:val="Hyperlink"/>
            <w:rFonts w:ascii="Times New Roman" w:hAnsi="Times New Roman"/>
            <w:b w:val="false"/>
            <w:i w:val="false"/>
            <w:color w:val="000000"/>
            <w:sz w:val="22"/>
          </w:rPr>
          <w:t>135.105C</w:t>
        </w:r>
      </w:hyperlink>
      <w:r>
        <w:rPr>
          <w:rFonts w:ascii="Times New Roman" w:hAnsi="Times New Roman"/>
          <w:b w:val="false"/>
          <w:i w:val="false"/>
          <w:color w:val="000000"/>
          <w:sz w:val="22"/>
        </w:rPr>
        <w:t xml:space="preserve"> shall be made by check, draft, or money order payable to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69.14(4)</w:t>
      </w:r>
      <w:r>
        <w:rPr>
          <w:rFonts w:ascii="Times New Roman" w:hAnsi="Times New Roman"/>
          <w:b w:val="false"/>
          <w:i w:val="false"/>
          <w:color w:val="000000"/>
          <w:sz w:val="22"/>
        </w:rPr>
        <w:t> </w:t>
      </w:r>
      <w:r>
        <w:rPr>
          <w:rFonts w:ascii="Times New Roman" w:hAnsi="Times New Roman"/>
          <w:b w:val="false"/>
          <w:i w:val="false"/>
          <w:color w:val="000000"/>
          <w:sz w:val="22"/>
        </w:rPr>
        <w:t>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Notice of the civil penalty shall be sent to the affected person by certified mail, return receipt requested, or by personal service. The affected person shall have a right to appeal the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appeal of a civil penalty shall be submitted by certified mail, return receipt requested, to the Iowa Department of Public Health, Lead Poisoning Prevention Program, 321 East 12th Street, Des Moines, Iowa 50319-0075, within 20 days of receipt of the department’s notice. If such a request is made within the 20-day time period, the notice of civil penalty shall be deemed to be suspended. Prior to or at the hearing, the department may rescind the notice upon satisfaction that the reason for the civil penalty has been or will be removed. After the hearing, or upon default of the applicant or alleged violator, the administrative law judge shall affirm, modify or set aside the civil penalty. If no appeal is submitted within 20 days, the civil penalty shall become the department’s final agency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receipt of an appeal that meets contested case status, the appeal shall be transmitted to the department of inspections and appeals within 5 working days of receipt pursuant to the rules adopted by that agency regarding the transmission of contested cases. The information upon which the civil penalty is based shall be provided to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hearing shall be conducted according to the procedural rules of the department of inspections and appeals found in </w:t>
      </w:r>
      <w:hyperlink r:id="rId28">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the administrative law judge makes a proposed decision and order, it shall be served by restricted certified mail, return receipt requested, or delivered by personal service. The proposed decision and order then becomes the department’s final agency action without further proceedings 10 days after it is received by the aggrieved party unless an appeal to the director is taken as provided in paragraph 69.14(4)</w:t>
      </w:r>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appeal to the director for review of the proposed decision and order of the administrative law judge shall be filed in writing and mailed to the director by certified mail, return receipt requested, or delivered by personal service within 10 days after the receipt of the administrative law judge’s proposed decision and order by the aggrieved party. A copy of the appeal shall also be mailed to the administrative law judge. Any request for appeal shall state the reason for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Upon receipt of an appeal request, the administrative law judge shall prepare the record of the hearing or submission to the director. The record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pleadings, motions, and rulings.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evidence received or considered and all other submissions by recording or transcript.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of all matters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questions and offers of proof, objection, and rulings thereon.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proposed findings and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proposed findings and order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decision and order of the director becomes the department’s final agency action upon receipt by the aggrieved party and shall be delivered by restricted certified mail, return receipt requested, or by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It is not necessary to file an application for a rehearing to exhaust administrative remedies when appealing to the director or the district court as provided in Iowa Code section </w:t>
      </w:r>
      <w:hyperlink r:id="rId29">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The aggrieved party to the final agency action of the department who has exhausted all administrative remedies may petition for judicial review of that action pursuant to Iowa Code chapter </w:t>
      </w:r>
      <w:hyperlink r:id="rId3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Any petition for judicial review of a decision and order shall be filed in the district court within 20 days after the decision and order becomes final. A copy of the notice of appeal shall be sent by certified mail, return receipt requested, or by personal service to the Iowa Department of Public Health, Lead Poisoning Prevention Program, 321 East 12th Street, Des Moines, Iowa 50319-0075.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party who appeals a final agency action to the district court shall pay the cost of the preparation of a transcript of the contested case hearing for the district court.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8501B</w:t>
      </w:r>
      <w:r>
        <w:rPr>
          <w:rFonts w:ascii="Times New Roman" w:hAnsi="Times New Roman"/>
          <w:b w:val="false"/>
          <w:i w:val="false"/>
          <w:color w:val="000000"/>
          <w:sz w:val="16"/>
        </w:rPr>
        <w:t>, IAB 2/10/10, effective 1/13/10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641—69.15</w:t>
      </w:r>
      <w:r>
        <w:rPr>
          <w:rFonts w:ascii="Times New Roman" w:hAnsi="Times New Roman"/>
          <w:b/>
          <w:i w:val="false"/>
          <w:color w:val="000000"/>
          <w:sz w:val="22"/>
        </w:rPr>
        <w:t xml:space="preserve">(135) </w:t>
      </w:r>
      <w:r>
        <w:rPr>
          <w:rFonts w:ascii="Times New Roman" w:hAnsi="Times New Roman"/>
          <w:b/>
          <w:i w:val="false"/>
          <w:color w:val="000000"/>
          <w:sz w:val="22"/>
        </w:rPr>
        <w:t xml:space="preserve">Waivers. </w:t>
      </w:r>
      <w:r>
        <w:rPr>
          <w:rFonts w:ascii="Times New Roman" w:hAnsi="Times New Roman"/>
          <w:b w:val="false"/>
          <w:i w:val="false"/>
          <w:color w:val="000000"/>
          <w:sz w:val="22"/>
        </w:rPr>
        <w:t xml:space="preserve">Rules in this chapter are not subject to waiver pursuant to </w:t>
      </w:r>
      <w:hyperlink r:id="rId31">
        <w:r>
          <w:rPr>
            <w:rStyle w:val="Hyperlink"/>
            <w:rFonts w:ascii="Times New Roman" w:hAnsi="Times New Roman"/>
            <w:b w:val="false"/>
            <w:i w:val="false"/>
            <w:color w:val="000000"/>
            <w:sz w:val="22"/>
          </w:rPr>
          <w:t>641—Chapter 178</w:t>
        </w:r>
      </w:hyperlink>
      <w:r>
        <w:rPr>
          <w:rFonts w:ascii="Times New Roman" w:hAnsi="Times New Roman"/>
          <w:b w:val="false"/>
          <w:i w:val="false"/>
          <w:color w:val="000000"/>
          <w:sz w:val="22"/>
        </w:rPr>
        <w:t xml:space="preserve"> or any other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8501B</w:t>
      </w:r>
      <w:r>
        <w:rPr>
          <w:rFonts w:ascii="Times New Roman" w:hAnsi="Times New Roman"/>
          <w:b w:val="false"/>
          <w:i w:val="false"/>
          <w:color w:val="000000"/>
          <w:sz w:val="16"/>
        </w:rPr>
        <w:t>, IAB 2/10/10, effective 1/13/10</w:t>
      </w:r>
      <w:r>
        <w:rPr>
          <w:rFonts w:ascii="Times New Roman" w:hAnsi="Times New Roman"/>
          <w:b w:val="false"/>
          <w:i w:val="false"/>
          <w:color w:val="000000"/>
          <w:sz w:val="16"/>
        </w:rPr>
        <w:t xml:space="preserve">; </w:t>
      </w:r>
      <w:r>
        <w:rPr>
          <w:rFonts w:ascii="Times New Roman" w:hAnsi="Times New Roman"/>
          <w:b/>
          <w:i w:val="false"/>
          <w:color w:val="000000"/>
          <w:sz w:val="16"/>
        </w:rPr>
        <w:t>ARC 5528C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32">
        <w:r>
          <w:rPr>
            <w:rStyle w:val="Hyperlink"/>
            <w:rFonts w:ascii="Times New Roman" w:hAnsi="Times New Roman"/>
            <w:b w:val="false"/>
            <w:i w:val="false"/>
            <w:color w:val="000000"/>
            <w:sz w:val="22"/>
          </w:rPr>
          <w:t>135.105C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1/23/98, Notice 10/22/97—published 2/11/98, effective 3/19/98]</w:t>
      </w:r>
    </w:p>
    <w:p>
      <w:pPr>
        <w:spacing w:before="0" w:after="0"/>
        <w:ind w:left="120"/>
        <w:jc w:val="center"/>
      </w:pPr>
      <w:r>
        <w:rPr>
          <w:rFonts w:ascii="Times New Roman" w:hAnsi="Times New Roman"/>
          <w:b w:val="false"/>
          <w:i w:val="false"/>
          <w:color w:val="000000"/>
          <w:sz w:val="21"/>
        </w:rPr>
        <w:t>[Filed 11/10/98, Notice 9/9/98—published 12/2/98, effective 1/6/99]</w:t>
      </w:r>
    </w:p>
    <w:p>
      <w:pPr>
        <w:spacing w:before="0" w:after="0"/>
        <w:ind w:left="120"/>
        <w:jc w:val="center"/>
      </w:pPr>
      <w:r>
        <w:rPr>
          <w:rFonts w:ascii="Times New Roman" w:hAnsi="Times New Roman"/>
          <w:b w:val="false"/>
          <w:i w:val="false"/>
          <w:color w:val="000000"/>
          <w:sz w:val="21"/>
        </w:rPr>
        <w:t>[Filed 9/14/01, Notice 8/8/01—published 10/3/01, effective 11/7/01]</w:t>
      </w:r>
    </w:p>
    <w:p>
      <w:pPr>
        <w:spacing w:before="0" w:after="0"/>
        <w:ind w:left="120"/>
        <w:jc w:val="center"/>
      </w:pPr>
      <w:r>
        <w:rPr>
          <w:rFonts w:ascii="Times New Roman" w:hAnsi="Times New Roman"/>
          <w:b w:val="false"/>
          <w:i w:val="false"/>
          <w:color w:val="000000"/>
          <w:sz w:val="21"/>
        </w:rPr>
        <w:t>[Filed 3/12/04, Notice 2/4/04—published 3/31/04, effective 5/5/04]</w:t>
      </w:r>
    </w:p>
    <w:p>
      <w:pPr>
        <w:spacing w:before="0" w:after="0"/>
        <w:ind w:left="120"/>
        <w:jc w:val="center"/>
      </w:pPr>
      <w:r>
        <w:rPr>
          <w:rFonts w:ascii="Times New Roman" w:hAnsi="Times New Roman"/>
          <w:b w:val="false"/>
          <w:i w:val="false"/>
          <w:color w:val="000000"/>
          <w:sz w:val="21"/>
        </w:rPr>
        <w:t>[Filed emergency 7/13/05 after Notice 5/25/05—published 8/3/05, effective 7/13/05]</w:t>
      </w:r>
    </w:p>
    <w:p>
      <w:pPr>
        <w:spacing w:before="0" w:after="0"/>
        <w:ind w:left="120"/>
        <w:jc w:val="center"/>
      </w:pPr>
      <w:r>
        <w:rPr>
          <w:rFonts w:ascii="Times New Roman" w:hAnsi="Times New Roman"/>
          <w:b w:val="false"/>
          <w:i w:val="false"/>
          <w:color w:val="000000"/>
          <w:sz w:val="21"/>
        </w:rPr>
        <w:t>[Filed Emergency After Notice ARC 8501B</w:t>
      </w:r>
      <w:r>
        <w:rPr>
          <w:rFonts w:ascii="Times New Roman" w:hAnsi="Times New Roman"/>
          <w:b w:val="false"/>
          <w:i w:val="false"/>
          <w:color w:val="000000"/>
          <w:sz w:val="21"/>
        </w:rPr>
        <w:t xml:space="preserve"> (Notice ARC 8355B, IAB 12/2/09)</w:t>
      </w:r>
      <w:r>
        <w:rPr>
          <w:rFonts w:ascii="Times New Roman" w:hAnsi="Times New Roman"/>
          <w:b w:val="false"/>
          <w:i w:val="false"/>
          <w:color w:val="000000"/>
          <w:sz w:val="21"/>
        </w:rPr>
        <w:t>, IAB 2/10/10, effective 1/13/10]</w:t>
      </w:r>
    </w:p>
    <w:p>
      <w:pPr>
        <w:spacing w:before="0" w:after="0"/>
        <w:ind w:left="120"/>
        <w:jc w:val="center"/>
      </w:pPr>
      <w:r>
        <w:rPr>
          <w:rFonts w:ascii="Times New Roman" w:hAnsi="Times New Roman"/>
          <w:b w:val="false"/>
          <w:i w:val="false"/>
          <w:color w:val="000000"/>
          <w:sz w:val="21"/>
        </w:rPr>
        <w:t>[Filed ARC 5528C</w:t>
      </w:r>
      <w:r>
        <w:rPr>
          <w:rFonts w:ascii="Times New Roman" w:hAnsi="Times New Roman"/>
          <w:b w:val="false"/>
          <w:i w:val="false"/>
          <w:color w:val="000000"/>
          <w:sz w:val="21"/>
        </w:rPr>
        <w:t xml:space="preserve"> (Notice ARC 5271C, IAB 11/18/20)</w:t>
      </w:r>
      <w:r>
        <w:rPr>
          <w:rFonts w:ascii="Times New Roman" w:hAnsi="Times New Roman"/>
          <w:b w:val="false"/>
          <w:i w:val="false"/>
          <w:color w:val="000000"/>
          <w:sz w:val="21"/>
        </w:rPr>
        <w:t>, IAB 3/24/21, effective 4/28/21]</w:t>
      </w:r>
    </w:p>
    <w:p>
      <w:pPr>
        <w:spacing w:before="0" w:after="0"/>
        <w:ind w:left="120"/>
        <w:jc w:val="center"/>
      </w:pPr>
      <w:r>
        <w:rPr>
          <w:rFonts w:ascii="Times New Roman" w:hAnsi="Times New Roman"/>
          <w:b w:val="false"/>
          <w:i w:val="false"/>
          <w:color w:val="000000"/>
          <w:sz w:val="21"/>
        </w:rPr>
        <w:t>[Filed ARC 5684C</w:t>
      </w:r>
      <w:r>
        <w:rPr>
          <w:rFonts w:ascii="Times New Roman" w:hAnsi="Times New Roman"/>
          <w:b w:val="false"/>
          <w:i w:val="false"/>
          <w:color w:val="000000"/>
          <w:sz w:val="21"/>
        </w:rPr>
        <w:t xml:space="preserve"> (Notice ARC 5519C, IAB 3/24/21)</w:t>
      </w:r>
      <w:r>
        <w:rPr>
          <w:rFonts w:ascii="Times New Roman" w:hAnsi="Times New Roman"/>
          <w:b w:val="false"/>
          <w:i w:val="false"/>
          <w:color w:val="000000"/>
          <w:sz w:val="21"/>
        </w:rPr>
        <w:t>, IAB 6/16/21, effective 7/21/21]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41.70.2.pdf" Type="http://schemas.openxmlformats.org/officeDocument/2006/relationships/hyperlink" Id="rId5"/>
    <Relationship TargetMode="External" Target="https://www.legis.iowa.gov/docs/iac/rule/641.70.2.pdf" Type="http://schemas.openxmlformats.org/officeDocument/2006/relationships/hyperlink" Id="rId6"/>
    <Relationship TargetMode="External" Target="https://www.legis.iowa.gov/docs/iac/rule/641.69.3.pdf" Type="http://schemas.openxmlformats.org/officeDocument/2006/relationships/hyperlink" Id="rId7"/>
    <Relationship TargetMode="External" Target="https://www.legis.iowa.gov/docs/iac/rule/641.69.3.pdf" Type="http://schemas.openxmlformats.org/officeDocument/2006/relationships/hyperlink" Id="rId8"/>
    <Relationship TargetMode="External" Target="https://www.legis.iowa.gov/docs/iac/rule/641.69.4.pdf" Type="http://schemas.openxmlformats.org/officeDocument/2006/relationships/hyperlink" Id="rId9"/>
    <Relationship TargetMode="External" Target="https://www.legis.iowa.gov/docs/iac/rule/641.69.5.pdf" Type="http://schemas.openxmlformats.org/officeDocument/2006/relationships/hyperlink" Id="rId10"/>
    <Relationship TargetMode="External" Target="https://www.legis.iowa.gov/docs/iac/rule/641.69.6.pdf" Type="http://schemas.openxmlformats.org/officeDocument/2006/relationships/hyperlink" Id="rId11"/>
    <Relationship TargetMode="External" Target="https://www.legis.iowa.gov/docs/iac/chapter/641.70.pdf" Type="http://schemas.openxmlformats.org/officeDocument/2006/relationships/hyperlink" Id="rId12"/>
    <Relationship TargetMode="External" Target="https://www.legis.iowa.gov/docs/iac/chapter/641.69.pdf" Type="http://schemas.openxmlformats.org/officeDocument/2006/relationships/hyperlink" Id="rId13"/>
    <Relationship TargetMode="External" Target="https://www.legis.iowa.gov/docs/iac/rule/641.69.3.pdf" Type="http://schemas.openxmlformats.org/officeDocument/2006/relationships/hyperlink" Id="rId14"/>
    <Relationship TargetMode="External" Target="https://www.legis.iowa.gov/docs/iac/rule/641.69.4.pdf" Type="http://schemas.openxmlformats.org/officeDocument/2006/relationships/hyperlink" Id="rId15"/>
    <Relationship TargetMode="External" Target="https://www.legis.iowa.gov/docs/iac/rule/641.69.4.pdf" Type="http://schemas.openxmlformats.org/officeDocument/2006/relationships/hyperlink" Id="rId16"/>
    <Relationship TargetMode="External" Target="https://www.legis.iowa.gov/docs/iac/chapter/641.70.pdf" Type="http://schemas.openxmlformats.org/officeDocument/2006/relationships/hyperlink" Id="rId17"/>
    <Relationship TargetMode="External" Target="https://www.legis.iowa.gov/docs/iac/rule/641.69.6.pdf" Type="http://schemas.openxmlformats.org/officeDocument/2006/relationships/hyperlink" Id="rId18"/>
    <Relationship TargetMode="External" Target="https://www.legis.iowa.gov/docs/iac/rule/641.69.3.pdf" Type="http://schemas.openxmlformats.org/officeDocument/2006/relationships/hyperlink" Id="rId19"/>
    <Relationship TargetMode="External" Target="https://www.legis.iowa.gov/docs/iac/rule/641.69.4.pdf" Type="http://schemas.openxmlformats.org/officeDocument/2006/relationships/hyperlink" Id="rId20"/>
    <Relationship TargetMode="External" Target="https://www.legis.iowa.gov/docs/ico/chapter/135.105C.pdf" Type="http://schemas.openxmlformats.org/officeDocument/2006/relationships/hyperlink" Id="rId21"/>
    <Relationship TargetMode="External" Target="https://www.legis.iowa.gov/docs/ico/chapter/135.38.pdf" Type="http://schemas.openxmlformats.org/officeDocument/2006/relationships/hyperlink" Id="rId22"/>
    <Relationship TargetMode="External" Target="https://www.legis.iowa.gov/docs/iac/rule/641.69.14.pdf" Type="http://schemas.openxmlformats.org/officeDocument/2006/relationships/hyperlink" Id="rId23"/>
    <Relationship TargetMode="External" Target="https://www.legis.iowa.gov/docs/ico/chapter/135.105C.pdf" Type="http://schemas.openxmlformats.org/officeDocument/2006/relationships/hyperlink" Id="rId24"/>
    <Relationship TargetMode="External" Target="https://www.legis.iowa.gov/docs/ico/chapter/135.105C.pdf" Type="http://schemas.openxmlformats.org/officeDocument/2006/relationships/hyperlink" Id="rId25"/>
    <Relationship TargetMode="External" Target="https://www.legis.iowa.gov/docs/iac/chapter/481.10.pdf" Type="http://schemas.openxmlformats.org/officeDocument/2006/relationships/hyperlink" Id="rId26"/>
    <Relationship TargetMode="External" Target="https://www.legis.iowa.gov/docs/ico/chapter/135.105C.pdf" Type="http://schemas.openxmlformats.org/officeDocument/2006/relationships/hyperlink" Id="rId27"/>
    <Relationship TargetMode="External" Target="https://www.legis.iowa.gov/docs/iac/chapter/481.10.pdf" Type="http://schemas.openxmlformats.org/officeDocument/2006/relationships/hyperlink" Id="rId28"/>
    <Relationship TargetMode="External" Target="https://www.legis.iowa.gov/docs/ico/chapter/17A.19.pdf" Type="http://schemas.openxmlformats.org/officeDocument/2006/relationships/hyperlink" Id="rId29"/>
    <Relationship TargetMode="External" Target="https://www.legis.iowa.gov/docs/ico/chapter/17A.pdf" Type="http://schemas.openxmlformats.org/officeDocument/2006/relationships/hyperlink" Id="rId30"/>
    <Relationship TargetMode="External" Target="https://www.legis.iowa.gov/docs/iac/chapter/641.178.pdf" Type="http://schemas.openxmlformats.org/officeDocument/2006/relationships/hyperlink" Id="rId31"/>
    <Relationship TargetMode="External" Target="https://www.legis.iowa.gov/docs/ico/chapter/135.105C.pdf" Type="http://schemas.openxmlformats.org/officeDocument/2006/relationships/hyperlink" Id="rId3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