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STATE MECHANICAL CODE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641—61.1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health care facility” </w:t>
      </w:r>
      <w:r>
        <w:rPr>
          <w:rFonts w:ascii="Times New Roman" w:hAnsi="Times New Roman"/>
          <w:b w:val="false"/>
          <w:i w:val="false"/>
          <w:color w:val="000000"/>
          <w:sz w:val="22"/>
        </w:rPr>
        <w:t>means a facility or portion thereof used to provide services or treatment that provides, on an outpatient basis, treatment for one or more patients that renders the patients incapable of taking action for self-preservation under emergency conditions without the assistance of others; or provides, on an outpatient basis, anesthesia that renders the patient incapable of taking action for self-preservation under emergency conditions without the assistance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“Hospice” </w:t>
      </w:r>
      <w:r>
        <w:rPr>
          <w:rFonts w:ascii="Times New Roman" w:hAnsi="Times New Roman"/>
          <w:b w:val="false"/>
          <w:i w:val="false"/>
          <w:color w:val="000000"/>
          <w:sz w:val="22"/>
        </w:rPr>
        <w:t xml:space="preserve">means a facility licensed or seeking licensure pursuant to Iowa Code section </w:t>
      </w:r>
      <w:hyperlink r:id="rId5">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or seeking licensure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w:t>
      </w:r>
      <w:r>
        <w:rPr>
          <w:rFonts w:ascii="Times New Roman" w:hAnsi="Times New Roman"/>
          <w:b w:val="false"/>
          <w:i w:val="false"/>
          <w:color w:val="000000"/>
          <w:sz w:val="22"/>
        </w:rPr>
        <w:t xml:space="preserve">means a facility licensed or seeking licensure pursuant to Iowa Code section </w:t>
      </w:r>
      <w:hyperlink r:id="rId7">
        <w:r>
          <w:rPr>
            <w:rStyle w:val="Hyperlink"/>
            <w:rFonts w:ascii="Times New Roman" w:hAnsi="Times New Roman"/>
            <w:b w:val="false"/>
            <w:i w:val="false"/>
            <w:color w:val="000000"/>
            <w:sz w:val="22"/>
          </w:rPr>
          <w:t>135C.2(3)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Safety Code” </w:t>
      </w:r>
      <w:r>
        <w:rPr>
          <w:rFonts w:ascii="Times New Roman" w:hAnsi="Times New Roman"/>
          <w:b w:val="false"/>
          <w:i w:val="false"/>
          <w:color w:val="000000"/>
          <w:sz w:val="22"/>
        </w:rPr>
        <w:t>means the 2012 edition of the Life Safety Code of the National Fire Protection Association, Batterymarch Park, Quincy, MA 02269, or the most recent version of the Life Safety Code adopted by reference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a facility licensed or seeking licensure pursuant to Iowa Code section </w:t>
      </w:r>
      <w:hyperlink r:id="rId8">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 including a nursing facility for intermediate care or a nursing facility for skilled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641—61.2</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Sections 101 and 102 and Chapters 2 to 15 of the International Mechanical Code, 2021 edition, published by the International Code Council, 4051 West Flossmoor Road, Country Club Hills, IL 60478, are hereby adopted by reference as the requirements for the design, installation, maintenance, alteration, and inspection of mechanical systems that are permanently installed and utilized to provide control of environmental conditions and related processes within buildings and premises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2473C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4613C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641—61.3</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International Mechanical Code. </w:t>
      </w:r>
      <w:r>
        <w:rPr>
          <w:rFonts w:ascii="Times New Roman" w:hAnsi="Times New Roman"/>
          <w:b w:val="false"/>
          <w:i w:val="false"/>
          <w:color w:val="000000"/>
          <w:sz w:val="22"/>
        </w:rPr>
        <w:t>The International Mechanical Code (IMC), as adopted by reference in rule 641—61.2(105), shall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Amend Section 101.2 by deleting the following: “Exception: Detached one- and two-family dwellings and townhomes not more than three stories above grade plane in height with a separate means of egress and their accessory structures not more than three stories above grade plane in height shall comply with this code or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Amend Section 102 by adopting new Section 102.12 as follows:</w:t>
      </w:r>
    </w:p>
    <w:p>
      <w:pPr>
        <w:spacing w:before="0" w:after="0"/>
        <w:ind w:left="120"/>
        <w:jc w:val="both"/>
      </w:pPr>
      <w:r>
        <w:rPr>
          <w:rFonts w:ascii="Times New Roman" w:hAnsi="Times New Roman"/>
          <w:b/>
          <w:i w:val="false"/>
          <w:color w:val="000000"/>
          <w:sz w:val="22"/>
        </w:rPr>
        <w:t>102.12 Local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Local jurisdictions may administer the permit, inspection, testing, and enforcement provisions contained in the state mechanical code adopted and amended by this chapter. Permit, inspection, testing, and enforcement provisions contained in this code shall not be administered by the Plumbing and Mechanical Systems Board or the state unless otherwise provided by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jurisdictions may not adopt mechanical codes other than the state mechanical code adopted and amended by this chapter. Local jurisdictions may adopt additional amendments to the state mechanical code if the additional amendments are stricter than the state mechanical code as set forth in this chapter. Local jurisdictions that adopt additional amendments must provide copies of any local amendments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Amend Section 304.11 by deleting the last sentence and inserting in lieu thereof the following new exception:</w:t>
      </w:r>
    </w:p>
    <w:p>
      <w:pPr>
        <w:spacing w:before="0" w:after="0"/>
        <w:ind w:left="120"/>
        <w:jc w:val="both"/>
      </w:pPr>
      <w:r>
        <w:rPr>
          <w:rFonts w:ascii="Times New Roman" w:hAnsi="Times New Roman"/>
          <w:b w:val="false"/>
          <w:i w:val="false"/>
          <w:color w:val="000000"/>
          <w:sz w:val="22"/>
        </w:rPr>
        <w:t>Exception: Guards are not required where permanent fall arrest/restraint anchorage connector devices that comply with ANSI/ASSE Z 359.1 are affixed for use during the entire lifetime of the roof covering. The devices shall be evaluated for possible replacement when the entire roof covering is replaced. The devices shall be placed not more than 10 feet (3048 mm) on center along hip and ridge lines and placed not less than 10 feet (3048 mm) from roof edges and the open sides of walking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Amend Section 306.1 by deleting the last sentence and inserting in lieu thereof: “An unobstructed level working space at least 30 inches deep and 30 inches wide shall be provided on any side of equipment where service access is required. The authority having jurisdiction may approve service reductions prior to equipment installation, provided that the manufacturer’s instructions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val="false"/>
          <w:color w:val="000000"/>
          <w:sz w:val="22"/>
        </w:rPr>
        <w:t>Delete Section 306.2 and insert in lieu thereof the following new section:</w:t>
      </w:r>
    </w:p>
    <w:p>
      <w:pPr>
        <w:spacing w:before="0" w:after="0"/>
        <w:ind w:left="120"/>
        <w:jc w:val="both"/>
      </w:pPr>
      <w:r>
        <w:rPr>
          <w:rFonts w:ascii="Times New Roman" w:hAnsi="Times New Roman"/>
          <w:b/>
          <w:i w:val="false"/>
          <w:color w:val="000000"/>
          <w:sz w:val="22"/>
        </w:rPr>
        <w:t>306.2 Appliances in rooms and closets.</w:t>
      </w:r>
      <w:r>
        <w:rPr>
          <w:rFonts w:ascii="Times New Roman" w:hAnsi="Times New Roman"/>
          <w:b w:val="false"/>
          <w:i w:val="false"/>
          <w:color w:val="000000"/>
          <w:sz w:val="22"/>
        </w:rPr>
        <w:t xml:space="preserve"> Rooms and closets containing appliances shall be provided with a door and an unobstructed passageway measuring not less than 36 inches wide and 80 inches high. A level service space not less than 30 inches deep and 30 inches wide shall be present at the front service side of the appliance with the door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val="false"/>
          <w:color w:val="000000"/>
          <w:sz w:val="22"/>
        </w:rPr>
        <w:t>Amend Section 306.5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Adding the following to the end of the section: “If the tenants of a multiple tenant building have, or are allowed to have, mechanical facilities on the roof or which penetrate the roof, then roof access ladders must be provided for use by all such tenants and their agents and contractors in a manner that does not require accessing space under the control of another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Deleting the following: “Exception: This section shall not apply to Group R-3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Adopting new Section 306.5.3 as follows:</w:t>
      </w:r>
    </w:p>
    <w:p>
      <w:pPr>
        <w:spacing w:before="0" w:after="0"/>
        <w:ind w:left="120"/>
        <w:jc w:val="both"/>
      </w:pPr>
      <w:r>
        <w:rPr>
          <w:rFonts w:ascii="Times New Roman" w:hAnsi="Times New Roman"/>
          <w:b/>
          <w:i w:val="false"/>
          <w:color w:val="000000"/>
          <w:sz w:val="22"/>
        </w:rPr>
        <w:t>306.5.3 Visual screening of rooftop equipment.</w:t>
      </w:r>
      <w:r>
        <w:rPr>
          <w:rFonts w:ascii="Times New Roman" w:hAnsi="Times New Roman"/>
          <w:b w:val="false"/>
          <w:i w:val="false"/>
          <w:color w:val="000000"/>
          <w:sz w:val="22"/>
        </w:rPr>
        <w:t xml:space="preserve"> Equipment screening shall not be installed to the rooftop unit or the curb of the rooftop unit unless specified in the mechanical equipment manufacturer’s installation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61.3(7)</w:t>
      </w:r>
      <w:r>
        <w:rPr>
          <w:rFonts w:ascii="Times New Roman" w:hAnsi="Times New Roman"/>
          <w:b w:val="false"/>
          <w:i w:val="false"/>
          <w:color w:val="000000"/>
          <w:sz w:val="22"/>
        </w:rPr>
        <w:t> </w:t>
      </w:r>
      <w:r>
        <w:rPr>
          <w:rFonts w:ascii="Times New Roman" w:hAnsi="Times New Roman"/>
          <w:b w:val="false"/>
          <w:i w:val="false"/>
          <w:color w:val="000000"/>
          <w:sz w:val="22"/>
        </w:rPr>
        <w:t>Delete Section 401.1 and insert in lieu thereof the following new section:</w:t>
      </w:r>
    </w:p>
    <w:p>
      <w:pPr>
        <w:spacing w:before="0" w:after="0"/>
        <w:ind w:left="120"/>
        <w:jc w:val="both"/>
      </w:pPr>
      <w:r>
        <w:rPr>
          <w:rFonts w:ascii="Times New Roman" w:hAnsi="Times New Roman"/>
          <w:b/>
          <w:i w:val="false"/>
          <w:color w:val="000000"/>
          <w:sz w:val="22"/>
        </w:rPr>
        <w:t>401.1 Scope.</w:t>
      </w:r>
      <w:r>
        <w:rPr>
          <w:rFonts w:ascii="Times New Roman" w:hAnsi="Times New Roman"/>
          <w:b w:val="false"/>
          <w:i w:val="false"/>
          <w:color w:val="000000"/>
          <w:sz w:val="22"/>
        </w:rPr>
        <w:t xml:space="preserve"> This chapter shall govern the ventilation of spaces within a building intended to be occupied. These buildings shall meet either the requirements of ASHRAE Standard 62.1, “Ventilation for Acceptable Indoor Air Quality,” 2019 edition, published by the American Society of Heating, Refrigeration, and Air-Conditioning Engineers, 1791 Tullie Circle N.E., Atlanta, GA 30329, or the requirements contained in this chapter. Mechanical exhaust systems, including exhaust systems serving clothes dryers and cooking appliances; hazardous exhaust systems; dust, stock, and refuse conveyor systems; subslab soil exhaust systems; smoke control systems; energy recovery ventilation systems; and other systems specified in Section 502 shall comply with Chapter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61.3(8)</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“i” related to the gym, stadium, arena (play area) category of the sports and amusement occupancy classification in Table 403.3.1.1, Minimum Ventilation Rates: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When combustion equipment is intended to be used on the playing surface, additional dilution ventilation and/or source control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61.3(9)</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“j” to Table 403.3.1.1 anywhere the term “smoking lounges” appears: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ventilation purposes, “smoking” includes both combustible tobacco products and accessories and electronic smoking devices and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61.3(10)</w:t>
      </w:r>
      <w:r>
        <w:rPr>
          <w:rFonts w:ascii="Times New Roman" w:hAnsi="Times New Roman"/>
          <w:b w:val="false"/>
          <w:i w:val="false"/>
          <w:color w:val="000000"/>
          <w:sz w:val="22"/>
        </w:rPr>
        <w:t> </w:t>
      </w:r>
      <w:r>
        <w:rPr>
          <w:rFonts w:ascii="Times New Roman" w:hAnsi="Times New Roman"/>
          <w:b w:val="false"/>
          <w:i w:val="false"/>
          <w:color w:val="000000"/>
          <w:sz w:val="22"/>
        </w:rPr>
        <w:t>Delete Section 504.8.2 and insert in lieu thereof the following new section:</w:t>
      </w:r>
    </w:p>
    <w:p>
      <w:pPr>
        <w:spacing w:before="0" w:after="0"/>
        <w:ind w:left="120"/>
        <w:jc w:val="both"/>
      </w:pPr>
      <w:r>
        <w:rPr>
          <w:rFonts w:ascii="Times New Roman" w:hAnsi="Times New Roman"/>
          <w:b/>
          <w:i w:val="false"/>
          <w:color w:val="000000"/>
          <w:sz w:val="22"/>
        </w:rPr>
        <w:t>504.8.2 Duct installation.</w:t>
      </w:r>
      <w:r>
        <w:rPr>
          <w:rFonts w:ascii="Times New Roman" w:hAnsi="Times New Roman"/>
          <w:b w:val="false"/>
          <w:i w:val="false"/>
          <w:color w:val="000000"/>
          <w:sz w:val="22"/>
        </w:rPr>
        <w:t xml:space="preserve"> Exhaust ducts shall be supported at 4-foot (1219 mm) intervals and secured in place. The insert end of the duct shall extend into the adjoining duct or fitting in the direction of airflow. Ducts shall not be joined by screws or similar fasteners that protrude into the inside of the 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61.3(11)</w:t>
      </w:r>
      <w:r>
        <w:rPr>
          <w:rFonts w:ascii="Times New Roman" w:hAnsi="Times New Roman"/>
          <w:b w:val="false"/>
          <w:i w:val="false"/>
          <w:color w:val="000000"/>
          <w:sz w:val="22"/>
        </w:rPr>
        <w:t> </w:t>
      </w:r>
      <w:r>
        <w:rPr>
          <w:rFonts w:ascii="Times New Roman" w:hAnsi="Times New Roman"/>
          <w:b w:val="false"/>
          <w:i w:val="false"/>
          <w:color w:val="000000"/>
          <w:sz w:val="22"/>
        </w:rPr>
        <w:t>Delete Subsection 506.3.13.3 and insert in lieu thereof the following new subsection:</w:t>
      </w:r>
    </w:p>
    <w:p>
      <w:pPr>
        <w:spacing w:before="0" w:after="0"/>
        <w:ind w:left="120"/>
        <w:jc w:val="both"/>
      </w:pPr>
      <w:r>
        <w:rPr>
          <w:rFonts w:ascii="Times New Roman" w:hAnsi="Times New Roman"/>
          <w:b/>
          <w:i w:val="false"/>
          <w:color w:val="000000"/>
          <w:sz w:val="22"/>
        </w:rPr>
        <w:t>506.3.13.3 Termination location.</w:t>
      </w:r>
      <w:r>
        <w:rPr>
          <w:rFonts w:ascii="Times New Roman" w:hAnsi="Times New Roman"/>
          <w:b w:val="false"/>
          <w:i w:val="false"/>
          <w:color w:val="000000"/>
          <w:sz w:val="22"/>
        </w:rPr>
        <w:t xml:space="preserve"> Exhaust outlets shall be located not less than 10 feet (3048 mm) horizontally from parts of the same or contiguous buildings, adjacent buildings and adjacent property lines and shall be located not less than 10 feet (3048 mm) above the adjoining grade level. Exhaust outlets shall be located not less than 20 feet horizontally/vertically from or not less than 5 feet above air intake openings and operable doors and windows into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sentence of Section 507.3 shall be amended to read: “Type II hoods shall be installed above dishwashers capable of heating water beyond 140 degrees Fahrenheit and appliances that produce heat or moisture and do not produce grease or smoke as a result of the cooking process, except where the heat and moisture loads from such appliances are incorporated into the HVAC system design or into the design of a separate removal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61.3(13)</w:t>
      </w:r>
      <w:r>
        <w:rPr>
          <w:rFonts w:ascii="Times New Roman" w:hAnsi="Times New Roman"/>
          <w:b w:val="false"/>
          <w:i w:val="false"/>
          <w:color w:val="000000"/>
          <w:sz w:val="22"/>
        </w:rPr>
        <w:t> </w:t>
      </w:r>
      <w:r>
        <w:rPr>
          <w:rFonts w:ascii="Times New Roman" w:hAnsi="Times New Roman"/>
          <w:b w:val="false"/>
          <w:i w:val="false"/>
          <w:color w:val="000000"/>
          <w:sz w:val="22"/>
        </w:rPr>
        <w:t>Delete Section 508.1.1 and insert in lieu thereof the following new section:</w:t>
      </w:r>
    </w:p>
    <w:p>
      <w:pPr>
        <w:spacing w:before="0" w:after="0"/>
        <w:ind w:left="120"/>
        <w:jc w:val="both"/>
      </w:pPr>
      <w:r>
        <w:rPr>
          <w:rFonts w:ascii="Times New Roman" w:hAnsi="Times New Roman"/>
          <w:b/>
          <w:i w:val="false"/>
          <w:color w:val="000000"/>
          <w:sz w:val="22"/>
        </w:rPr>
        <w:t>508.1.1 Makeup air temperature.</w:t>
      </w:r>
      <w:r>
        <w:rPr>
          <w:rFonts w:ascii="Times New Roman" w:hAnsi="Times New Roman"/>
          <w:b w:val="false"/>
          <w:i w:val="false"/>
          <w:color w:val="000000"/>
          <w:sz w:val="22"/>
        </w:rPr>
        <w:t xml:space="preserve"> All kitchen makeup air systems shall be verified by a certified TAB (testing and balance) contractor to heat makeup air to within 10 degrees of room temperature set point. The TAB contractor shall be certified by NEBB, TABB, or other certifying organization as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61.3(14)</w:t>
      </w:r>
      <w:r>
        <w:rPr>
          <w:rFonts w:ascii="Times New Roman" w:hAnsi="Times New Roman"/>
          <w:b w:val="false"/>
          <w:i w:val="false"/>
          <w:color w:val="000000"/>
          <w:sz w:val="22"/>
        </w:rPr>
        <w:t> </w:t>
      </w:r>
      <w:r>
        <w:rPr>
          <w:rFonts w:ascii="Times New Roman" w:hAnsi="Times New Roman"/>
          <w:b w:val="false"/>
          <w:i w:val="false"/>
          <w:color w:val="000000"/>
          <w:sz w:val="22"/>
        </w:rPr>
        <w:t>Amend Section 601.5 by adopting new paragraph “9” as follows: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Return air openings shall be located at least 18 inches from supply air openings. Air throw shall be directed away from return air openings to reduce short cycling of air. Exception: Factory-made concentric duct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Section 601.5 by adopting new paragraph “10” as follows: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One return air opening per floor is required on a central duct return system per ACCA Manual D, Appendix 8. Return air transfer openings are required on all bedrooms when dedicated return air openings are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61.3(16)</w:t>
      </w:r>
      <w:r>
        <w:rPr>
          <w:rFonts w:ascii="Times New Roman" w:hAnsi="Times New Roman"/>
          <w:b w:val="false"/>
          <w:i w:val="false"/>
          <w:color w:val="000000"/>
          <w:sz w:val="22"/>
        </w:rPr>
        <w:t> </w:t>
      </w:r>
      <w:r>
        <w:rPr>
          <w:rFonts w:ascii="Times New Roman" w:hAnsi="Times New Roman"/>
          <w:b w:val="false"/>
          <w:i w:val="false"/>
          <w:color w:val="000000"/>
          <w:sz w:val="22"/>
        </w:rPr>
        <w:t>Amend Section 603 by adopting new Section 603.1.1 as follows:</w:t>
      </w:r>
    </w:p>
    <w:p>
      <w:pPr>
        <w:spacing w:before="0" w:after="0"/>
        <w:ind w:left="120"/>
        <w:jc w:val="both"/>
      </w:pPr>
      <w:r>
        <w:rPr>
          <w:rFonts w:ascii="Times New Roman" w:hAnsi="Times New Roman"/>
          <w:b/>
          <w:i w:val="false"/>
          <w:color w:val="000000"/>
          <w:sz w:val="22"/>
        </w:rPr>
        <w:t>603.1.1 Duct location.</w:t>
      </w:r>
      <w:r>
        <w:rPr>
          <w:rFonts w:ascii="Times New Roman" w:hAnsi="Times New Roman"/>
          <w:b w:val="false"/>
          <w:i w:val="false"/>
          <w:color w:val="000000"/>
          <w:sz w:val="22"/>
        </w:rPr>
        <w:t xml:space="preserve"> Air plenums and ducts located in floor and wall cavities shall be separated from unconditioned space by construction with insulation to meet energy code requirements. These areas include but are not limited to exterior walls, cantilevered floors, and floors above garages.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61.3(17)</w:t>
      </w:r>
      <w:r>
        <w:rPr>
          <w:rFonts w:ascii="Times New Roman" w:hAnsi="Times New Roman"/>
          <w:b w:val="false"/>
          <w:i w:val="false"/>
          <w:color w:val="000000"/>
          <w:sz w:val="22"/>
        </w:rPr>
        <w:t> </w:t>
      </w:r>
      <w:r>
        <w:rPr>
          <w:rFonts w:ascii="Times New Roman" w:hAnsi="Times New Roman"/>
          <w:b w:val="false"/>
          <w:i w:val="false"/>
          <w:color w:val="000000"/>
          <w:sz w:val="22"/>
        </w:rPr>
        <w:t>Delete Section 604.3 and insert in lieu thereof the following new section:</w:t>
      </w:r>
    </w:p>
    <w:p>
      <w:pPr>
        <w:spacing w:before="0" w:after="0"/>
        <w:ind w:left="120"/>
        <w:jc w:val="both"/>
      </w:pPr>
      <w:r>
        <w:rPr>
          <w:rFonts w:ascii="Times New Roman" w:hAnsi="Times New Roman"/>
          <w:b/>
          <w:i w:val="false"/>
          <w:color w:val="000000"/>
          <w:sz w:val="22"/>
        </w:rPr>
        <w:t>604.3 Coverings and linings.</w:t>
      </w:r>
      <w:r>
        <w:rPr>
          <w:rFonts w:ascii="Times New Roman" w:hAnsi="Times New Roman"/>
          <w:b w:val="false"/>
          <w:i w:val="false"/>
          <w:color w:val="000000"/>
          <w:sz w:val="22"/>
        </w:rPr>
        <w:t xml:space="preserve"> Duct coverings and linings, including adhesives where used, shall have a flame spread index of not more than 25 and a smoke-development index of not more than 50, when tested in accordance with ASTM E84 or UL 723, using the specimen preparation and mounting procedures of ASTM E2231. Duct coverings and linings shall not flame, glow, smolder or smoke when tested in accordance with ASTM C411 at the temperature to which they are exposed in service. The testing temperature shall not fall below 250ºF (121ºC). Coverings and linings shall be listed and labeled. The use of an air gap to meet R-value requirements for duct insulation shall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61.3(18)</w:t>
      </w:r>
      <w:r>
        <w:rPr>
          <w:rFonts w:ascii="Times New Roman" w:hAnsi="Times New Roman"/>
          <w:b w:val="false"/>
          <w:i w:val="false"/>
          <w:color w:val="000000"/>
          <w:sz w:val="22"/>
        </w:rPr>
        <w:t> </w:t>
      </w:r>
      <w:r>
        <w:rPr>
          <w:rFonts w:ascii="Times New Roman" w:hAnsi="Times New Roman"/>
          <w:b w:val="false"/>
          <w:i w:val="false"/>
          <w:color w:val="000000"/>
          <w:sz w:val="22"/>
        </w:rPr>
        <w:t>Amend Subsection 607.6.2.1 by adopting new Subsections 607.6.2.1.3 and 607.6.2.1.4 as follows:</w:t>
      </w:r>
    </w:p>
    <w:p>
      <w:pPr>
        <w:spacing w:before="0" w:after="0"/>
        <w:ind w:left="120"/>
        <w:jc w:val="both"/>
      </w:pPr>
      <w:r>
        <w:rPr>
          <w:rFonts w:ascii="Times New Roman" w:hAnsi="Times New Roman"/>
          <w:b/>
          <w:i w:val="false"/>
          <w:color w:val="000000"/>
          <w:sz w:val="22"/>
        </w:rPr>
        <w:t>607.6.2.1.3</w:t>
      </w:r>
      <w:r>
        <w:rPr>
          <w:rFonts w:ascii="Times New Roman" w:hAnsi="Times New Roman"/>
          <w:b w:val="false"/>
          <w:i w:val="false"/>
          <w:color w:val="000000"/>
          <w:sz w:val="22"/>
        </w:rPr>
        <w:t xml:space="preserve"> Access ceiling radiation dampers shall be provided with an approved means of access that is large enough to permit inspection and maintenance of the damper and its operating parts. Dampers equipped with fusible links, internal operators for both shall be provided with either an access door that is not less than 12 inches (305mm) square, or a removable duct section.</w:t>
      </w:r>
    </w:p>
    <w:p>
      <w:pPr>
        <w:spacing w:before="0" w:after="0"/>
        <w:ind w:left="120"/>
        <w:jc w:val="both"/>
      </w:pPr>
      <w:r>
        <w:rPr>
          <w:rFonts w:ascii="Times New Roman" w:hAnsi="Times New Roman"/>
          <w:b/>
          <w:i w:val="false"/>
          <w:color w:val="000000"/>
          <w:sz w:val="22"/>
        </w:rPr>
        <w:t>607.6.2.1.4</w:t>
      </w:r>
      <w:r>
        <w:rPr>
          <w:rFonts w:ascii="Times New Roman" w:hAnsi="Times New Roman"/>
          <w:b w:val="false"/>
          <w:i w:val="false"/>
          <w:color w:val="000000"/>
          <w:sz w:val="22"/>
        </w:rPr>
        <w:t xml:space="preserve"> Identification ceiling radiation damper locations and access points shall be permanently identified on the exterior by a label or marking acceptable to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Plumbing Code” and insert in lieu thereof “state plumbing code.”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641—61.4</w:t>
      </w:r>
      <w:r>
        <w:rPr>
          <w:rFonts w:ascii="Times New Roman" w:hAnsi="Times New Roman"/>
          <w:b/>
          <w:i w:val="false"/>
          <w:color w:val="000000"/>
          <w:sz w:val="22"/>
        </w:rPr>
        <w:t xml:space="preserve">(105) </w:t>
      </w:r>
      <w:r>
        <w:rPr>
          <w:rFonts w:ascii="Times New Roman" w:hAnsi="Times New Roman"/>
          <w:b/>
          <w:i w:val="false"/>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that is required to meet the provisions of the state mechanical code shall be deemed to be in compliance with the fire safety requirements of the state mechanical code if the hospital is in compliance with the provisions of rule </w:t>
      </w:r>
      <w:hyperlink r:id="rId9">
        <w:r>
          <w:rPr>
            <w:rStyle w:val="Hyperlink"/>
            <w:rFonts w:ascii="Times New Roman" w:hAnsi="Times New Roman"/>
            <w:b w:val="false"/>
            <w:i w:val="false"/>
            <w:color w:val="000000"/>
            <w:sz w:val="22"/>
          </w:rPr>
          <w:t>661—205.5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hospital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that is required to meet the provisions of the state mechanical code shall be deemed to be in compliance with the fire safety requirements of the state mechanical code if the nursing facility or hospice is in compliance with the provisions of rule </w:t>
      </w:r>
      <w:hyperlink r:id="rId10">
        <w:r>
          <w:rPr>
            <w:rStyle w:val="Hyperlink"/>
            <w:rFonts w:ascii="Times New Roman" w:hAnsi="Times New Roman"/>
            <w:b w:val="false"/>
            <w:i w:val="false"/>
            <w:color w:val="000000"/>
            <w:sz w:val="22"/>
          </w:rPr>
          <w:t>661—205.10</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nursing facility or hospice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or intermediate care facility for persons with mental illness that is required to meet the provisions of the state mechanical code shall be deemed to be in compliance with the fire safety requirements of the state mechanical code if the intermediate care facility is in compliance with the provisions of rule </w:t>
      </w:r>
      <w:hyperlink r:id="rId11">
        <w:r>
          <w:rPr>
            <w:rStyle w:val="Hyperlink"/>
            <w:rFonts w:ascii="Times New Roman" w:hAnsi="Times New Roman"/>
            <w:b w:val="false"/>
            <w:i w:val="false"/>
            <w:color w:val="000000"/>
            <w:sz w:val="22"/>
          </w:rPr>
          <w:t>661—205.15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intermediate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health care facility that is required to meet the provisions of the state mechanical code shall be deemed to be in compliance with the fire safety requirements of the state mechanical code if the ambulatory health care facility is in compliance with the provisions of rule </w:t>
      </w:r>
      <w:hyperlink r:id="rId12">
        <w:r>
          <w:rPr>
            <w:rStyle w:val="Hyperlink"/>
            <w:rFonts w:ascii="Times New Roman" w:hAnsi="Times New Roman"/>
            <w:b w:val="false"/>
            <w:i w:val="false"/>
            <w:color w:val="000000"/>
            <w:sz w:val="22"/>
          </w:rPr>
          <w:t>661—205.20</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ambulatory health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mechanical code shall be deemed to be in compliance with the provisions of the state mechanical code if the institution is in compliance with the provisions of rule </w:t>
      </w:r>
      <w:hyperlink r:id="rId13">
        <w:r>
          <w:rPr>
            <w:rStyle w:val="Hyperlink"/>
            <w:rFonts w:ascii="Times New Roman" w:hAnsi="Times New Roman"/>
            <w:b w:val="false"/>
            <w:i w:val="false"/>
            <w:color w:val="000000"/>
            <w:sz w:val="22"/>
          </w:rPr>
          <w:t>661—205.25</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religious nonmedical health care institution shall be deemed to be in compliance with the state mechanical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641—61.5</w:t>
      </w:r>
      <w:r>
        <w:rPr>
          <w:rFonts w:ascii="Times New Roman" w:hAnsi="Times New Roman"/>
          <w:b/>
          <w:i w:val="false"/>
          <w:color w:val="000000"/>
          <w:sz w:val="22"/>
        </w:rPr>
        <w:t xml:space="preserve">(105)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Any state or local jurisdiction retaining authority to perform inspections of mechanical installations in the state of Iowa shall retain initial interpretive authority over the state mechanical code and may implement an appeals process with respect to such interpretation. Ultimate appeal of any initial interpretation may be made to the plumbing and mechanical systems board by the filing of a petition for declaratory order pursuant to rule </w:t>
      </w:r>
      <w:hyperlink r:id="rId14">
        <w:r>
          <w:rPr>
            <w:rStyle w:val="Hyperlink"/>
            <w:rFonts w:ascii="Times New Roman" w:hAnsi="Times New Roman"/>
            <w:b w:val="false"/>
            <w:i w:val="false"/>
            <w:color w:val="000000"/>
            <w:sz w:val="22"/>
          </w:rPr>
          <w:t>641—57.1</w:t>
        </w:r>
      </w:hyperlink>
      <w:r>
        <w:rPr>
          <w:rFonts w:ascii="Times New Roman" w:hAnsi="Times New Roman"/>
          <w:b w:val="false"/>
          <w:i w:val="false"/>
          <w:color w:val="000000"/>
          <w:sz w:val="22"/>
        </w:rPr>
        <w:t xml:space="preserve">(17A) or the filing of a petition for waiver pursuant to </w:t>
      </w:r>
      <w:hyperlink r:id="rId15">
        <w:r>
          <w:rPr>
            <w:rStyle w:val="Hyperlink"/>
            <w:rFonts w:ascii="Times New Roman" w:hAnsi="Times New Roman"/>
            <w:b w:val="false"/>
            <w:i w:val="false"/>
            <w:color w:val="000000"/>
            <w:sz w:val="22"/>
          </w:rPr>
          <w:t>641—Chapter 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1494C</w:t>
      </w:r>
      <w:r>
        <w:rPr>
          <w:rFonts w:ascii="Times New Roman" w:hAnsi="Times New Roman"/>
          <w:b w:val="false"/>
          <w:i w:val="false"/>
          <w:color w:val="000000"/>
          <w:sz w:val="21"/>
        </w:rPr>
        <w:t xml:space="preserve"> (Notice ARC 1364C, IAB 3/5/14)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2473C</w:t>
      </w:r>
      <w:r>
        <w:rPr>
          <w:rFonts w:ascii="Times New Roman" w:hAnsi="Times New Roman"/>
          <w:b w:val="false"/>
          <w:i w:val="false"/>
          <w:color w:val="000000"/>
          <w:sz w:val="21"/>
        </w:rPr>
        <w:t xml:space="preserve"> (Notice ARC 2274C, IAB 12/9/15)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ARC 4613C</w:t>
      </w:r>
      <w:r>
        <w:rPr>
          <w:rFonts w:ascii="Times New Roman" w:hAnsi="Times New Roman"/>
          <w:b w:val="false"/>
          <w:i w:val="false"/>
          <w:color w:val="000000"/>
          <w:sz w:val="21"/>
        </w:rPr>
        <w:t xml:space="preserve"> (Notice ARC 4448C,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5627C</w:t>
      </w:r>
      <w:r>
        <w:rPr>
          <w:rFonts w:ascii="Times New Roman" w:hAnsi="Times New Roman"/>
          <w:b w:val="false"/>
          <w:i w:val="false"/>
          <w:color w:val="000000"/>
          <w:sz w:val="21"/>
        </w:rPr>
        <w:t xml:space="preserve"> (Notice ARC 5476C, IAB 2/24/21)</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J.2.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135C.2.pdf" Type="http://schemas.openxmlformats.org/officeDocument/2006/relationships/hyperlink" Id="rId7"/>
    <Relationship TargetMode="External" Target="https://www.legis.iowa.gov/docs/ico/chapter/135C.6.pdf" Type="http://schemas.openxmlformats.org/officeDocument/2006/relationships/hyperlink" Id="rId8"/>
    <Relationship TargetMode="External" Target="https://www.legis.iowa.gov/docs/iac/rule/661.205.5.pdf" Type="http://schemas.openxmlformats.org/officeDocument/2006/relationships/hyperlink" Id="rId9"/>
    <Relationship TargetMode="External" Target="https://www.legis.iowa.gov/docs/iac/rule/661.205.10.pdf" Type="http://schemas.openxmlformats.org/officeDocument/2006/relationships/hyperlink" Id="rId10"/>
    <Relationship TargetMode="External" Target="https://www.legis.iowa.gov/docs/iac/rule/661.205.15.pdf" Type="http://schemas.openxmlformats.org/officeDocument/2006/relationships/hyperlink" Id="rId11"/>
    <Relationship TargetMode="External" Target="https://www.legis.iowa.gov/docs/iac/rule/661.205.20.pdf" Type="http://schemas.openxmlformats.org/officeDocument/2006/relationships/hyperlink" Id="rId12"/>
    <Relationship TargetMode="External" Target="https://www.legis.iowa.gov/docs/iac/rule/661.205.25.pdf" Type="http://schemas.openxmlformats.org/officeDocument/2006/relationships/hyperlink" Id="rId13"/>
    <Relationship TargetMode="External" Target="https://www.legis.iowa.gov/docs/iac/rule/641.57.1.pdf" Type="http://schemas.openxmlformats.org/officeDocument/2006/relationships/hyperlink" Id="rId14"/>
    <Relationship TargetMode="External" Target="https://www.legis.iowa.gov/docs/iac/chapter/641.31.pdf" Type="http://schemas.openxmlformats.org/officeDocument/2006/relationships/hyperlink" Id="rId15"/>
    <Relationship TargetMode="External" Target="https://www.legis.iowa.gov/docs/ico/chapter/105.4.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