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34</w:t>
      </w:r>
    </w:p>
    <w:p>
      <w:pPr>
        <w:spacing w:before="0" w:after="0"/>
        <w:ind w:left="120"/>
        <w:jc w:val="center"/>
      </w:pPr>
      <w:r>
        <w:rPr>
          <w:rFonts w:ascii="Times New Roman" w:hAnsi="Times New Roman"/>
          <w:b w:val="false"/>
          <w:i w:val="false"/>
          <w:color w:val="000000"/>
          <w:sz w:val="21"/>
        </w:rPr>
        <w:t>PLUMBING AND MECHANICAL SYSTEMS BOARD—COMPLAINTS AND INVESTIGATIONS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641—34.1</w:t>
      </w:r>
      <w:r>
        <w:rPr>
          <w:rFonts w:ascii="Times New Roman" w:hAnsi="Times New Roman"/>
          <w:b/>
          <w:i w:val="false"/>
          <w:color w:val="000000"/>
          <w:sz w:val="22"/>
        </w:rPr>
        <w:t xml:space="preserve">(272C)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34.1(1)</w:t>
      </w:r>
      <w:r>
        <w:rPr>
          <w:rFonts w:ascii="Times New Roman" w:hAnsi="Times New Roman"/>
          <w:b w:val="false"/>
          <w:i w:val="false"/>
          <w:color w:val="000000"/>
          <w:sz w:val="22"/>
        </w:rPr>
        <w:t> </w:t>
      </w:r>
      <w:r>
        <w:rPr>
          <w:rFonts w:ascii="Times New Roman" w:hAnsi="Times New Roman"/>
          <w:b w:val="false"/>
          <w:i w:val="false"/>
          <w:color w:val="000000"/>
          <w:sz w:val="22"/>
        </w:rPr>
        <w:t>Complaints can be submitted online, in writing, or verbally and should include the name and contact information of the complainant, the name of the licensee, and a concise statement of the allegations against the licensee. A complaint may also be initiated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not civilly liable for filing a complaint in good faith with the board, or for cooperating with a board investigation per Iowa Code section </w:t>
      </w:r>
      <w:hyperlink r:id="rId5">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641—34.2</w:t>
      </w:r>
      <w:r>
        <w:rPr>
          <w:rFonts w:ascii="Times New Roman" w:hAnsi="Times New Roman"/>
          <w:b/>
          <w:i w:val="false"/>
          <w:color w:val="000000"/>
          <w:sz w:val="22"/>
        </w:rPr>
        <w:t xml:space="preserve">(272C) </w:t>
      </w:r>
      <w:r>
        <w:rPr>
          <w:rFonts w:ascii="Times New Roman" w:hAnsi="Times New Roman"/>
          <w:b/>
          <w:i w:val="false"/>
          <w:color w:val="000000"/>
          <w:sz w:val="22"/>
        </w:rPr>
        <w:t xml:space="preserve">Report of malpractice claims or actions or disciplinary actions. </w:t>
      </w:r>
      <w:r>
        <w:rPr>
          <w:rFonts w:ascii="Times New Roman" w:hAnsi="Times New Roman"/>
          <w:b w:val="false"/>
          <w:i w:val="false"/>
          <w:color w:val="000000"/>
          <w:sz w:val="22"/>
        </w:rPr>
        <w:t>The licensee will submit any judgment or settlement in a malpractice claim or any disciplinary action taken by another licensing authority in another state or jurisdiction to the board within 30 days of the date of occurrence.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641—34.3</w:t>
      </w:r>
      <w:r>
        <w:rPr>
          <w:rFonts w:ascii="Times New Roman" w:hAnsi="Times New Roman"/>
          <w:b/>
          <w:i w:val="false"/>
          <w:color w:val="000000"/>
          <w:sz w:val="22"/>
        </w:rPr>
        <w:t xml:space="preserve">(272C) </w:t>
      </w:r>
      <w:r>
        <w:rPr>
          <w:rFonts w:ascii="Times New Roman" w:hAnsi="Times New Roman"/>
          <w:b/>
          <w:i w:val="false"/>
          <w:color w:val="000000"/>
          <w:sz w:val="22"/>
        </w:rPr>
        <w:t xml:space="preserve">Report of acts or omissions. </w:t>
      </w:r>
      <w:r>
        <w:rPr>
          <w:rFonts w:ascii="Times New Roman" w:hAnsi="Times New Roman"/>
          <w:b w:val="false"/>
          <w:i w:val="false"/>
          <w:color w:val="000000"/>
          <w:sz w:val="22"/>
        </w:rPr>
        <w:t>A licensee having knowledge of rules violations committed by another licensee will file a report to the board. The report will include the name and contact information of the licensee and the date, time, and place of the incident.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641—34.4</w:t>
      </w:r>
      <w:r>
        <w:rPr>
          <w:rFonts w:ascii="Times New Roman" w:hAnsi="Times New Roman"/>
          <w:b/>
          <w:i w:val="false"/>
          <w:color w:val="000000"/>
          <w:sz w:val="22"/>
        </w:rPr>
        <w:t xml:space="preserve">(272C) </w:t>
      </w:r>
      <w:r>
        <w:rPr>
          <w:rFonts w:ascii="Times New Roman" w:hAnsi="Times New Roman"/>
          <w:b/>
          <w:i w:val="false"/>
          <w:color w:val="000000"/>
          <w:sz w:val="22"/>
        </w:rPr>
        <w:t xml:space="preserve">Investigation of complaints or reports. </w:t>
      </w:r>
      <w:r>
        <w:rPr>
          <w:rFonts w:ascii="Times New Roman" w:hAnsi="Times New Roman"/>
          <w:b w:val="false"/>
          <w:i w:val="false"/>
          <w:color w:val="000000"/>
          <w:sz w:val="22"/>
        </w:rPr>
        <w:t>Board staff may request additional information, solicit a response from the licensee, subpoena records, conduct interviews, gather evidence, and perform other investigatory duties as necessary to inform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641—34.5</w:t>
      </w:r>
      <w:r>
        <w:rPr>
          <w:rFonts w:ascii="Times New Roman" w:hAnsi="Times New Roman"/>
          <w:b/>
          <w:i w:val="false"/>
          <w:color w:val="000000"/>
          <w:sz w:val="22"/>
        </w:rPr>
        <w:t xml:space="preserve">(17A,272C) </w:t>
      </w:r>
      <w:r>
        <w:rPr>
          <w:rFonts w:ascii="Times New Roman" w:hAnsi="Times New Roman"/>
          <w:b/>
          <w:i w:val="false"/>
          <w:color w:val="000000"/>
          <w:sz w:val="22"/>
        </w:rPr>
        <w:t xml:space="preserve">Issuance of investigatory 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34.5(1)</w:t>
      </w:r>
      <w:r>
        <w:rPr>
          <w:rFonts w:ascii="Times New Roman" w:hAnsi="Times New Roman"/>
          <w:b w:val="false"/>
          <w:i w:val="false"/>
          <w:color w:val="000000"/>
          <w:sz w:val="22"/>
        </w:rPr>
        <w:t> </w:t>
      </w:r>
      <w:r>
        <w:rPr>
          <w:rFonts w:ascii="Times New Roman" w:hAnsi="Times New Roman"/>
          <w:b w:val="false"/>
          <w:i w:val="false"/>
          <w:color w:val="000000"/>
          <w:sz w:val="22"/>
        </w:rPr>
        <w:t>The board executive officer or designee may, upon the written request of a board investigator or on the executive officer’s own initiative, subpoena books, papers, records, and other real evidence that are necessary for the board to decide whether to initiate a contested case proceeding. In the case of a subpoena for mental health records, each of the following conditions shall be satisfied prior to the issuance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complaint reasonably justifies the issuance of a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safeguards have been established to prevent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express statutory mandate, articulated public policy, or other recognizable public interest favors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attempt was made to notify the patient and to secure an authorization from the patient for release of the records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34.5(2)</w:t>
      </w:r>
      <w:r>
        <w:rPr>
          <w:rFonts w:ascii="Times New Roman" w:hAnsi="Times New Roman"/>
          <w:b w:val="false"/>
          <w:i w:val="false"/>
          <w:color w:val="000000"/>
          <w:sz w:val="22"/>
        </w:rPr>
        <w:t> </w:t>
      </w:r>
      <w:r>
        <w:rPr>
          <w:rFonts w:ascii="Times New Roman" w:hAnsi="Times New Roman"/>
          <w:b w:val="false"/>
          <w:i w:val="false"/>
          <w:color w:val="000000"/>
          <w:sz w:val="22"/>
        </w:rPr>
        <w:t>Each subpoena will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deadline for filing a motion to quash or modify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board executive officer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34.5(3)</w:t>
      </w:r>
      <w:r>
        <w:rPr>
          <w:rFonts w:ascii="Times New Roman" w:hAnsi="Times New Roman"/>
          <w:b w:val="false"/>
          <w:i w:val="false"/>
          <w:color w:val="000000"/>
          <w:sz w:val="22"/>
        </w:rPr>
        <w:t> </w:t>
      </w:r>
      <w:r>
        <w:rPr>
          <w:rFonts w:ascii="Times New Roman" w:hAnsi="Times New Roman"/>
          <w:b w:val="false"/>
          <w:i w:val="false"/>
          <w:color w:val="000000"/>
          <w:sz w:val="22"/>
        </w:rPr>
        <w:t>A person can challenge the subpoena by filing a motion to quash describing the legal justification for the motion within 14 days after service of the subpoena, or before the time specified for compliance if such time is less than 14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34.5(4)</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an administrative law judge will issue a decision. The administrative law judge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34.5(5)</w:t>
      </w:r>
      <w:r>
        <w:rPr>
          <w:rFonts w:ascii="Times New Roman" w:hAnsi="Times New Roman"/>
          <w:b w:val="false"/>
          <w:i w:val="false"/>
          <w:color w:val="000000"/>
          <w:sz w:val="22"/>
        </w:rPr>
        <w:t> </w:t>
      </w:r>
      <w:r>
        <w:rPr>
          <w:rFonts w:ascii="Times New Roman" w:hAnsi="Times New Roman"/>
          <w:b w:val="false"/>
          <w:i w:val="false"/>
          <w:color w:val="000000"/>
          <w:sz w:val="22"/>
        </w:rPr>
        <w:t>A person who is aggrieved by a ruling of an administrative law judge and who desires to challenge that ruling must appeal the ruling to the board by serving the board executive officer, either in person, by email, or by certified mail, a notice of appeal within ten days after service of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34.5(6)</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person under investigation, the board’s decision is final for purposes of judicial review. If the person contesting the subpoena is the person under investigation, the board’s decision is not final for purposes of judicial review until either (1) the person is notified the investigation has been concluded with no formal action, or (2)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641—34.6</w:t>
      </w:r>
      <w:r>
        <w:rPr>
          <w:rFonts w:ascii="Times New Roman" w:hAnsi="Times New Roman"/>
          <w:b/>
          <w:i w:val="false"/>
          <w:color w:val="000000"/>
          <w:sz w:val="22"/>
        </w:rPr>
        <w:t xml:space="preserve">(272C) </w:t>
      </w:r>
      <w:r>
        <w:rPr>
          <w:rFonts w:ascii="Times New Roman" w:hAnsi="Times New Roman"/>
          <w:b/>
          <w:i w:val="false"/>
          <w:color w:val="000000"/>
          <w:sz w:val="22"/>
        </w:rPr>
        <w:t xml:space="preserve">Peer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34.6(1)</w:t>
      </w:r>
      <w:r>
        <w:rPr>
          <w:rFonts w:ascii="Times New Roman" w:hAnsi="Times New Roman"/>
          <w:b w:val="false"/>
          <w:i w:val="false"/>
          <w:color w:val="000000"/>
          <w:sz w:val="22"/>
        </w:rPr>
        <w:t> </w:t>
      </w:r>
      <w:r>
        <w:rPr>
          <w:rFonts w:ascii="Times New Roman" w:hAnsi="Times New Roman"/>
          <w:b w:val="false"/>
          <w:i w:val="false"/>
          <w:color w:val="000000"/>
          <w:sz w:val="22"/>
        </w:rPr>
        <w:t>A complaint may be assigned to a peer reviewer for review and report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34.6(2)</w:t>
      </w:r>
      <w:r>
        <w:rPr>
          <w:rFonts w:ascii="Times New Roman" w:hAnsi="Times New Roman"/>
          <w:b w:val="false"/>
          <w:i w:val="false"/>
          <w:color w:val="000000"/>
          <w:sz w:val="22"/>
        </w:rPr>
        <w:t> </w:t>
      </w:r>
      <w:r>
        <w:rPr>
          <w:rFonts w:ascii="Times New Roman" w:hAnsi="Times New Roman"/>
          <w:b w:val="false"/>
          <w:i w:val="false"/>
          <w:color w:val="000000"/>
          <w:sz w:val="22"/>
        </w:rPr>
        <w:t>The board determines what complaints or other matters are referred to a peer reviewer.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34.6(3)</w:t>
      </w:r>
      <w:r>
        <w:rPr>
          <w:rFonts w:ascii="Times New Roman" w:hAnsi="Times New Roman"/>
          <w:b w:val="false"/>
          <w:i w:val="false"/>
          <w:color w:val="000000"/>
          <w:sz w:val="22"/>
        </w:rPr>
        <w:t> </w:t>
      </w:r>
      <w:r>
        <w:rPr>
          <w:rFonts w:ascii="Times New Roman" w:hAnsi="Times New Roman"/>
          <w:b w:val="false"/>
          <w:i w:val="false"/>
          <w:color w:val="000000"/>
          <w:sz w:val="22"/>
        </w:rPr>
        <w:t xml:space="preserve">Peer reviewers are not liable for acts, omissions, or decisions made in connection with service made in good faith.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peer reviewer shall maintain confidentiality pursuant to Iowa Code section </w:t>
      </w:r>
      <w:hyperlink r:id="rId6">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641—34.7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Appearance. </w:t>
      </w:r>
      <w:r>
        <w:rPr>
          <w:rFonts w:ascii="Times New Roman" w:hAnsi="Times New Roman"/>
          <w:b w:val="false"/>
          <w:i w:val="false"/>
          <w:color w:val="000000"/>
          <w:sz w:val="22"/>
        </w:rPr>
        <w:t>The board may request that a licensee appear before a committee of the board to discuss a pending investigation. By electing to participate in the committee appearance, the licensee waives any objection to a board member both participating in the appearance and later participating as a decision maker in a contested case proceeding. By electing to participate in the committee appearance, the licensee further waives any objection to the board executive officer assisting the board in the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8532B</w:t>
      </w:r>
      <w:r>
        <w:rPr>
          <w:rFonts w:ascii="Times New Roman" w:hAnsi="Times New Roman"/>
          <w:b w:val="false"/>
          <w:i w:val="false"/>
          <w:color w:val="000000"/>
          <w:sz w:val="21"/>
        </w:rPr>
        <w:t xml:space="preserve"> (Notice ARC 8364B, IAB 12/2/09)</w:t>
      </w:r>
      <w:r>
        <w:rPr>
          <w:rFonts w:ascii="Times New Roman" w:hAnsi="Times New Roman"/>
          <w:b w:val="false"/>
          <w:i w:val="false"/>
          <w:color w:val="000000"/>
          <w:sz w:val="21"/>
        </w:rPr>
        <w:t>, IAB 2/24/10, effective 1/26/10]</w:t>
      </w:r>
    </w:p>
    <w:p>
      <w:pPr>
        <w:spacing w:before="0" w:after="0"/>
        <w:ind w:left="120"/>
        <w:jc w:val="center"/>
      </w:pPr>
      <w:r>
        <w:rPr>
          <w:rFonts w:ascii="Times New Roman" w:hAnsi="Times New Roman"/>
          <w:b w:val="false"/>
          <w:i w:val="false"/>
          <w:color w:val="000000"/>
          <w:sz w:val="21"/>
        </w:rPr>
        <w:t>[Filed ARC 8000C</w:t>
      </w:r>
      <w:r>
        <w:rPr>
          <w:rFonts w:ascii="Times New Roman" w:hAnsi="Times New Roman"/>
          <w:b w:val="false"/>
          <w:i w:val="false"/>
          <w:color w:val="000000"/>
          <w:sz w:val="21"/>
        </w:rPr>
        <w:t xml:space="preserve"> (Notice ARC 7320C, IAB 1/10/24)</w:t>
      </w:r>
      <w:r>
        <w:rPr>
          <w:rFonts w:ascii="Times New Roman" w:hAnsi="Times New Roman"/>
          <w:b w:val="false"/>
          <w:i w:val="false"/>
          <w:color w:val="000000"/>
          <w:sz w:val="21"/>
        </w:rPr>
        <w:t>, IAB 5/15/24, effective 6/19/24]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8.pdf" Type="http://schemas.openxmlformats.org/officeDocument/2006/relationships/hyperlink" Id="rId5"/>
    <Relationship TargetMode="External" Target="https://www.legis.iowa.gov/docs/ico/chapter/272C.6.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105.pdf" Type="http://schemas.openxmlformats.org/officeDocument/2006/relationships/hyperlink" Id="rId8"/>
    <Relationship TargetMode="External" Target="https://www.legis.iowa.gov/docs/ico/chapter/272C.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