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PLUMBING AND MECHANICAL SYSTEMS BOARD—CONTESTED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641—33.1</w:t>
      </w:r>
      <w:r>
        <w:rPr>
          <w:rFonts w:ascii="Times New Roman" w:hAnsi="Times New Roman"/>
          <w:b/>
          <w:i w:val="false"/>
          <w:color w:val="000000"/>
          <w:sz w:val="22"/>
        </w:rPr>
        <w:t xml:space="preserve">(17A,105,272C)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plumbing and mechanical systems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641—33.2</w:t>
      </w:r>
      <w:r>
        <w:rPr>
          <w:rFonts w:ascii="Times New Roman" w:hAnsi="Times New Roman"/>
          <w:b/>
          <w:i w:val="false"/>
          <w:color w:val="000000"/>
          <w:sz w:val="22"/>
        </w:rPr>
        <w:t xml:space="preserve">(17A,105,272C)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plumbing and mechanical systems board as established pursuant to Iowa Code section </w:t>
      </w:r>
      <w:hyperlink r:id="rId5">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officer” </w:t>
      </w:r>
      <w:r>
        <w:rPr>
          <w:rFonts w:ascii="Times New Roman" w:hAnsi="Times New Roman"/>
          <w:b w:val="false"/>
          <w:i w:val="false"/>
          <w:color w:val="000000"/>
          <w:sz w:val="22"/>
        </w:rPr>
        <w:t>means the executive officer for the plumbing and mechanical systems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by rule or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registration, certificate, permit or other form of practice permission required by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the state of Iowa, as represented by the assistant attorney general assigned to prosecute the case on behalf of the public interest, the respondent, or an intervenor.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the board, a panel of board members, or a panel of nonboard member specialists as provided in Iowa Code section </w:t>
      </w:r>
      <w:hyperlink r:id="rId9">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272C.6(2)</w:t>
        </w:r>
      </w:hyperlink>
      <w:r>
        <w:rPr>
          <w:rFonts w:ascii="Times New Roman" w:hAnsi="Times New Roman"/>
          <w:b w:val="false"/>
          <w:i w:val="false"/>
          <w:color w:val="000000"/>
          <w:sz w:val="22"/>
        </w:rPr>
        <w:t xml:space="preserve"> in a disciplinary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will be computed as provided in Iowa Code section </w:t>
      </w:r>
      <w:hyperlink r:id="rId11">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641—33.4</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Probable cause. </w:t>
      </w:r>
      <w:r>
        <w:rPr>
          <w:rFonts w:ascii="Times New Roman" w:hAnsi="Times New Roman"/>
          <w:b w:val="false"/>
          <w:i w:val="false"/>
          <w:color w:val="000000"/>
          <w:sz w:val="22"/>
        </w:rPr>
        <w:t>If the board finds there is probable cause for taking disciplinary action against a licensee, the board will order a contested case hearing commenced by the filing and service of a statement of charges and notice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641—33.5</w:t>
      </w:r>
      <w:r>
        <w:rPr>
          <w:rFonts w:ascii="Times New Roman" w:hAnsi="Times New Roman"/>
          <w:b/>
          <w:i w:val="false"/>
          <w:color w:val="000000"/>
          <w:sz w:val="22"/>
        </w:rPr>
        <w:t xml:space="preserve">(17A,272C)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 xml:space="preserve">The board, its staff or agent, or a board committee may attempt to informally settle a disciplinary case before filing a statement of charges and notice of hearing. If the board and the licensee agree to a settlement of the case, a statement of charges will be filed simultaneously with a consent order, whether as separate or combined documents. By electing to sign a consent order, the licensee waives all rights to a hearing and all attendant rights. The consent order has the force and effect of a final disciplinary order entered in a contested case and is an open record. Matters not involving licensee discipline that culminate in a contested case may also be settled through consent order. Procedures governing settlement after notice of hearing is served are described in rule </w:t>
      </w:r>
      <w:hyperlink r:id="rId12">
        <w:r>
          <w:rPr>
            <w:rStyle w:val="Hyperlink"/>
            <w:rFonts w:ascii="Times New Roman" w:hAnsi="Times New Roman"/>
            <w:b w:val="false"/>
            <w:i w:val="false"/>
            <w:color w:val="000000"/>
            <w:sz w:val="22"/>
          </w:rPr>
          <w:t>641—33.23</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641—33.6</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33.6(1)</w:t>
      </w:r>
      <w:r>
        <w:rPr>
          <w:rFonts w:ascii="Times New Roman" w:hAnsi="Times New Roman"/>
          <w:b w:val="false"/>
          <w:i w:val="false"/>
          <w:color w:val="000000"/>
          <w:sz w:val="22"/>
        </w:rPr>
        <w:t> </w:t>
      </w:r>
      <w:r>
        <w:rPr>
          <w:rFonts w:ascii="Times New Roman" w:hAnsi="Times New Roman"/>
          <w:b w:val="false"/>
          <w:i/>
          <w:color w:val="000000"/>
          <w:sz w:val="22"/>
        </w:rPr>
        <w:t xml:space="preserve">Legal review. </w:t>
      </w:r>
      <w:r>
        <w:rPr>
          <w:rFonts w:ascii="Times New Roman" w:hAnsi="Times New Roman"/>
          <w:b w:val="false"/>
          <w:i w:val="false"/>
          <w:color w:val="000000"/>
          <w:sz w:val="22"/>
        </w:rPr>
        <w:t>Every statement of charges and notice of hearing prepared by the board will be reviewed by the office of the attorney general before it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33.6(2)</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statement of charges and notice of hearing constitutes the commencement of the contested case proceeding. Delivery may be executed by personal service or publication as provided in the Iowa Rules of Civil Procedure or by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33.6(3)</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statement of charges and notice of hearing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by the board showing that there is probable cause to file the statement of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containing sufficient detail to give the respondent fair notice of the allegations so the respondent may adequately respond to the charges, and to give the public notice of the matters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board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presiding officer as the board, a panel of board members, or a panel of nonboard member specialists as provided in Iowa Code section </w:t>
      </w:r>
      <w:hyperlink r:id="rId13">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272C.6(2)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requiring the respondent to submit an answer pursuant to subrule </w:t>
      </w:r>
      <w:hyperlink r:id="rId15">
        <w:r>
          <w:rPr>
            <w:rStyle w:val="Hyperlink"/>
            <w:rFonts w:ascii="Times New Roman" w:hAnsi="Times New Roman"/>
            <w:b w:val="false"/>
            <w:i w:val="false"/>
            <w:color w:val="000000"/>
            <w:sz w:val="22"/>
          </w:rPr>
          <w:t>33.13(2)</w:t>
        </w:r>
      </w:hyperlink>
      <w:r>
        <w:rPr>
          <w:rFonts w:ascii="Times New Roman" w:hAnsi="Times New Roman"/>
          <w:b w:val="false"/>
          <w:i w:val="false"/>
          <w:color w:val="000000"/>
          <w:sz w:val="22"/>
        </w:rPr>
        <w:t xml:space="preserve"> within 20 days after service of the statement of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641—33.7</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seeking or claiming entitlement to a contested case hearing shall file a written request for such a proceeding within the time specified by the particular rules or statutes governing the subject matter or, in the absence of such law, the time specified in the board action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33.7(1)</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The request for a contested case proceeding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the name and address of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the specific board action that is disputed;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issues of material fact in dispute;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the requester is represented by a lawyer, identify the provisions of law or precedent requiring or authorizing the holding of a contested case proceeding in the particular circumstances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33.7(2)</w:t>
      </w:r>
      <w:r>
        <w:rPr>
          <w:rFonts w:ascii="Times New Roman" w:hAnsi="Times New Roman"/>
          <w:b w:val="false"/>
          <w:i w:val="false"/>
          <w:color w:val="000000"/>
          <w:sz w:val="22"/>
        </w:rPr>
        <w:t> </w:t>
      </w:r>
      <w:r>
        <w:rPr>
          <w:rFonts w:ascii="Times New Roman" w:hAnsi="Times New Roman"/>
          <w:b w:val="false"/>
          <w:i/>
          <w:color w:val="000000"/>
          <w:sz w:val="22"/>
        </w:rPr>
        <w:t xml:space="preserve">Board action on request. </w:t>
      </w:r>
      <w:r>
        <w:rPr>
          <w:rFonts w:ascii="Times New Roman" w:hAnsi="Times New Roman"/>
          <w:b w:val="false"/>
          <w:i w:val="false"/>
          <w:color w:val="000000"/>
          <w:sz w:val="22"/>
        </w:rPr>
        <w:t>If the board grants the request, the board will issue a notice of hearing. If the board denies the request, the board will issue a written order specifying the basis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641—33.8</w:t>
      </w:r>
      <w:r>
        <w:rPr>
          <w:rFonts w:ascii="Times New Roman" w:hAnsi="Times New Roman"/>
          <w:b/>
          <w:i w:val="false"/>
          <w:color w:val="000000"/>
          <w:sz w:val="22"/>
        </w:rPr>
        <w:t xml:space="preserve">(105)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Following the filing of a statement of charges and notice of hearing, the office of the attorney general is responsible for the legal representation of the public interest in all proceedings before the board. The assistant attorney general assigned to prosecute a contested case before the board will not represent the board in that case but will represent the public interest. Other parties to a proceeding before the board may have counsel at their own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641—33.9</w:t>
      </w:r>
      <w:r>
        <w:rPr>
          <w:rFonts w:ascii="Times New Roman" w:hAnsi="Times New Roman"/>
          <w:b/>
          <w:i w:val="false"/>
          <w:color w:val="000000"/>
          <w:sz w:val="22"/>
        </w:rPr>
        <w:t xml:space="preserve">(17A,105,272C) </w:t>
      </w:r>
      <w:r>
        <w:rPr>
          <w:rFonts w:ascii="Times New Roman" w:hAnsi="Times New Roman"/>
          <w:b/>
          <w:i w:val="false"/>
          <w:color w:val="000000"/>
          <w:sz w:val="22"/>
        </w:rPr>
        <w:t xml:space="preserve">Presiding officer in a disciplinary contested case. </w:t>
      </w:r>
      <w:r>
        <w:rPr>
          <w:rFonts w:ascii="Times New Roman" w:hAnsi="Times New Roman"/>
          <w:b w:val="false"/>
          <w:i w:val="false"/>
          <w:color w:val="000000"/>
          <w:sz w:val="22"/>
        </w:rPr>
        <w:t xml:space="preserve">The presiding officer in a disciplinary contested case will be the board, a panel of not fewer than three board members who are licensed under Iowa Code chapter </w:t>
      </w:r>
      <w:hyperlink r:id="rId1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or a panel of nonboard member specialists as provided in Iowa Code section </w:t>
      </w:r>
      <w:hyperlink r:id="rId17">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272C.6(2)</w:t>
        </w:r>
      </w:hyperlink>
      <w:r>
        <w:rPr>
          <w:rFonts w:ascii="Times New Roman" w:hAnsi="Times New Roman"/>
          <w:b w:val="false"/>
          <w:i w:val="false"/>
          <w:color w:val="000000"/>
          <w:sz w:val="22"/>
        </w:rPr>
        <w:t xml:space="preserve">. The board or a panel of board members when acting as presiding officer may request that an administrative law judge perform certain functions as an aid to the board or board panel, including ruling on prehearing motions, conducting the prehearing conference, ruling on evidentiary objections at hearing, assisting in deliberation, or drafting the written decision for review by the board or board panel. Decisions of the administrative law judge serving in this capacity are subject to the interlocutory appeal provisions of rule </w:t>
      </w:r>
      <w:hyperlink r:id="rId19">
        <w:r>
          <w:rPr>
            <w:rStyle w:val="Hyperlink"/>
            <w:rFonts w:ascii="Times New Roman" w:hAnsi="Times New Roman"/>
            <w:b w:val="false"/>
            <w:i w:val="false"/>
            <w:color w:val="000000"/>
            <w:sz w:val="22"/>
          </w:rPr>
          <w:t>641—33.29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641—33.10</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nondisciplinary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33.10(1)</w:t>
      </w:r>
      <w:r>
        <w:rPr>
          <w:rFonts w:ascii="Times New Roman" w:hAnsi="Times New Roman"/>
          <w:b w:val="false"/>
          <w:i w:val="false"/>
          <w:color w:val="000000"/>
          <w:sz w:val="22"/>
        </w:rPr>
        <w:t> </w:t>
      </w:r>
      <w:r>
        <w:rPr>
          <w:rFonts w:ascii="Times New Roman" w:hAnsi="Times New Roman"/>
          <w:b w:val="false"/>
          <w:i w:val="false"/>
          <w:color w:val="000000"/>
          <w:sz w:val="22"/>
        </w:rPr>
        <w:t>A nondisciplinary contested case includes license denial proceedings. Any party in a nondisciplinary contested case may request that the presiding officer assigned to render a proposed decision be an administrative law judge employed by the department of inspections, appeals, and licensing by filing a written request within 20 days after service of a notice of hearing identifying or describing the presiding officer as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33.10(2)</w:t>
      </w:r>
      <w:r>
        <w:rPr>
          <w:rFonts w:ascii="Times New Roman" w:hAnsi="Times New Roman"/>
          <w:b w:val="false"/>
          <w:i w:val="false"/>
          <w:color w:val="000000"/>
          <w:sz w:val="22"/>
        </w:rPr>
        <w:t> </w:t>
      </w:r>
      <w:r>
        <w:rPr>
          <w:rFonts w:ascii="Times New Roman" w:hAnsi="Times New Roman"/>
          <w:b w:val="false"/>
          <w:i w:val="false"/>
          <w:color w:val="000000"/>
          <w:sz w:val="22"/>
        </w:rPr>
        <w:t>The board may only deny the request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subrule </w:t>
      </w:r>
      <w:hyperlink r:id="rId20">
        <w:r>
          <w:rPr>
            <w:rStyle w:val="Hyperlink"/>
            <w:rFonts w:ascii="Times New Roman" w:hAnsi="Times New Roman"/>
            <w:b w:val="false"/>
            <w:i w:val="false"/>
            <w:color w:val="000000"/>
            <w:sz w:val="22"/>
          </w:rPr>
          <w:t>33.10(4)</w:t>
        </w:r>
      </w:hyperlink>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not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21">
        <w:r>
          <w:rPr>
            <w:rStyle w:val="Hyperlink"/>
            <w:rFonts w:ascii="Times New Roman" w:hAnsi="Times New Roman"/>
            <w:b w:val="false"/>
            <w:i w:val="false"/>
            <w:color w:val="000000"/>
            <w:sz w:val="22"/>
          </w:rPr>
          <w:t>33.10(4)</w:t>
        </w:r>
      </w:hyperlink>
      <w:r>
        <w:rPr>
          <w:rFonts w:ascii="Times New Roman" w:hAnsi="Times New Roman"/>
          <w:b w:val="false"/>
          <w:i w:val="false"/>
          <w:color w:val="000000"/>
          <w:sz w:val="22"/>
        </w:rPr>
        <w:t>, the parties will be notified at least ten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33.10(4)</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by a provision or law, all rulings by an administrative law judge acting as presiding officer in a nondisciplinary contested case are subject to appeal to the board. Such appeals must be filed within ten days of the date of the issuance of the challenged ruling but no later than the time for compliance with the order or the date of the hearing,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33.10(5)</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an administrative law judge in a nondisciplinary contested case upon appeal, the board possesses the powers and complies with the provisions of this chapter applicable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641—33.11</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will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33.11(2)</w:t>
      </w:r>
      <w:r>
        <w:rPr>
          <w:rFonts w:ascii="Times New Roman" w:hAnsi="Times New Roman"/>
          <w:b w:val="false"/>
          <w:i w:val="false"/>
          <w:color w:val="000000"/>
          <w:sz w:val="22"/>
        </w:rPr>
        <w:t> </w:t>
      </w:r>
      <w:r>
        <w:rPr>
          <w:rFonts w:ascii="Times New Roman" w:hAnsi="Times New Roman"/>
          <w:b w:val="false"/>
          <w:i w:val="false"/>
          <w:color w:val="000000"/>
          <w:sz w:val="22"/>
        </w:rPr>
        <w:t>The term “personally investigated” means taking affirmative steps to interview witnesses directly or to obtain documents or other information directly. The term “personally investigated”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direction and supervision of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Unsolicited receipt of information that is relayed to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another person’s investigative work product in the course of determining whether there is probable cause to initiate a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Exposure to factual information while performing other board functions, including fact gathering for purposes other than investigation of the matter that culminates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33.11(3)</w:t>
      </w:r>
      <w:r>
        <w:rPr>
          <w:rFonts w:ascii="Times New Roman" w:hAnsi="Times New Roman"/>
          <w:b w:val="false"/>
          <w:i w:val="false"/>
          <w:color w:val="000000"/>
          <w:sz w:val="22"/>
        </w:rPr>
        <w:t> </w:t>
      </w:r>
      <w:r>
        <w:rPr>
          <w:rFonts w:ascii="Times New Roman" w:hAnsi="Times New Roman"/>
          <w:b w:val="false"/>
          <w:i w:val="false"/>
          <w:color w:val="000000"/>
          <w:sz w:val="22"/>
        </w:rPr>
        <w:t xml:space="preserve">Factual information relevant to the merits of a contested case received by a person who later serves as presiding officer in that case will be disclosed if required by Iowa Code section </w:t>
      </w:r>
      <w:hyperlink r:id="rId22">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 </w:t>
      </w:r>
      <w:hyperlink r:id="rId23">
        <w:r>
          <w:rPr>
            <w:rStyle w:val="Hyperlink"/>
            <w:rFonts w:ascii="Times New Roman" w:hAnsi="Times New Roman"/>
            <w:b w:val="false"/>
            <w:i w:val="false"/>
            <w:color w:val="000000"/>
            <w:sz w:val="22"/>
          </w:rPr>
          <w:t>33.27(9)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33.11(4)</w:t>
      </w:r>
      <w:r>
        <w:rPr>
          <w:rFonts w:ascii="Times New Roman" w:hAnsi="Times New Roman"/>
          <w:b w:val="false"/>
          <w:i w:val="false"/>
          <w:color w:val="000000"/>
          <w:sz w:val="22"/>
        </w:rPr>
        <w:t> </w:t>
      </w:r>
      <w:r>
        <w:rPr>
          <w:rFonts w:ascii="Times New Roman" w:hAnsi="Times New Roman"/>
          <w:b w:val="false"/>
          <w:i w:val="false"/>
          <w:color w:val="000000"/>
          <w:sz w:val="22"/>
        </w:rPr>
        <w:t xml:space="preserve">By electing to participate in an appearance before the board pursuant to rule </w:t>
      </w:r>
      <w:hyperlink r:id="rId24">
        <w:r>
          <w:rPr>
            <w:rStyle w:val="Hyperlink"/>
            <w:rFonts w:ascii="Times New Roman" w:hAnsi="Times New Roman"/>
            <w:b w:val="false"/>
            <w:i w:val="false"/>
            <w:color w:val="000000"/>
            <w:sz w:val="22"/>
          </w:rPr>
          <w:t>641—34.7</w:t>
        </w:r>
      </w:hyperlink>
      <w:r>
        <w:rPr>
          <w:rFonts w:ascii="Times New Roman" w:hAnsi="Times New Roman"/>
          <w:b w:val="false"/>
          <w:i w:val="false"/>
          <w:color w:val="000000"/>
          <w:sz w:val="22"/>
        </w:rPr>
        <w:t>(17A), the licensee waives any objection to a board member’s participating as a decision maker in a contested case proceeding on the grounds that the board member “personally investigated” the matter under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33.11(5)</w:t>
      </w:r>
      <w:r>
        <w:rPr>
          <w:rFonts w:ascii="Times New Roman" w:hAnsi="Times New Roman"/>
          <w:b w:val="false"/>
          <w:i w:val="false"/>
          <w:color w:val="000000"/>
          <w:sz w:val="22"/>
        </w:rPr>
        <w:t> </w:t>
      </w:r>
      <w:r>
        <w:rPr>
          <w:rFonts w:ascii="Times New Roman" w:hAnsi="Times New Roman"/>
          <w:b w:val="false"/>
          <w:i w:val="false"/>
          <w:color w:val="000000"/>
          <w:sz w:val="22"/>
        </w:rPr>
        <w:t>If a presiding officer or other person knows of information that might reasonably be deemed to be a basis for disqualification and decides voluntary withdrawal is unnecessary, that person will submit the relevant information from the records by affidavit including a statement of the reasons for the determination that withdrawal is unnecessary.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641—33.12</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641—33.13</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statement of charges,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33.13(2)</w:t>
      </w:r>
      <w:r>
        <w:rPr>
          <w:rFonts w:ascii="Times New Roman" w:hAnsi="Times New Roman"/>
          <w:b w:val="false"/>
          <w:i w:val="false"/>
          <w:color w:val="000000"/>
          <w:sz w:val="22"/>
        </w:rPr>
        <w:t> </w:t>
      </w:r>
      <w:r>
        <w:rPr>
          <w:rFonts w:ascii="Times New Roman" w:hAnsi="Times New Roman"/>
          <w:b w:val="false"/>
          <w:i/>
          <w:color w:val="000000"/>
          <w:sz w:val="22"/>
        </w:rPr>
        <w:t xml:space="preserve">Answer.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shall be filed within 20 days of service of the statement of charges and notice of hearing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Identifies on whose behalf it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Sets forth the name, address and telephone number of the person filing the answer, the person on whose behalf it is filed, and the attorney, if any, representing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Specifically admits, denies or otherwise answers all material allegations of the statement of charges;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Sets forth any facts deemed necessary to show an affirmative defense and contain as many additional defenses as the respondent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33.13(3)</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Any notice of hearing or statement of charges may be amended before a responsive pleading has been filed. Otherwise, a party may amend a pleading only with the consent of the other parties or at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641—33.14</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to the proceeding, including the person designated as prosecutor for the state, simultaneously with its filing. Except for the original statement of charges and notice of hearing and an application for rehearing as provided in Iowa Code section </w:t>
      </w:r>
      <w:hyperlink r:id="rId25">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will be made upon the attorney unless otherwise ordered. Service is made by delivery or by mailing a copy to the person’s last-known address. Service by mail is completed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statement of charges and notice of hearing, all documents in a contested case proceeding will be filed with the board. All documents that are required to be served upon a party will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delivered to an established courier service for immediate delivery to the board; or mailed by first-class or state interoffice mail to the board,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0" w:after="0"/>
        <w:ind w:left="840"/>
        <w:jc w:val="both"/>
      </w:pPr>
      <w:r>
        <w:rPr>
          <w:rFonts w:ascii="Times New Roman" w:hAnsi="Times New Roman"/>
          <w:b w:val="false"/>
          <w:i w:val="false"/>
          <w:color w:val="000000"/>
          <w:sz w:val="22"/>
        </w:rPr>
        <w:t>I certify under penalty of perjury and pursuant to the laws of Iowa that, on (date of mailing), I mailed copies of (describe document) addressed to the board and to the names and addresses of the parties listed below by depositing the same in (a United States post office mailbox with correct postage properly affixed or state interoffice mail).</w:t>
      </w:r>
    </w:p>
    <w:p>
      <w:pPr>
        <w:spacing w:before="0" w:after="0"/>
        <w:ind w:left="840"/>
        <w:jc w:val="both"/>
      </w:pPr>
      <w:r>
        <w:rPr>
          <w:rFonts w:ascii="Times New Roman" w:hAnsi="Times New Roman"/>
          <w:b w:val="false"/>
          <w:i w:val="false"/>
          <w:color w:val="000000"/>
          <w:sz w:val="22"/>
        </w:rPr>
        <w:t>______________</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___________________________</w:t>
      </w:r>
    </w:p>
    <w:p>
      <w:pPr>
        <w:spacing w:before="0" w:after="0"/>
        <w:ind w:left="840"/>
        <w:jc w:val="both"/>
      </w:pPr>
      <w:r>
        <w:rPr>
          <w:rFonts w:ascii="Times New Roman" w:hAnsi="Times New Roman"/>
          <w:b w:val="false"/>
          <w:i w:val="false"/>
          <w:color w:val="000000"/>
          <w:sz w:val="22"/>
        </w:rPr>
        <w:t>(Date)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641—33.15</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by order of the presiding officer, or by agreement of the parties, time periods for compliance with discovery will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 faith attempt to resolve the discovery issues involved with the opposing party. Motions in regard to discovery will be ruled upon by the presiding officer. Opposing parties will be afforded the opportunity to respond within ten days of the filing of the motion unless the time is shortened as provided in subrule </w:t>
      </w:r>
      <w:hyperlink r:id="rId26">
        <w:r>
          <w:rPr>
            <w:rStyle w:val="Hyperlink"/>
            <w:rFonts w:ascii="Times New Roman" w:hAnsi="Times New Roman"/>
            <w:b w:val="false"/>
            <w:i w:val="false"/>
            <w:color w:val="000000"/>
            <w:sz w:val="22"/>
          </w:rPr>
          <w:t>33.15(1)</w:t>
        </w:r>
      </w:hyperlink>
      <w:r>
        <w:rPr>
          <w:rFonts w:ascii="Times New Roman" w:hAnsi="Times New Roman"/>
          <w:b w:val="false"/>
          <w:i w:val="false"/>
          <w:color w:val="000000"/>
          <w:sz w:val="22"/>
        </w:rPr>
        <w:t>. The presiding officer may rule on the basis of the written motion and any response, or may order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33.15(3)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641—33.16</w:t>
      </w:r>
      <w:r>
        <w:rPr>
          <w:rFonts w:ascii="Times New Roman" w:hAnsi="Times New Roman"/>
          <w:b/>
          <w:i w:val="false"/>
          <w:color w:val="000000"/>
          <w:sz w:val="22"/>
        </w:rPr>
        <w:t xml:space="preserve">(17A,272C) </w:t>
      </w:r>
      <w:r>
        <w:rPr>
          <w:rFonts w:ascii="Times New Roman" w:hAnsi="Times New Roman"/>
          <w:b/>
          <w:i w:val="false"/>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33.16(1)</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Subpoenas issued in a contested case may compel the attendance of witnesses at deposition or hearing and may compel the production of books, papers, records, or other real evidence. A command to produce evidence or to permit inspection may be joined with a command to appear at deposition or hearing or may be issued separately. Subpoenas will be issued by the executive officer or designee upon written request. In the case of a request for a subpoena of mental health records, the request must confirm the conditions described in </w:t>
      </w:r>
      <w:hyperlink r:id="rId27">
        <w:r>
          <w:rPr>
            <w:rStyle w:val="Hyperlink"/>
            <w:rFonts w:ascii="Times New Roman" w:hAnsi="Times New Roman"/>
            <w:b w:val="false"/>
            <w:i w:val="false"/>
            <w:color w:val="000000"/>
            <w:sz w:val="22"/>
          </w:rPr>
          <w:t>641—subrule 34.5(1)</w:t>
        </w:r>
      </w:hyperlink>
      <w:r>
        <w:rPr>
          <w:rFonts w:ascii="Times New Roman" w:hAnsi="Times New Roman"/>
          <w:b w:val="false"/>
          <w:i w:val="false"/>
          <w:color w:val="000000"/>
          <w:sz w:val="22"/>
        </w:rPr>
        <w:t xml:space="preserve">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should include the following information, as applicable, unless the subpoena is requested in order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28">
        <w:r>
          <w:rPr>
            <w:rStyle w:val="Hyperlink"/>
            <w:rFonts w:ascii="Times New Roman" w:hAnsi="Times New Roman"/>
            <w:b w:val="false"/>
            <w:i w:val="false"/>
            <w:color w:val="000000"/>
            <w:sz w:val="22"/>
          </w:rPr>
          <w:t>641—subrule 34.5(1)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executive officer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33.16(4)</w:t>
      </w:r>
      <w:r>
        <w:rPr>
          <w:rFonts w:ascii="Times New Roman" w:hAnsi="Times New Roman"/>
          <w:b w:val="false"/>
          <w:i w:val="false"/>
          <w:color w:val="000000"/>
          <w:sz w:val="22"/>
        </w:rPr>
        <w:t> </w:t>
      </w:r>
      <w:r>
        <w:rPr>
          <w:rFonts w:ascii="Times New Roman" w:hAnsi="Times New Roman"/>
          <w:b w:val="false"/>
          <w:i w:val="false"/>
          <w:color w:val="000000"/>
          <w:sz w:val="22"/>
        </w:rPr>
        <w:t>Unless a subpoena is requested in order to compel testimony or documents for rebuttal or impeachment purposes, the executive officer or designee will mail the subpoena to the requesting party, with a copy to the opposing party.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describing the legal reasons why the subpoena should be quashed or modified. It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presiding officer may hold a hearing and issue a decision. Oral argument may be scheduled at the discretion of the presiding officer. The presiding officer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33.16(7)</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on the board’s executive director, either in person or by certified mail, a notice of appeal within ten days after service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33.16(8)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contested case, the board’s decision is final for purposes of judicial review. If the person contesting the subpoena is a party to the contested case,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641—33.17</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33.17(1)</w:t>
      </w:r>
      <w:r>
        <w:rPr>
          <w:rFonts w:ascii="Times New Roman" w:hAnsi="Times New Roman"/>
          <w:b w:val="false"/>
          <w:i w:val="false"/>
          <w:color w:val="000000"/>
          <w:sz w:val="22"/>
        </w:rPr>
        <w:t> </w:t>
      </w:r>
      <w:r>
        <w:rPr>
          <w:rFonts w:ascii="Times New Roman" w:hAnsi="Times New Roman"/>
          <w:b w:val="false"/>
          <w:i w:val="false"/>
          <w:color w:val="000000"/>
          <w:sz w:val="22"/>
        </w:rPr>
        <w:t>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the presiding officer. The presiding officer may consider a failure to respond within the required time period in ruling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may schedule oral argument on any motion. If the board requests that an administrative law judge issue a ruling on a prehearing motion, the ruling is subject to interlocutory appeal pursuant to rule </w:t>
      </w:r>
      <w:hyperlink r:id="rId29">
        <w:r>
          <w:rPr>
            <w:rStyle w:val="Hyperlink"/>
            <w:rFonts w:ascii="Times New Roman" w:hAnsi="Times New Roman"/>
            <w:b w:val="false"/>
            <w:i w:val="false"/>
            <w:color w:val="000000"/>
            <w:sz w:val="22"/>
          </w:rPr>
          <w:t>641—33.29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five days prior to the date of the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33.17(5)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shall comply with Iowa Rule of Civil Procedure 1.981 and will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must be filed and served at least 20 days prior to the scheduled hearing date, or other time period determined by the presiding officer. Any party resisting the motion shall file and serve a resistance within ten days, unless otherwise ordered by the presiding officer, from the date a copy of the motion was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fixed for hearing or nonoral submission will be not less than 15 days after the filing of the motion, unless a shorter time is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judgment order rendered on all issues in a contested case is subject to rehearing pursuant to rule </w:t>
      </w:r>
      <w:hyperlink r:id="rId30">
        <w:r>
          <w:rPr>
            <w:rStyle w:val="Hyperlink"/>
            <w:rFonts w:ascii="Times New Roman" w:hAnsi="Times New Roman"/>
            <w:b w:val="false"/>
            <w:i w:val="false"/>
            <w:color w:val="000000"/>
            <w:sz w:val="22"/>
          </w:rPr>
          <w:t>641—33.32</w:t>
        </w:r>
      </w:hyperlink>
      <w:r>
        <w:rPr>
          <w:rFonts w:ascii="Times New Roman" w:hAnsi="Times New Roman"/>
          <w:b w:val="false"/>
          <w:i w:val="false"/>
          <w:color w:val="000000"/>
          <w:sz w:val="22"/>
        </w:rPr>
        <w:t xml:space="preserve">(17A,272C) and appeal pursuant to rule </w:t>
      </w:r>
      <w:hyperlink r:id="rId31">
        <w:r>
          <w:rPr>
            <w:rStyle w:val="Hyperlink"/>
            <w:rFonts w:ascii="Times New Roman" w:hAnsi="Times New Roman"/>
            <w:b w:val="false"/>
            <w:i w:val="false"/>
            <w:color w:val="000000"/>
            <w:sz w:val="22"/>
          </w:rPr>
          <w:t>641—33.30</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upon written notice filed with the board and served on all parties. Unless otherwise ordered by the board, a withdrawal is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will be bound by any agreement, arrangement, or other matter previously raised in the case. Requests by untimely intervenors for continuances that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limit the issues raised by the intervenor or otherwise condition the intervenor’s participation.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641—33.20</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on the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witnesses or parties, as well as the nature of the case, will be considered when location is chosen. Disciplinary hearings will generally not be held by telephone or electronic means in the absence of consent by all parties, but the presiding officer may permit any witness to testify by telephone. Parties shall disclose at or before the prehearing conference if any witness will be testifying by telephone. Objections, if any, shall be filed with the board and served on all parties at least three business days in advance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641—33.21</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Prehearing conferences will be conducted by the executive officer or designee, who may request the assistance of an administrative law judge. A written request for prehearing conference or an order for prehearing conference on the executive officer’s own motion shall be filed not less than ten days prior to the hearing date. A prehearing conference will be scheduled not less than five business days prior to the hearing date. The executive officer shall set a prehearing conference in all licensee disciplinary cases and provide notice of the date and time in the notice of hearing. Written notice of the prehearing conference will be given by the executive officer to all parties. For good cause the executive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33.21(2)</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will be prepared to discuss the following subjects, and the executive officer or administrative law judge may issue appropriate orders concerning: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entry of a scheduling order to include deadlines for completion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Stipulations on the admissibility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expert or other witness lists. Witness lists may be amended subsequent to the prehearing conference within the time limits established by the executive officer or administrative law judge at the prehearing conference. Witnesses not listed on the final witness list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Submission of exhibit lists. Exhibit lists may be amended subsequent to the prehearing conference within the time limits established by the executive director or administrative law judge at the prehearing conference. Other than rebuttal exhibits, exhibits that are not listed on the final exhibit list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Stipulations for waiver of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matters that the parties intend to request to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Consideration of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33.21(3)</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may be conducted by telephone unless otherwise ordered.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641—33.22</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33.22(1)</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applications for continuance shall be filed with the board at least seven days before the date scheduled for hearing. If the application for continuance is not contested, the executive officer or designee will issue the appropriate order. If the application for continuance is contested, the matter will be heard by the board or delegated to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33.22(2)</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continuance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for continuance;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33.22(3)</w:t>
      </w:r>
      <w:r>
        <w:rPr>
          <w:rFonts w:ascii="Times New Roman" w:hAnsi="Times New Roman"/>
          <w:b w:val="false"/>
          <w:i w:val="false"/>
          <w:color w:val="000000"/>
          <w:sz w:val="22"/>
        </w:rPr>
        <w:t> </w:t>
      </w:r>
      <w:r>
        <w:rPr>
          <w:rFonts w:ascii="Times New Roman" w:hAnsi="Times New Roman"/>
          <w:b w:val="false"/>
          <w:i w:val="false"/>
          <w:color w:val="000000"/>
          <w:sz w:val="22"/>
        </w:rPr>
        <w:t>An oral application for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33.22(4)</w:t>
      </w:r>
      <w:r>
        <w:rPr>
          <w:rFonts w:ascii="Times New Roman" w:hAnsi="Times New Roman"/>
          <w:b w:val="false"/>
          <w:i w:val="false"/>
          <w:color w:val="000000"/>
          <w:sz w:val="22"/>
        </w:rPr>
        <w:t> </w:t>
      </w:r>
      <w:r>
        <w:rPr>
          <w:rFonts w:ascii="Times New Roman" w:hAnsi="Times New Roman"/>
          <w:b w:val="false"/>
          <w:i w:val="false"/>
          <w:color w:val="000000"/>
          <w:sz w:val="22"/>
        </w:rPr>
        <w:t>No application for continuance will be made or granted without notice to all parties except in an emergency where notice is not feasible. The board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require documentation of any grounds for continuance. In determining whether to grant a continuance, the presiding officer may consider any relevant factors, including prior continuances; the interests of all parties; the public interest; the likelihood of informal settlement; the existence of an emergency; any objection; any applicable time requirements; the existence of a conflict in the schedules of counsel, parties, or witnesses; and the timeliness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641—33.23</w:t>
      </w:r>
      <w:r>
        <w:rPr>
          <w:rFonts w:ascii="Times New Roman" w:hAnsi="Times New Roman"/>
          <w:b/>
          <w:i w:val="false"/>
          <w:color w:val="000000"/>
          <w:sz w:val="22"/>
        </w:rPr>
        <w:t xml:space="preserve">(272C) </w:t>
      </w:r>
      <w:r>
        <w:rPr>
          <w:rFonts w:ascii="Times New Roman" w:hAnsi="Times New Roman"/>
          <w:b/>
          <w:i w:val="false"/>
          <w:color w:val="000000"/>
          <w:sz w:val="22"/>
        </w:rPr>
        <w:t xml:space="preserve">Settlement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33.23(1)</w:t>
      </w:r>
      <w:r>
        <w:rPr>
          <w:rFonts w:ascii="Times New Roman" w:hAnsi="Times New Roman"/>
          <w:b w:val="false"/>
          <w:i w:val="false"/>
          <w:color w:val="000000"/>
          <w:sz w:val="22"/>
        </w:rPr>
        <w:t> </w:t>
      </w:r>
      <w:r>
        <w:rPr>
          <w:rFonts w:ascii="Times New Roman" w:hAnsi="Times New Roman"/>
          <w:b w:val="false"/>
          <w:i w:val="false"/>
          <w:color w:val="000000"/>
          <w:sz w:val="22"/>
        </w:rPr>
        <w:t>Settlement negotiations after the notice of hearing may be initiated by the licensee or other respondent, the prosecuting attorney, the board’s executive officer, or the board chair or chair’s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33.23(2)</w:t>
      </w:r>
      <w:r>
        <w:rPr>
          <w:rFonts w:ascii="Times New Roman" w:hAnsi="Times New Roman"/>
          <w:b w:val="false"/>
          <w:i w:val="false"/>
          <w:color w:val="000000"/>
          <w:sz w:val="22"/>
        </w:rPr>
        <w:t> </w:t>
      </w:r>
      <w:r>
        <w:rPr>
          <w:rFonts w:ascii="Times New Roman" w:hAnsi="Times New Roman"/>
          <w:b w:val="false"/>
          <w:i w:val="false"/>
          <w:color w:val="000000"/>
          <w:sz w:val="22"/>
        </w:rPr>
        <w:t>The board chair or chair’s designee may negotiate on behalf of the board but does not have the authority to bind the board to a particular term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respondent is not obligated to participate in settlement negotiations. The respondent’s initiation or consent to settlement negotiations constitutes a waiver of notice and opportunity to be heard during the settlement negotiation pursuant to Iowa Code section </w:t>
      </w:r>
      <w:hyperlink r:id="rId32">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33">
        <w:r>
          <w:rPr>
            <w:rStyle w:val="Hyperlink"/>
            <w:rFonts w:ascii="Times New Roman" w:hAnsi="Times New Roman"/>
            <w:b w:val="false"/>
            <w:i w:val="false"/>
            <w:color w:val="000000"/>
            <w:sz w:val="22"/>
          </w:rPr>
          <w:t>641—33.27</w:t>
        </w:r>
      </w:hyperlink>
      <w:r>
        <w:rPr>
          <w:rFonts w:ascii="Times New Roman" w:hAnsi="Times New Roman"/>
          <w:b w:val="false"/>
          <w:i w:val="false"/>
          <w:color w:val="000000"/>
          <w:sz w:val="22"/>
        </w:rPr>
        <w:t>(17A). Thereafter, the prosecuting attorney is authorized to discuss informal settlement with the board chair or chair’s designee, and the designated board member is not disqualified from participating in the adjudication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33.23(4)</w:t>
      </w:r>
      <w:r>
        <w:rPr>
          <w:rFonts w:ascii="Times New Roman" w:hAnsi="Times New Roman"/>
          <w:b w:val="false"/>
          <w:i w:val="false"/>
          <w:color w:val="000000"/>
          <w:sz w:val="22"/>
        </w:rPr>
        <w:t> </w:t>
      </w:r>
      <w:r>
        <w:rPr>
          <w:rFonts w:ascii="Times New Roman" w:hAnsi="Times New Roman"/>
          <w:b w:val="false"/>
          <w:i w:val="false"/>
          <w:color w:val="000000"/>
          <w:sz w:val="22"/>
        </w:rPr>
        <w:t>Unless designated to negotiate, no member of the board shall be involved in settlement negotiation until a written consent order is submitted to the full board for approval. No informal settlement will be submitted to the full board unless it is in final written form executed by the respondent. By signing the proposed consent order, the respondent authorizes the prosecuting attorney or executive officer to have ex parte communications with the board related to the terms of the settlement. If the board fails to approve the consent order, it shall be of no force and effect to either party and shall not be admissible at hearing. Upon rejecting a proposed consent order, the board may suggest alternative terms of settlement, which the respondent is free to accept or reject.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and respondent agree to a consent order, the consent order constitutes the final decision of the board. By electing to resolve a contested case through consent order, the respondent waives all rights to a hearing and attendant rights. A consent order in a licensee disciplinary case has the force and effect of a final disciplinary order entered in a contested case and may be published as provided in subrule </w:t>
      </w:r>
      <w:hyperlink r:id="rId34">
        <w:r>
          <w:rPr>
            <w:rStyle w:val="Hyperlink"/>
            <w:rFonts w:ascii="Times New Roman" w:hAnsi="Times New Roman"/>
            <w:b w:val="false"/>
            <w:i w:val="false"/>
            <w:color w:val="000000"/>
            <w:sz w:val="22"/>
          </w:rPr>
          <w:t>33.30(1)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641—33.24</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The presiding officer will be in control of the proceedings and will have the authority to administer oaths, admit or exclude testimony or other evidence, and rule on all motions and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witnesses. </w:t>
      </w:r>
      <w:r>
        <w:rPr>
          <w:rFonts w:ascii="Times New Roman" w:hAnsi="Times New Roman"/>
          <w:b w:val="false"/>
          <w:i w:val="false"/>
          <w:color w:val="000000"/>
          <w:sz w:val="22"/>
        </w:rPr>
        <w:t>All witnesses shall be sworn or affirmed by the presiding officer or the court reporter and be subject to cross-examination. Board members and the administrative law judge have the right to examine witnesses at any stage of a witness’s testimony.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33.24(2)</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r>
        <w:rPr>
          <w:rFonts w:ascii="Times New Roman" w:hAnsi="Times New Roman"/>
          <w:b w:val="false"/>
          <w:i w:val="false"/>
          <w:color w:val="000000"/>
          <w:sz w:val="22"/>
        </w:rPr>
        <w:t>The hearing will be open to the public unless a licensee or licensee’s attorney requests in writing that a licensee disciplinary hearing be closed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33.24(3)</w:t>
      </w:r>
      <w:r>
        <w:rPr>
          <w:rFonts w:ascii="Times New Roman" w:hAnsi="Times New Roman"/>
          <w:b w:val="false"/>
          <w:i w:val="false"/>
          <w:color w:val="000000"/>
          <w:sz w:val="22"/>
        </w:rPr>
        <w:t> </w:t>
      </w:r>
      <w:r>
        <w:rPr>
          <w:rFonts w:ascii="Times New Roman" w:hAnsi="Times New Roman"/>
          <w:b w:val="false"/>
          <w:i/>
          <w:color w:val="000000"/>
          <w:sz w:val="22"/>
        </w:rPr>
        <w:t xml:space="preserve">Record of proceedings. </w:t>
      </w:r>
      <w:r>
        <w:rPr>
          <w:rFonts w:ascii="Times New Roman" w:hAnsi="Times New Roman"/>
          <w:b w:val="false"/>
          <w:i w:val="false"/>
          <w:color w:val="000000"/>
          <w:sz w:val="22"/>
        </w:rPr>
        <w:t>Oral proceedings will be recorded either by mechanical or electronic means or by certified shorthand reporters. Oral proceedings or any part thereof will be transcribed at the request of any party with the expense of the transcription charged to the requesting party. The recording or stenographic notes of oral proceedings or the transcription will be filed with and maintained by the board for at least five years from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33.24(4)</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proceedings. </w:t>
      </w:r>
      <w:r>
        <w:rPr>
          <w:rFonts w:ascii="Times New Roman" w:hAnsi="Times New Roman"/>
          <w:b w:val="false"/>
          <w:i w:val="false"/>
          <w:color w:val="000000"/>
          <w:sz w:val="22"/>
        </w:rPr>
        <w:t>Before testimony is presented, the record will show the identities of any board members present, the identity of the administrative law judge, the identities of the primary parties and their representatives, and the fact that all testimony is being recorded. In contested cases initiated by the board, such as licensee discipline, hearings will generally be conducted in the following order, subject to modification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designee may read a summary of the charges and answers thereto and other responsive pleadings filed by the respondent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assistant attorney general representing the state’s interest before the board may make a brief opening statement, which may include a summary of charges and the names of any witnesses and documents to support such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respondent shall be offered the opportunity to make an opening statement, including the names of any witnesses the respondent(s) desires to call in defense. A respondent may elect to make the opening statement just prior to the presentation of evidence by the 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presentation of evidence on behalf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presentation of evidence on behalf of the 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Rebuttal evidence on behalf of the state,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Rebuttal evidence on behalf of the respondent(s),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Closing arguments first on behalf of the state, then on behalf of the respondent(s), and then on behalf of the state, if any. The order of proceedings will be tailored to the nature of the contested case. In license reinstatement hearings, for example, the respondent will generally present evidence first because the respondent is obligated to present evidence in support of the respondent’s application for reinstatement pursuant to rule </w:t>
      </w:r>
      <w:hyperlink r:id="rId35">
        <w:r>
          <w:rPr>
            <w:rStyle w:val="Hyperlink"/>
            <w:rFonts w:ascii="Times New Roman" w:hAnsi="Times New Roman"/>
            <w:b w:val="false"/>
            <w:i w:val="false"/>
            <w:color w:val="000000"/>
            <w:sz w:val="22"/>
          </w:rPr>
          <w:t>641—33.40</w:t>
        </w:r>
      </w:hyperlink>
      <w:r>
        <w:rPr>
          <w:rFonts w:ascii="Times New Roman" w:hAnsi="Times New Roman"/>
          <w:b w:val="false"/>
          <w:i w:val="false"/>
          <w:color w:val="000000"/>
          <w:sz w:val="22"/>
        </w:rPr>
        <w:t xml:space="preserve">(17A,272C). In license denial hearings, the state will generally first establish the basis for the board’s denial of licensure, but thereafter the applicant has the burden of establishing the conditions for licensure pursuant to rule </w:t>
      </w:r>
      <w:hyperlink r:id="rId36">
        <w:r>
          <w:rPr>
            <w:rStyle w:val="Hyperlink"/>
            <w:rFonts w:ascii="Times New Roman" w:hAnsi="Times New Roman"/>
            <w:b w:val="false"/>
            <w:i w:val="false"/>
            <w:color w:val="000000"/>
            <w:sz w:val="22"/>
          </w:rPr>
          <w:t>641—33.36</w:t>
        </w:r>
      </w:hyperlink>
      <w:r>
        <w:rPr>
          <w:rFonts w:ascii="Times New Roman" w:hAnsi="Times New Roman"/>
          <w:b w:val="false"/>
          <w:i w:val="false"/>
          <w:color w:val="000000"/>
          <w:sz w:val="22"/>
        </w:rPr>
        <w:t>(17A,105,272C).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33.24(5)</w:t>
      </w:r>
      <w:r>
        <w:rPr>
          <w:rFonts w:ascii="Times New Roman" w:hAnsi="Times New Roman"/>
          <w:b w:val="false"/>
          <w:i w:val="false"/>
          <w:color w:val="000000"/>
          <w:sz w:val="22"/>
        </w:rPr>
        <w:t> </w:t>
      </w:r>
      <w:r>
        <w:rPr>
          <w:rFonts w:ascii="Times New Roman" w:hAnsi="Times New Roman"/>
          <w:b w:val="false"/>
          <w:i/>
          <w:color w:val="000000"/>
          <w:sz w:val="22"/>
        </w:rPr>
        <w:t xml:space="preserve">Decorum. </w:t>
      </w:r>
      <w:r>
        <w:rPr>
          <w:rFonts w:ascii="Times New Roman" w:hAnsi="Times New Roman"/>
          <w:b w:val="false"/>
          <w:i w:val="false"/>
          <w:color w:val="000000"/>
          <w:sz w:val="22"/>
        </w:rPr>
        <w:t>The presiding officer will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33.24(6)</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The presiding officer has authority to grant immunity from disciplinary action to a witness, as provided by Iowa Code section </w:t>
      </w:r>
      <w:hyperlink r:id="rId37">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but only upon the unanimous vote of all members of the board hearing the case. The official record of the hearing shall include the reasons for granting the immunity.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33.24(7)</w:t>
      </w:r>
      <w:r>
        <w:rPr>
          <w:rFonts w:ascii="Times New Roman" w:hAnsi="Times New Roman"/>
          <w:b w:val="false"/>
          <w:i w:val="false"/>
          <w:color w:val="000000"/>
          <w:sz w:val="22"/>
        </w:rPr>
        <w:t> </w:t>
      </w:r>
      <w:r>
        <w:rPr>
          <w:rFonts w:ascii="Times New Roman" w:hAnsi="Times New Roman"/>
          <w:b w:val="false"/>
          <w:i/>
          <w:color w:val="000000"/>
          <w:sz w:val="22"/>
        </w:rPr>
        <w:t xml:space="preserve">Sequestering witnesses. </w:t>
      </w:r>
      <w:r>
        <w:rPr>
          <w:rFonts w:ascii="Times New Roman" w:hAnsi="Times New Roman"/>
          <w:b w:val="false"/>
          <w:i w:val="false"/>
          <w:color w:val="000000"/>
          <w:sz w:val="22"/>
        </w:rPr>
        <w:t>The presiding officer, on the officer’s own motion or upon the request of a party, may sequester witnesses.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641—33.25</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rule on the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will be confined to the issues as to which the parties received notice prior to the hearing unless a party waives the party’s right to such notice or the presiding officer determines that good cause justifies expansion of the issues. If the presiding officer admits evidence on issues outside the scope of the notice over the objection of a party who did not have actual notice of those issues, that party, upon timely request, will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the opposing party with an opportunity to examine the exhibit prior to the ruling on its admissibility. Copies of documents shall be provided to opposing parties. All exhibits admitted into evidence will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must be timely and will be accompanied by a brief statement of the grounds upon which it is based. The objection, the ruling on the objection, and the reasons for the ruling will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by briefly summarizing the testimony or, with permission of the presiding officer, presenting the testimony. If the excluded evidence consists of a document or exhibit, it will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33.25(7)</w:t>
      </w:r>
      <w:r>
        <w:rPr>
          <w:rFonts w:ascii="Times New Roman" w:hAnsi="Times New Roman"/>
          <w:b w:val="false"/>
          <w:i w:val="false"/>
          <w:color w:val="000000"/>
          <w:sz w:val="22"/>
        </w:rPr>
        <w:t> </w:t>
      </w:r>
      <w:r>
        <w:rPr>
          <w:rFonts w:ascii="Times New Roman" w:hAnsi="Times New Roman"/>
          <w:b w:val="false"/>
          <w:i w:val="false"/>
          <w:color w:val="000000"/>
          <w:sz w:val="22"/>
        </w:rPr>
        <w:t>Irrelevant, immaterial and unduly repetitious evidence should be excluded. A finding will be based upon the kind of evidence upon which reasonably prudent persons are accustomed to relying for the conduct of their serious affairs, and may be based on hearsay or other types of evidence that may or would be inadmissible in a jury trial.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641—33.26</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subrule </w:t>
      </w:r>
      <w:hyperlink r:id="rId38">
        <w:r>
          <w:rPr>
            <w:rStyle w:val="Hyperlink"/>
            <w:rFonts w:ascii="Times New Roman" w:hAnsi="Times New Roman"/>
            <w:b w:val="false"/>
            <w:i w:val="false"/>
            <w:color w:val="000000"/>
            <w:sz w:val="22"/>
          </w:rPr>
          <w:t>33.30(2)</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will be granted only for good cause shown, with burden of proof as to good cause on the moving party. Adverse parties will have ten days to respond to a motion to vacate. Adverse parties will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has the same meaning as “good cause” for setting aside a default judgment under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39">
        <w:r>
          <w:rPr>
            <w:rStyle w:val="Hyperlink"/>
            <w:rFonts w:ascii="Times New Roman" w:hAnsi="Times New Roman"/>
            <w:b w:val="false"/>
            <w:i w:val="false"/>
            <w:color w:val="000000"/>
            <w:sz w:val="22"/>
          </w:rPr>
          <w:t>641—33.29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interlocutory appeal has been taken, the presiding officer will issue another statement of charges and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is to be stayed pending a timely motion to vacate or that the default decision is to take effect immediately, subject to a request for stay under rule </w:t>
      </w:r>
      <w:hyperlink r:id="rId40">
        <w:r>
          <w:rPr>
            <w:rStyle w:val="Hyperlink"/>
            <w:rFonts w:ascii="Times New Roman" w:hAnsi="Times New Roman"/>
            <w:b w:val="false"/>
            <w:i w:val="false"/>
            <w:color w:val="000000"/>
            <w:sz w:val="22"/>
          </w:rPr>
          <w:t>641—33.33</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641—33.27</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requested for the disposition of ex parte matters specifically authorized by statute, following issuance of the statement of charges and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provision is intended to preclude board members from communicating with other board members or members of the board staff, other than those with a personal interest in, or those engaged in personally investigating as defined in subrule </w:t>
      </w:r>
      <w:hyperlink r:id="rId41">
        <w:r>
          <w:rPr>
            <w:rStyle w:val="Hyperlink"/>
            <w:rFonts w:ascii="Times New Roman" w:hAnsi="Times New Roman"/>
            <w:b w:val="false"/>
            <w:i w:val="false"/>
            <w:color w:val="000000"/>
            <w:sz w:val="22"/>
          </w:rPr>
          <w:t>33.11(2)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statement of charges and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will be provided in compliance with rule </w:t>
      </w:r>
      <w:hyperlink r:id="rId42">
        <w:r>
          <w:rPr>
            <w:rStyle w:val="Hyperlink"/>
            <w:rFonts w:ascii="Times New Roman" w:hAnsi="Times New Roman"/>
            <w:b w:val="false"/>
            <w:i w:val="false"/>
            <w:color w:val="000000"/>
            <w:sz w:val="22"/>
          </w:rPr>
          <w:t>641—33.14</w:t>
        </w:r>
      </w:hyperlink>
      <w:r>
        <w:rPr>
          <w:rFonts w:ascii="Times New Roman" w:hAnsi="Times New Roman"/>
          <w:b w:val="false"/>
          <w:i w:val="false"/>
          <w:color w:val="000000"/>
          <w:sz w:val="22"/>
        </w:rPr>
        <w:t>(17A) and may be supplemented by telephone, facsimile, electronic mail, or other means of notification. When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a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officer or other persons may be present during deliberations as long as the executive officer or other person is not disqualified from participating pursuant to rule </w:t>
      </w:r>
      <w:hyperlink r:id="rId43">
        <w:r>
          <w:rPr>
            <w:rStyle w:val="Hyperlink"/>
            <w:rFonts w:ascii="Times New Roman" w:hAnsi="Times New Roman"/>
            <w:b w:val="false"/>
            <w:i w:val="false"/>
            <w:color w:val="000000"/>
            <w:sz w:val="22"/>
          </w:rPr>
          <w:t>641—33.11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44">
        <w:r>
          <w:rPr>
            <w:rStyle w:val="Hyperlink"/>
            <w:rFonts w:ascii="Times New Roman" w:hAnsi="Times New Roman"/>
            <w:b w:val="false"/>
            <w:i w:val="false"/>
            <w:color w:val="000000"/>
            <w:sz w:val="22"/>
          </w:rPr>
          <w:t>641—33.22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33.27(8)</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a prohibited ex parte communication during the contested case process must initially determine if the effect of the communication is so prejudicial that the presiding officer should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will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45">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board. Violation of ex parte communications prohibitions by board personnel will be reported to the board and the board’s executive officer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641—33.28</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will provide a copy of the whole or any portion of the record at cost. The cost of preparing a copy of the record or of transcribing the hearing record will be paid by the requesting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641—33.29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executive officer, administrative law judge, or hearing panel. Any request for interlocutory review must be filed within 14 days of issuance of the challenged order, but no later than the time for compliance with the order or the date of the hearing, whichever is first. In determining whether to do so, the board will consider: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extent to which granting the interlocutory appeal would expedite final resolution of the case;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extent to which review of that interlocutory order by the board at the time it reviews the proposed decision of the presiding officer would provide an adequate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641—33.30</w:t>
      </w:r>
      <w:r>
        <w:rPr>
          <w:rFonts w:ascii="Times New Roman" w:hAnsi="Times New Roman"/>
          <w:b/>
          <w:i w:val="false"/>
          <w:color w:val="000000"/>
          <w:sz w:val="22"/>
        </w:rPr>
        <w:t xml:space="preserve">(17A,272C)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33.30(1)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r>
        <w:rPr>
          <w:rFonts w:ascii="Times New Roman" w:hAnsi="Times New Roman"/>
          <w:b w:val="false"/>
          <w:i w:val="false"/>
          <w:color w:val="000000"/>
          <w:sz w:val="22"/>
        </w:rPr>
        <w:t xml:space="preserve">When a quorum of the board presides over the reception of the evidence at the hearing, its decision is a final decision. A majority of the members constitutes a quorum. Final decisions will be served on the parties in accordance with subrule </w:t>
      </w:r>
      <w:hyperlink r:id="rId46">
        <w:r>
          <w:rPr>
            <w:rStyle w:val="Hyperlink"/>
            <w:rFonts w:ascii="Times New Roman" w:hAnsi="Times New Roman"/>
            <w:b w:val="false"/>
            <w:i w:val="false"/>
            <w:color w:val="000000"/>
            <w:sz w:val="22"/>
          </w:rPr>
          <w:t>33.14(2)</w:t>
        </w:r>
      </w:hyperlink>
      <w:r>
        <w:rPr>
          <w:rFonts w:ascii="Times New Roman" w:hAnsi="Times New Roman"/>
          <w:b w:val="false"/>
          <w:i w:val="false"/>
          <w:color w:val="000000"/>
          <w:sz w:val="22"/>
        </w:rPr>
        <w:t xml:space="preserve">. Final decisions of the board, including consent agreements and consent orders, are public documents pursuant to Iowa Code chapter </w:t>
      </w:r>
      <w:hyperlink r:id="rId4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33.30(2)</w:t>
      </w:r>
      <w:r>
        <w:rPr>
          <w:rFonts w:ascii="Times New Roman" w:hAnsi="Times New Roman"/>
          <w:b w:val="false"/>
          <w:i w:val="false"/>
          <w:color w:val="000000"/>
          <w:sz w:val="22"/>
        </w:rPr>
        <w:t> </w:t>
      </w:r>
      <w:r>
        <w:rPr>
          <w:rFonts w:ascii="Times New Roman" w:hAnsi="Times New Roman"/>
          <w:b w:val="false"/>
          <w:i/>
          <w:color w:val="000000"/>
          <w:sz w:val="22"/>
        </w:rPr>
        <w:t xml:space="preserve">Proposed panel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Panel of specialists. </w:t>
      </w:r>
      <w:r>
        <w:rPr>
          <w:rFonts w:ascii="Times New Roman" w:hAnsi="Times New Roman"/>
          <w:b w:val="false"/>
          <w:i w:val="false"/>
          <w:color w:val="000000"/>
          <w:sz w:val="22"/>
        </w:rPr>
        <w:t>When a panel of three specialists presides over the hearing, the panel will issue a proposed decision that will include findings of fact but will not include conclusions of law or any recommendation for or against the licensee discipline. A proposed decision of a panel of specialists, together with a transcript of the proceedings and the exhibits presented, will be reviewed by the board within 30 days of the date the proposed decision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Panel of board members. </w:t>
      </w:r>
      <w:r>
        <w:rPr>
          <w:rFonts w:ascii="Times New Roman" w:hAnsi="Times New Roman"/>
          <w:b w:val="false"/>
          <w:i w:val="false"/>
          <w:color w:val="000000"/>
          <w:sz w:val="22"/>
        </w:rPr>
        <w:t xml:space="preserve">When a panel of three or more board members presides over the hearing, the panel will issue a proposed decision that will include proposed findings of fact, conclusions of law, and the order. A proposed panel decision will be reviewed by the board within 30 days of the date the proposed panel decision was issued. A proposed panel decision becomes a final decision without further proceedings unless appealed in accordance with paragraph </w:t>
      </w:r>
      <w:hyperlink r:id="rId48">
        <w:r>
          <w:rPr>
            <w:rStyle w:val="Hyperlink"/>
            <w:rFonts w:ascii="Times New Roman" w:hAnsi="Times New Roman"/>
            <w:b w:val="false"/>
            <w:i w:val="false"/>
            <w:color w:val="000000"/>
            <w:sz w:val="22"/>
          </w:rPr>
          <w:t>33.30(2)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of proposed panel decisions. </w:t>
      </w:r>
      <w:r>
        <w:rPr>
          <w:rFonts w:ascii="Times New Roman" w:hAnsi="Times New Roman"/>
          <w:b w:val="false"/>
          <w:i w:val="false"/>
          <w:color w:val="000000"/>
          <w:sz w:val="22"/>
        </w:rPr>
        <w:t xml:space="preserve">A proposed panel decision pursuant to paragraph </w:t>
      </w:r>
      <w:hyperlink r:id="rId49">
        <w:r>
          <w:rPr>
            <w:rStyle w:val="Hyperlink"/>
            <w:rFonts w:ascii="Times New Roman" w:hAnsi="Times New Roman"/>
            <w:b w:val="false"/>
            <w:i w:val="false"/>
            <w:color w:val="000000"/>
            <w:sz w:val="22"/>
          </w:rPr>
          <w:t>33.30(2)</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hyperlink r:id="rId50">
        <w:r>
          <w:rPr>
            <w:rStyle w:val="Hyperlink"/>
            <w:rFonts w:ascii="Times New Roman" w:hAnsi="Times New Roman"/>
            <w:b w:val="false"/>
            <w:i w:val="false"/>
            <w:color w:val="000000"/>
            <w:sz w:val="22"/>
          </w:rPr>
          <w:t>33.30(2)</w:t>
        </w:r>
        <w:r>
          <w:rPr>
            <w:rFonts w:ascii="Times New Roman" w:hAnsi="Times New Roman"/>
            <w:b w:val="false"/>
            <w:i/>
            <w:color w:val="000000"/>
            <w:sz w:val="22"/>
          </w:rPr>
          <w:t>“b”</w:t>
        </w:r>
      </w:hyperlink>
      <w:r>
        <w:rPr>
          <w:rFonts w:ascii="Times New Roman" w:hAnsi="Times New Roman"/>
          <w:b w:val="false"/>
          <w:i w:val="false"/>
          <w:color w:val="000000"/>
          <w:sz w:val="22"/>
        </w:rPr>
        <w:t xml:space="preserve"> may be appealed to the full board by either party by serving on the executive officer, either in person or by certified mail, a notice of appeal within 30 days after service of the proposed decision on the appealing party. The notice of appeal shall specify the party initiating the appeal, the proposed decision or order appealed from, the specific findings or conclusions to which exception is taken and any other exceptions to the decision or order,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receipt of a notice of appeal, the board will enter an order establishing a schedule for submission of briefs and oral argument. The parties shall serve their briefs on the board and shall furnish an additional copy to each party by first-class mail. Briefs will cite any applicable legal authority and specify relevant portions of the record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Oral argument will be heard by the board unless waived by both parties. The time granted each party for oral argument will be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record on appeal will be the entire record made before the hearing panel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At no time prior to the release of the final decision by the board shall a proposed decision be made public or distributed to any person other than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after the issuance of a proposed decision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the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additional evidence.</w:t>
      </w:r>
    </w:p>
    <w:p>
      <w:pPr>
        <w:spacing w:before="0" w:after="0"/>
        <w:ind w:left="120"/>
        <w:jc w:val="both"/>
      </w:pPr>
      <w:r>
        <w:rPr>
          <w:rFonts w:ascii="Times New Roman" w:hAnsi="Times New Roman"/>
          <w:b w:val="false"/>
          <w:i w:val="false"/>
          <w:color w:val="000000"/>
          <w:sz w:val="22"/>
        </w:rPr>
        <w:t>A written request to present additional evidence must be filed with the notice of appeal or by a nonappealing party within 14 days of service of the notice of appeal. The board may remand a case to the hearing panel for further hearing or may itself preside at the taking of additional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641—33.31</w:t>
      </w:r>
      <w:r>
        <w:rPr>
          <w:rFonts w:ascii="Times New Roman" w:hAnsi="Times New Roman"/>
          <w:b/>
          <w:i w:val="false"/>
          <w:color w:val="000000"/>
          <w:sz w:val="22"/>
        </w:rPr>
        <w:t xml:space="preserve">(17A,272C) </w:t>
      </w:r>
      <w:r>
        <w:rPr>
          <w:rFonts w:ascii="Times New Roman" w:hAnsi="Times New Roman"/>
          <w:b/>
          <w:i w:val="false"/>
          <w:color w:val="000000"/>
          <w:sz w:val="22"/>
        </w:rPr>
        <w:t xml:space="preserve">Client notification. </w:t>
      </w:r>
      <w:r>
        <w:rPr>
          <w:rFonts w:ascii="Times New Roman" w:hAnsi="Times New Roman"/>
          <w:b w:val="false"/>
          <w:i w:val="false"/>
          <w:color w:val="000000"/>
          <w:sz w:val="22"/>
        </w:rPr>
        <w:t>Within 15 days (or such other time period specifically ordered by the board) of the licensee’s receipt of the board’s final decision, whether entered by consent or following hearing, which suspends or revokes a license or accepts a voluntary surrender of a license to resolve a disciplinary case, the licensee shall notify in writing all current clients of the fact that the license has been suspended, revoked or voluntarily surrendered. Such notice shall advise clients to obtain alternative professional services. Within 30 days of receipt of the board’s final order, the licensee shall file with the board copies of the notices sent. Compliance with this requirement is a condition for an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641—33.32</w:t>
      </w:r>
      <w:r>
        <w:rPr>
          <w:rFonts w:ascii="Times New Roman" w:hAnsi="Times New Roman"/>
          <w:b/>
          <w:i w:val="false"/>
          <w:color w:val="000000"/>
          <w:sz w:val="22"/>
        </w:rPr>
        <w:t xml:space="preserve">(17A,272C) </w:t>
      </w:r>
      <w:r>
        <w:rPr>
          <w:rFonts w:ascii="Times New Roman" w:hAnsi="Times New Roman"/>
          <w:b/>
          <w:i w:val="false"/>
          <w:color w:val="000000"/>
          <w:sz w:val="22"/>
        </w:rPr>
        <w:t xml:space="preserve">Application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33.32(1)</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file an application for rehearing from a final order. The filing of an application for rehearing is not necessary to exhaust administrative remedies for purposes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rehearing will state on whose behalf it is filed, the specific grounds for rehearing, the relief sought, whether the applicant desires reconsideration of all or part of the board decision on the existing record, and whether, on the basis of grounds enumerated in paragraph </w:t>
      </w:r>
      <w:hyperlink r:id="rId51">
        <w:r>
          <w:rPr>
            <w:rStyle w:val="Hyperlink"/>
            <w:rFonts w:ascii="Times New Roman" w:hAnsi="Times New Roman"/>
            <w:b w:val="false"/>
            <w:i w:val="false"/>
            <w:color w:val="000000"/>
            <w:sz w:val="22"/>
          </w:rPr>
          <w:t>33.30(2)</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rule </w:t>
      </w:r>
      <w:hyperlink r:id="rId52">
        <w:r>
          <w:rPr>
            <w:rStyle w:val="Hyperlink"/>
            <w:rFonts w:ascii="Times New Roman" w:hAnsi="Times New Roman"/>
            <w:b w:val="false"/>
            <w:i w:val="false"/>
            <w:color w:val="000000"/>
            <w:sz w:val="22"/>
          </w:rPr>
          <w:t>641—33.31</w:t>
        </w:r>
      </w:hyperlink>
      <w:r>
        <w:rPr>
          <w:rFonts w:ascii="Times New Roman" w:hAnsi="Times New Roman"/>
          <w:b w:val="false"/>
          <w:i w:val="false"/>
          <w:color w:val="000000"/>
          <w:sz w:val="22"/>
        </w:rPr>
        <w:t>(17A,272C),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33.32(4)</w:t>
      </w:r>
      <w:r>
        <w:rPr>
          <w:rFonts w:ascii="Times New Roman" w:hAnsi="Times New Roman"/>
          <w:b w:val="false"/>
          <w:i w:val="false"/>
          <w:color w:val="000000"/>
          <w:sz w:val="22"/>
        </w:rPr>
        <w:t> </w:t>
      </w:r>
      <w:r>
        <w:rPr>
          <w:rFonts w:ascii="Times New Roman" w:hAnsi="Times New Roman"/>
          <w:b w:val="false"/>
          <w:i w:val="false"/>
          <w:color w:val="000000"/>
          <w:sz w:val="22"/>
        </w:rPr>
        <w:t>A copy of the application shall be timely mailed by the applicant to all parties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33.32(5)</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that additional evidence be considered on rehearing is governed by paragraph </w:t>
      </w:r>
      <w:hyperlink r:id="rId53">
        <w:r>
          <w:rPr>
            <w:rStyle w:val="Hyperlink"/>
            <w:rFonts w:ascii="Times New Roman" w:hAnsi="Times New Roman"/>
            <w:b w:val="false"/>
            <w:i w:val="false"/>
            <w:color w:val="000000"/>
            <w:sz w:val="22"/>
          </w:rPr>
          <w:t>33.30(2)</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33.32(6)</w:t>
      </w:r>
      <w:r>
        <w:rPr>
          <w:rFonts w:ascii="Times New Roman" w:hAnsi="Times New Roman"/>
          <w:b w:val="false"/>
          <w:i w:val="false"/>
          <w:color w:val="000000"/>
          <w:sz w:val="22"/>
        </w:rPr>
        <w:t> </w:t>
      </w:r>
      <w:r>
        <w:rPr>
          <w:rFonts w:ascii="Times New Roman" w:hAnsi="Times New Roman"/>
          <w:b w:val="false"/>
          <w:i w:val="false"/>
          <w:color w:val="000000"/>
          <w:sz w:val="22"/>
        </w:rPr>
        <w:t>Any application for rehearing is deemed denied unless the board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33.32(7)</w:t>
      </w:r>
      <w:r>
        <w:rPr>
          <w:rFonts w:ascii="Times New Roman" w:hAnsi="Times New Roman"/>
          <w:b w:val="false"/>
          <w:i w:val="false"/>
          <w:color w:val="000000"/>
          <w:sz w:val="22"/>
        </w:rPr>
        <w:t> </w:t>
      </w:r>
      <w:r>
        <w:rPr>
          <w:rFonts w:ascii="Times New Roman" w:hAnsi="Times New Roman"/>
          <w:b w:val="false"/>
          <w:i w:val="false"/>
          <w:color w:val="000000"/>
          <w:sz w:val="22"/>
        </w:rPr>
        <w:t>Application for rehearing is the only procedure by which a party may request that the board reconsider a final board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33.32(8)</w:t>
      </w:r>
      <w:r>
        <w:rPr>
          <w:rFonts w:ascii="Times New Roman" w:hAnsi="Times New Roman"/>
          <w:b w:val="false"/>
          <w:i w:val="false"/>
          <w:color w:val="000000"/>
          <w:sz w:val="22"/>
        </w:rPr>
        <w:t> </w:t>
      </w:r>
      <w:r>
        <w:rPr>
          <w:rFonts w:ascii="Times New Roman" w:hAnsi="Times New Roman"/>
          <w:b w:val="false"/>
          <w:i w:val="false"/>
          <w:color w:val="000000"/>
          <w:sz w:val="22"/>
        </w:rPr>
        <w:t>If the board grants an application for rehearing, the board may set the application for oral argument or for hearing if additional evidence will be received. If additional evidence will not be received, the board may issue a ruling without oral argument or hearing. The board may, on the request of a party or on its own motion, order or permit the parties to provide written argument on one or more designated issues. The board may be assisted by an administrative law judge in all proceedings related to an application for rehearing.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641—33.33</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33.33(1)</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shall be filed with the notice of appeal and shall state the reasons justifying a stay or other temporary remedy. The board may rule on the stay or authorize the administrative law judge to do so. Any party to a contested case proceeding may petition the board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to grant a stay, the presiding officer or board will consider the factors listed in Iowa Code section </w:t>
      </w:r>
      <w:hyperlink r:id="rId5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33.33(3)</w:t>
      </w:r>
      <w:r>
        <w:rPr>
          <w:rFonts w:ascii="Times New Roman" w:hAnsi="Times New Roman"/>
          <w:b w:val="false"/>
          <w:i w:val="false"/>
          <w:color w:val="000000"/>
          <w:sz w:val="22"/>
        </w:rPr>
        <w:t>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641—33.34</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641—33.35</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33.35(1)</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board may issue a written order in compliance with Iowa Code section </w:t>
      </w:r>
      <w:hyperlink r:id="rId55">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by emergency adjudicative order. Before issuing an emergency adjudicative order, the board will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33.35(2)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and the board’s decision to take immediate action. The order is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the person who is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Facsimile, which may be used as the sole method of delivery if the person required to comply with the order has filed a written request that board orders be sent by facsimile and has provided a facsimile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will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33.35(3)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 issued, the board will make reasonable immediate efforts to contact by telephone the person who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33.35(4)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board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shall include notification of the date on which board proceedings are scheduled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issuance of an emergency adjudicative order, continuance of further board proceedings to a later date will be granted only in compelling circumstances upon written application unless the person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641—33.36</w:t>
      </w:r>
      <w:r>
        <w:rPr>
          <w:rFonts w:ascii="Times New Roman" w:hAnsi="Times New Roman"/>
          <w:b/>
          <w:i w:val="false"/>
          <w:color w:val="000000"/>
          <w:sz w:val="22"/>
        </w:rPr>
        <w:t xml:space="preserve">(17A,105,272C) </w:t>
      </w:r>
      <w:r>
        <w:rPr>
          <w:rFonts w:ascii="Times New Roman" w:hAnsi="Times New Roman"/>
          <w:b/>
          <w:i w:val="false"/>
          <w:color w:val="000000"/>
          <w:sz w:val="22"/>
        </w:rPr>
        <w:t xml:space="preserve">License denial. </w:t>
      </w:r>
      <w:r>
        <w:rPr>
          <w:rFonts w:ascii="Times New Roman" w:hAnsi="Times New Roman"/>
          <w:b w:val="false"/>
          <w:i w:val="false"/>
          <w:color w:val="000000"/>
          <w:sz w:val="22"/>
        </w:rPr>
        <w:t xml:space="preserve">If the board denies an application for a license, the board or its staff shall send written notice to the applicant by regular first-class mail identifying the factual and legal basis for denying the application. If the board denies an application to renew an existing license, the provisions of rule </w:t>
      </w:r>
      <w:hyperlink r:id="rId56">
        <w:r>
          <w:rPr>
            <w:rStyle w:val="Hyperlink"/>
            <w:rFonts w:ascii="Times New Roman" w:hAnsi="Times New Roman"/>
            <w:b w:val="false"/>
            <w:i w:val="false"/>
            <w:color w:val="000000"/>
            <w:sz w:val="22"/>
          </w:rPr>
          <w:t>641—33.37</w:t>
        </w:r>
      </w:hyperlink>
      <w:r>
        <w:rPr>
          <w:rFonts w:ascii="Times New Roman" w:hAnsi="Times New Roman"/>
          <w:b w:val="false"/>
          <w:i w:val="false"/>
          <w:color w:val="000000"/>
          <w:sz w:val="22"/>
        </w:rPr>
        <w:t>(17A,105,272C)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33.36(1)</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denial of an application for licensure and who desires to contest the denial must request a hearing before the board within 30 calendar days of the date the notice of denial is mailed. A request for hearing must be in writing and is deemed made on the date of the United States Postal Service nonmetered postmark or the date of personal service to the board office. The request for hearing shall specify the factual or legal errors that the applicant contends were made by the board, must identify any factual disputes upon which the applicant desires an evidentiary hearing, and may provide additional written information or documents in support of licensure. If a request for hearing is timely made, the board shall promptly issue a notice of hearing on the grounds asserted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33.36(2)</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subrule </w:t>
      </w:r>
      <w:hyperlink r:id="rId57">
        <w:r>
          <w:rPr>
            <w:rStyle w:val="Hyperlink"/>
            <w:rFonts w:ascii="Times New Roman" w:hAnsi="Times New Roman"/>
            <w:b w:val="false"/>
            <w:i w:val="false"/>
            <w:color w:val="000000"/>
            <w:sz w:val="22"/>
          </w:rPr>
          <w:t>33.10(1)</w:t>
        </w:r>
      </w:hyperlink>
      <w:r>
        <w:rPr>
          <w:rFonts w:ascii="Times New Roman" w:hAnsi="Times New Roman"/>
          <w:b w:val="false"/>
          <w:i w:val="false"/>
          <w:color w:val="000000"/>
          <w:sz w:val="22"/>
        </w:rPr>
        <w:t xml:space="preserve">, the board may act as presiding officer at the contested case hearing, may hold the hearing before a panel of three board members, or may request that an administrative law judge act as the presiding officer and render a proposed decision. A proposed decision by a panel of board members or an administrative law judge is subject to appeal or review by the board pursuant to subrule </w:t>
      </w:r>
      <w:hyperlink r:id="rId58">
        <w:r>
          <w:rPr>
            <w:rStyle w:val="Hyperlink"/>
            <w:rFonts w:ascii="Times New Roman" w:hAnsi="Times New Roman"/>
            <w:b w:val="false"/>
            <w:i w:val="false"/>
            <w:color w:val="000000"/>
            <w:sz w:val="22"/>
          </w:rPr>
          <w:t>33.30(2)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33.36(3)</w:t>
      </w:r>
      <w:r>
        <w:rPr>
          <w:rFonts w:ascii="Times New Roman" w:hAnsi="Times New Roman"/>
          <w:b w:val="false"/>
          <w:i w:val="false"/>
          <w:color w:val="000000"/>
          <w:sz w:val="22"/>
        </w:rPr>
        <w:t> </w:t>
      </w:r>
      <w:r>
        <w:rPr>
          <w:rFonts w:ascii="Times New Roman" w:hAnsi="Times New Roman"/>
          <w:b w:val="false"/>
          <w:i w:val="false"/>
          <w:color w:val="000000"/>
          <w:sz w:val="22"/>
        </w:rPr>
        <w:t>License denial hearings are contested cases open to the public. Evidence supporting the denial of the license may be presented by an assistant attorney general. While each party shall have the burden of establishing the affirmative of matters asserted, the applicant shall have the ultimate burden of persuasion as to the applicant’s qualification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33.36(4)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after a hearing on the license denial, may grant or deny the application for licensure. If denied, the presiding officer shall state the reasons for denial of the license and may state conditions under which the application for licensure might be granted,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license denial, request for hearing, notice of hearing, record at hearing, and order are open records and available for inspection and copying in accordance with Iowa Code chapter </w:t>
      </w:r>
      <w:hyperlink r:id="rId5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collateral organizations, and other persons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33.36(6)</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denying licensure may be sought in accordance with the provisions of Iowa Code section </w:t>
      </w:r>
      <w:hyperlink r:id="rId6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that are applicable to judicial review of any agency’s final decision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641—33.37</w:t>
      </w:r>
      <w:r>
        <w:rPr>
          <w:rFonts w:ascii="Times New Roman" w:hAnsi="Times New Roman"/>
          <w:b/>
          <w:i w:val="false"/>
          <w:color w:val="000000"/>
          <w:sz w:val="22"/>
        </w:rPr>
        <w:t xml:space="preserve">(17A,105,272C) </w:t>
      </w:r>
      <w:r>
        <w:rPr>
          <w:rFonts w:ascii="Times New Roman" w:hAnsi="Times New Roman"/>
          <w:b/>
          <w:i w:val="false"/>
          <w:color w:val="000000"/>
          <w:sz w:val="22"/>
        </w:rPr>
        <w:t xml:space="preserve">Denial of application to renew license. </w:t>
      </w:r>
      <w:r>
        <w:rPr>
          <w:rFonts w:ascii="Times New Roman" w:hAnsi="Times New Roman"/>
          <w:b w:val="false"/>
          <w:i w:val="false"/>
          <w:color w:val="000000"/>
          <w:sz w:val="22"/>
        </w:rPr>
        <w:t>If the board denies a timely and sufficient application to renew a license, a notice of hearing will be issued to commence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33.37(1)</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on denial of an application to renew a license will be conducted according to the procedural rules applicable to contested cases. Evidence supporting the denial of the license may be presented by an assistant attorney general. The provisions of subrules </w:t>
      </w:r>
      <w:hyperlink r:id="rId61">
        <w:r>
          <w:rPr>
            <w:rStyle w:val="Hyperlink"/>
            <w:rFonts w:ascii="Times New Roman" w:hAnsi="Times New Roman"/>
            <w:b w:val="false"/>
            <w:i w:val="false"/>
            <w:color w:val="000000"/>
            <w:sz w:val="22"/>
          </w:rPr>
          <w:t>33.36(2)</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33.36(4)</w:t>
        </w:r>
      </w:hyperlink>
      <w:r>
        <w:rPr>
          <w:rFonts w:ascii="Times New Roman" w:hAnsi="Times New Roman"/>
          <w:b w:val="false"/>
          <w:i w:val="false"/>
          <w:color w:val="000000"/>
          <w:sz w:val="22"/>
        </w:rPr>
        <w:t xml:space="preserve"> to </w:t>
      </w:r>
      <w:hyperlink r:id="rId63">
        <w:r>
          <w:rPr>
            <w:rStyle w:val="Hyperlink"/>
            <w:rFonts w:ascii="Times New Roman" w:hAnsi="Times New Roman"/>
            <w:b w:val="false"/>
            <w:i w:val="false"/>
            <w:color w:val="000000"/>
            <w:sz w:val="22"/>
          </w:rPr>
          <w:t>33.36(6)</w:t>
        </w:r>
      </w:hyperlink>
      <w:r>
        <w:rPr>
          <w:rFonts w:ascii="Times New Roman" w:hAnsi="Times New Roman"/>
          <w:b w:val="false"/>
          <w:i w:val="false"/>
          <w:color w:val="000000"/>
          <w:sz w:val="22"/>
        </w:rPr>
        <w:t xml:space="preserve"> will generally apply, although license denial hearings that are in the nature of disciplinary actions will be subject to all laws and rules applicable to such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33.37(2)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64">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an existing license does not terminate or expire if the licensee has made timely and sufficient application for renewal until the last day for seeking judicial review of the board’s final order denying the application, or a later date fixed by order of the board or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33.37(3)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meaning of Iowa Code section </w:t>
      </w:r>
      <w:hyperlink r:id="rId65">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in paper or electronic form, or postmarked with a nonmetered United States Postal Service postmark on or before the date the license is set to expire or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by the licensee if the application is submitted in paper form or certified as accurate if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Accompanied with the required fee. The fee will be deemed unacceptable if the amount is incorrect, the fee was not included with the application, the credit card number provided by the applicant is incorrect, the date of expiration of a credit card is omitted or incorrect, the attempted credit card transaction is rejected, or the applicant’s check is returned for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33.37(4)</w:t>
      </w:r>
      <w:r>
        <w:rPr>
          <w:rFonts w:ascii="Times New Roman" w:hAnsi="Times New Roman"/>
          <w:b w:val="false"/>
          <w:i w:val="false"/>
          <w:color w:val="000000"/>
          <w:sz w:val="22"/>
        </w:rPr>
        <w:t> </w:t>
      </w:r>
      <w:r>
        <w:rPr>
          <w:rFonts w:ascii="Times New Roman" w:hAnsi="Times New Roman"/>
          <w:b w:val="false"/>
          <w:i w:val="false"/>
          <w:color w:val="000000"/>
          <w:sz w:val="22"/>
        </w:rPr>
        <w:t>The administrative processing of an application to renew an existing license will not prevent the board from subsequently commencing a contested case to challenge the licensee’s qualifications for continued licensure if grounds exist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641—33.38</w:t>
      </w:r>
      <w:r>
        <w:rPr>
          <w:rFonts w:ascii="Times New Roman" w:hAnsi="Times New Roman"/>
          <w:b/>
          <w:i w:val="false"/>
          <w:color w:val="000000"/>
          <w:sz w:val="22"/>
        </w:rPr>
        <w:t xml:space="preserve">(105,272C) </w:t>
      </w:r>
      <w:r>
        <w:rPr>
          <w:rFonts w:ascii="Times New Roman" w:hAnsi="Times New Roman"/>
          <w:b/>
          <w:i w:val="false"/>
          <w:color w:val="000000"/>
          <w:sz w:val="22"/>
        </w:rPr>
        <w:t xml:space="preserve">Recovery of hearing fees and expenses. </w:t>
      </w:r>
      <w:r>
        <w:rPr>
          <w:rFonts w:ascii="Times New Roman" w:hAnsi="Times New Roman"/>
          <w:b w:val="false"/>
          <w:i w:val="false"/>
          <w:color w:val="000000"/>
          <w:sz w:val="22"/>
        </w:rPr>
        <w:t>The board may assess the licensee certain fees and expenses relating to a disciplinary hearing only if the board finds that the licensee has violated a statute or rule enforced by the board. Payment shall be made directly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33.38(1)</w:t>
      </w:r>
      <w:r>
        <w:rPr>
          <w:rFonts w:ascii="Times New Roman" w:hAnsi="Times New Roman"/>
          <w:b w:val="false"/>
          <w:i w:val="false"/>
          <w:color w:val="000000"/>
          <w:sz w:val="22"/>
        </w:rPr>
        <w:t> </w:t>
      </w:r>
      <w:r>
        <w:rPr>
          <w:rFonts w:ascii="Times New Roman" w:hAnsi="Times New Roman"/>
          <w:b w:val="false"/>
          <w:i w:val="false"/>
          <w:color w:val="000000"/>
          <w:sz w:val="22"/>
        </w:rPr>
        <w:t>The board may assess the following costs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conducting a disciplinary hearing, an amount not to exceed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costs involved in the transcript of the hearing or other proceedings in the contested case including, but not limited to, the services of the court reporter at the hearing, transcription, duplication, and postage or delivery costs. In the event of an appeal to the full board from a proposed decision, the appealing party shall timely request and pay for the transcript necessary for use in the board appeal process. The board may assess the transcript cost against the licensee pursuant to Iowa Code section </w:t>
      </w:r>
      <w:hyperlink r:id="rId66">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 xml:space="preserve"> or against the requesting party pursuant to Iowa Code section </w:t>
      </w:r>
      <w:hyperlink r:id="rId67">
        <w:r>
          <w:rPr>
            <w:rStyle w:val="Hyperlink"/>
            <w:rFonts w:ascii="Times New Roman" w:hAnsi="Times New Roman"/>
            <w:b w:val="false"/>
            <w:i w:val="false"/>
            <w:color w:val="000000"/>
            <w:sz w:val="22"/>
          </w:rPr>
          <w:t>17A.12(7)</w:t>
        </w:r>
      </w:hyperlink>
      <w:r>
        <w:rPr>
          <w:rFonts w:ascii="Times New Roman" w:hAnsi="Times New Roman"/>
          <w:b w:val="false"/>
          <w:i w:val="false"/>
          <w:color w:val="000000"/>
          <w:sz w:val="22"/>
        </w:rPr>
        <w:t>, as the board deems equitable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normally accepted witness expenses and fees for a hearing or the taking of depositions, as incurred by the state of Iowa. These costs include, but are not limited to, the cost of an expert witness and the cost involved in telephone testimony. The costs for lay witnesses are guided by Iowa Code section </w:t>
      </w:r>
      <w:hyperlink r:id="rId68">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The cost for expert witnesses is guided by Iowa Code section </w:t>
      </w:r>
      <w:hyperlink r:id="rId69">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Mileage costs are not guided by Iowa Code section </w:t>
      </w:r>
      <w:hyperlink r:id="rId70">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The provisions of Iowa Code section </w:t>
      </w:r>
      <w:hyperlink r:id="rId71">
        <w:r>
          <w:rPr>
            <w:rStyle w:val="Hyperlink"/>
            <w:rFonts w:ascii="Times New Roman" w:hAnsi="Times New Roman"/>
            <w:b w:val="false"/>
            <w:i w:val="false"/>
            <w:color w:val="000000"/>
            <w:sz w:val="22"/>
          </w:rPr>
          <w:t>622.74</w:t>
        </w:r>
      </w:hyperlink>
      <w:r>
        <w:rPr>
          <w:rFonts w:ascii="Times New Roman" w:hAnsi="Times New Roman"/>
          <w:b w:val="false"/>
          <w:i w:val="false"/>
          <w:color w:val="000000"/>
          <w:sz w:val="22"/>
        </w:rPr>
        <w:t xml:space="preserve"> regarding advance payment of witness fees and the consequences of failure to make such payment are applicable with regard to any witness who is subpoenaed by either party to testify at hearing. Additionally, the board may assess travel and lodging expenses for witnesses at a rate not to exceed the rate applicable to state employees on the date the expense is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normally applicable costs incurred by the state of Iowa involved in depositions including, but not limited to, the service of the court reporter who records the deposition, transcription, duplication, and postage or delivery costs. When a deposition of an expert witness is taken, the deposition cost shall include a reasonable expert witness fee. The expert witness fee shall not exceed the expert’s customary hourly or daily rate, and shall include the time spent in travel to and from the deposition but exclude time spent in preparation for the deposition.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33.38(2)</w:t>
      </w:r>
      <w:r>
        <w:rPr>
          <w:rFonts w:ascii="Times New Roman" w:hAnsi="Times New Roman"/>
          <w:b w:val="false"/>
          <w:i w:val="false"/>
          <w:color w:val="000000"/>
          <w:sz w:val="22"/>
        </w:rPr>
        <w:t> </w:t>
      </w:r>
      <w:r>
        <w:rPr>
          <w:rFonts w:ascii="Times New Roman" w:hAnsi="Times New Roman"/>
          <w:b w:val="false"/>
          <w:i w:val="false"/>
          <w:color w:val="000000"/>
          <w:sz w:val="22"/>
        </w:rPr>
        <w:t>When imposed at the board’s discretion, hearing fees (not exceeding $75) will be assessed in the final disciplinary order. Costs and expenses assessed pursuant to this rule will be calculated and, when possible, entered into the final disciplinary order specifying the amount to be reimbursed and the time period in which the amount assessed must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it is impractical or not possible to include in the disciplinary order the exact amount of the assessment and time period in which to pay in a timely manner, or if the expenditures occur after the disciplinary order is issued, the board, by majority vote of the members present, may assess through separate order the amount to be reimbursed and the time period in which payment is to be made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assessment and the time period are not included in the disciplinary order, the board will have until the end of the sixth month after the date the state of Iowa paid the expenditures to assess the licensee for such expenditures. In order for the board to rely on this provision, however, the final disciplinary order must notify the licensee that fees and expenses will be assessed once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33.38(3)</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the fees, costs, or expenses assessed by the board by filing a written objection within 20 days of the issuance of the final disciplinary decision, or within 10 days of any subsequent order establishing the amount of the assessment. A party’s failure to timely object is deemed a failure to exhaust administrative remedies. Orders imposing fees, costs, or expenses will notify the licensee of the time frame in which objections must be filed in order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33.38(4)</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costs, and expenses assessed by the board pursuant to this rule are allocated to the expenditure category in which the disciplinary procedure or hearing was incurred. The fees, costs, and expenses are considered repayment of receipts as defined in Iowa Code section </w:t>
      </w:r>
      <w:hyperlink r:id="rId72">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failure to comply with payment of the assessed costs, fees, and expenses within the time specified by the board constitutes a violation of an order of the board, is grounds for discipline, and is considered prima facie evidence of a violation of Iowa Code section </w:t>
      </w:r>
      <w:hyperlink r:id="rId73">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“a.”</w:t>
      </w:r>
      <w:r>
        <w:rPr>
          <w:rFonts w:ascii="Times New Roman" w:hAnsi="Times New Roman"/>
          <w:b w:val="false"/>
          <w:i w:val="false"/>
          <w:color w:val="000000"/>
          <w:sz w:val="22"/>
        </w:rPr>
        <w:t xml:space="preserve"> However, no action may be taken against the licensee without the opportunity for hearing as provided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641—33.39</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may be sought in accordance with the terms of Iowa Code chapter </w:t>
      </w:r>
      <w:hyperlink r:id="rId7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641—33.40</w:t>
      </w:r>
      <w:r>
        <w:rPr>
          <w:rFonts w:ascii="Times New Roman" w:hAnsi="Times New Roman"/>
          <w:b/>
          <w:i w:val="false"/>
          <w:color w:val="000000"/>
          <w:sz w:val="22"/>
        </w:rPr>
        <w:t xml:space="preserve">(17A,272C)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33.40(1)</w:t>
      </w:r>
      <w:r>
        <w:rPr>
          <w:rFonts w:ascii="Times New Roman" w:hAnsi="Times New Roman"/>
          <w:b w:val="false"/>
          <w:i w:val="false"/>
          <w:color w:val="000000"/>
          <w:sz w:val="22"/>
        </w:rPr>
        <w:t> </w:t>
      </w:r>
      <w:r>
        <w:rPr>
          <w:rFonts w:ascii="Times New Roman" w:hAnsi="Times New Roman"/>
          <w:b w:val="false"/>
          <w:i w:val="false"/>
          <w:color w:val="000000"/>
          <w:sz w:val="22"/>
        </w:rPr>
        <w:t>The term “reinstatement,” as used in this rule, includes both the reinstatement of a suspended license and the issuance of a new license following the revocation or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33.40(2)</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has been revoked or suspended by the board, or who voluntarily surrendered a license in a disciplinary proceeding, may apply to the board for reinstatement in accordance with the terms of the order of revocation or suspension, or order accepting the voluntary surrender, unless the order of revocation provides that the license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33.40(3)</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or suspension did not establish terms and conditions upon which reinstatement might occur, or if the license was voluntarily surrendered, an initial application for reinstatement cannot be made until at least one year has elapsed from the date of the order or the date the board accepted the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33.40(4)</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will be initiated by the respondent, who will file with the board an application for reinstatement of the respondent’s license. Such application will be docketed in the original case in which the license was revoked, suspended, or relinquished. All proceedings upon the application for reinstatement will be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33.40(5)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reinstatement will allege facts which, if established, are sufficient to enable the board to determine that the basis of revocation, suspension or voluntary surrender of the respondent’s license no longer exists and that it will be in the public interest for the license to be reinstated. Compliance with rule </w:t>
      </w:r>
      <w:hyperlink r:id="rId75">
        <w:r>
          <w:rPr>
            <w:rStyle w:val="Hyperlink"/>
            <w:rFonts w:ascii="Times New Roman" w:hAnsi="Times New Roman"/>
            <w:b w:val="false"/>
            <w:i w:val="false"/>
            <w:color w:val="000000"/>
            <w:sz w:val="22"/>
          </w:rPr>
          <w:t>641—33.31</w:t>
        </w:r>
      </w:hyperlink>
      <w:r>
        <w:rPr>
          <w:rFonts w:ascii="Times New Roman" w:hAnsi="Times New Roman"/>
          <w:b w:val="false"/>
          <w:i w:val="false"/>
          <w:color w:val="000000"/>
          <w:sz w:val="22"/>
        </w:rPr>
        <w:t>(17A,272C) must also be established. The burden of proof to establish such facts is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33.40(6)</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of reinstatement will incorporate findings of fact and conclusions of law and be based upon the affirmative vote of no fewer than a majority of the board. This order will be published as provided for in subrule </w:t>
      </w:r>
      <w:hyperlink r:id="rId76">
        <w:r>
          <w:rPr>
            <w:rStyle w:val="Hyperlink"/>
            <w:rFonts w:ascii="Times New Roman" w:hAnsi="Times New Roman"/>
            <w:b w:val="false"/>
            <w:i w:val="false"/>
            <w:color w:val="000000"/>
            <w:sz w:val="22"/>
          </w:rPr>
          <w:t>33.30(1)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7999C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9057B</w:t>
      </w:r>
      <w:r>
        <w:rPr>
          <w:rFonts w:ascii="Times New Roman" w:hAnsi="Times New Roman"/>
          <w:b w:val="false"/>
          <w:i w:val="false"/>
          <w:color w:val="000000"/>
          <w:sz w:val="21"/>
        </w:rPr>
        <w:t xml:space="preserve"> (Notice ARC 8861B, IAB 6/16/10)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1223C</w:t>
      </w:r>
      <w:r>
        <w:rPr>
          <w:rFonts w:ascii="Times New Roman" w:hAnsi="Times New Roman"/>
          <w:b w:val="false"/>
          <w:i w:val="false"/>
          <w:color w:val="000000"/>
          <w:sz w:val="21"/>
        </w:rPr>
        <w:t xml:space="preserve"> (Notice ARC 0931C,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7999C</w:t>
      </w:r>
      <w:r>
        <w:rPr>
          <w:rFonts w:ascii="Times New Roman" w:hAnsi="Times New Roman"/>
          <w:b w:val="false"/>
          <w:i w:val="false"/>
          <w:color w:val="000000"/>
          <w:sz w:val="21"/>
        </w:rPr>
        <w:t xml:space="preserve"> (Notice ARC 7319C, IAB 1/10/24)</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3.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co/chapter/272C.6.pdf" Type="http://schemas.openxmlformats.org/officeDocument/2006/relationships/hyperlink" Id="rId10"/>
    <Relationship TargetMode="External" Target="https://www.legis.iowa.gov/docs/ico/chapter/4.1.pdf" Type="http://schemas.openxmlformats.org/officeDocument/2006/relationships/hyperlink" Id="rId11"/>
    <Relationship TargetMode="External" Target="https://www.legis.iowa.gov/docs/iac/rule/641.33.23.pdf" Type="http://schemas.openxmlformats.org/officeDocument/2006/relationships/hyperlink" Id="rId12"/>
    <Relationship TargetMode="External" Target="https://www.legis.iowa.gov/docs/ico/chapter/272C.6.pdf" Type="http://schemas.openxmlformats.org/officeDocument/2006/relationships/hyperlink" Id="rId13"/>
    <Relationship TargetMode="External" Target="https://www.legis.iowa.gov/docs/ico/chapter/272C.6.pdf" Type="http://schemas.openxmlformats.org/officeDocument/2006/relationships/hyperlink" Id="rId14"/>
    <Relationship TargetMode="External" Target="https://www.legis.iowa.gov/docs/iac/rule/641.33.13.pdf" Type="http://schemas.openxmlformats.org/officeDocument/2006/relationships/hyperlink" Id="rId15"/>
    <Relationship TargetMode="External" Target="https://www.legis.iowa.gov/docs/ico/chapter/105.pdf" Type="http://schemas.openxmlformats.org/officeDocument/2006/relationships/hyperlink" Id="rId16"/>
    <Relationship TargetMode="External" Target="https://www.legis.iowa.gov/docs/ico/chapter/272C.6.pdf" Type="http://schemas.openxmlformats.org/officeDocument/2006/relationships/hyperlink" Id="rId17"/>
    <Relationship TargetMode="External" Target="https://www.legis.iowa.gov/docs/ico/chapter/272C.6.pdf" Type="http://schemas.openxmlformats.org/officeDocument/2006/relationships/hyperlink" Id="rId18"/>
    <Relationship TargetMode="External" Target="https://www.legis.iowa.gov/docs/iac/rule/641.33.29.pdf" Type="http://schemas.openxmlformats.org/officeDocument/2006/relationships/hyperlink" Id="rId19"/>
    <Relationship TargetMode="External" Target="https://www.legis.iowa.gov/docs/iac/rule/641.33.10.pdf" Type="http://schemas.openxmlformats.org/officeDocument/2006/relationships/hyperlink" Id="rId20"/>
    <Relationship TargetMode="External" Target="https://www.legis.iowa.gov/docs/iac/rule/641.33.10.pdf" Type="http://schemas.openxmlformats.org/officeDocument/2006/relationships/hyperlink" Id="rId21"/>
    <Relationship TargetMode="External" Target="https://www.legis.iowa.gov/docs/ico/chapter/17A.17.pdf" Type="http://schemas.openxmlformats.org/officeDocument/2006/relationships/hyperlink" Id="rId22"/>
    <Relationship TargetMode="External" Target="https://www.legis.iowa.gov/docs/iac/rule/641.33.27.pdf" Type="http://schemas.openxmlformats.org/officeDocument/2006/relationships/hyperlink" Id="rId23"/>
    <Relationship TargetMode="External" Target="https://www.legis.iowa.gov/docs/iac/rule/641.34.7.pdf" Type="http://schemas.openxmlformats.org/officeDocument/2006/relationships/hyperlink" Id="rId24"/>
    <Relationship TargetMode="External" Target="https://www.legis.iowa.gov/docs/ico/chapter/17A.16.pdf" Type="http://schemas.openxmlformats.org/officeDocument/2006/relationships/hyperlink" Id="rId25"/>
    <Relationship TargetMode="External" Target="https://www.legis.iowa.gov/docs/iac/rule/641.33.15.pdf" Type="http://schemas.openxmlformats.org/officeDocument/2006/relationships/hyperlink" Id="rId26"/>
    <Relationship TargetMode="External" Target="https://www.legis.iowa.gov/docs/iac/rule/641.34.5.pdf" Type="http://schemas.openxmlformats.org/officeDocument/2006/relationships/hyperlink" Id="rId27"/>
    <Relationship TargetMode="External" Target="https://www.legis.iowa.gov/docs/iac/rule/641.34.5.pdf" Type="http://schemas.openxmlformats.org/officeDocument/2006/relationships/hyperlink" Id="rId28"/>
    <Relationship TargetMode="External" Target="https://www.legis.iowa.gov/docs/iac/rule/641.33.29.pdf" Type="http://schemas.openxmlformats.org/officeDocument/2006/relationships/hyperlink" Id="rId29"/>
    <Relationship TargetMode="External" Target="https://www.legis.iowa.gov/docs/iac/rule/641.33.32.pdf" Type="http://schemas.openxmlformats.org/officeDocument/2006/relationships/hyperlink" Id="rId30"/>
    <Relationship TargetMode="External" Target="https://www.legis.iowa.gov/docs/iac/rule/641.33.30.pdf" Type="http://schemas.openxmlformats.org/officeDocument/2006/relationships/hyperlink" Id="rId31"/>
    <Relationship TargetMode="External" Target="https://www.legis.iowa.gov/docs/ico/chapter/17A.17.pdf" Type="http://schemas.openxmlformats.org/officeDocument/2006/relationships/hyperlink" Id="rId32"/>
    <Relationship TargetMode="External" Target="https://www.legis.iowa.gov/docs/iac/rule/641.33.27.pdf" Type="http://schemas.openxmlformats.org/officeDocument/2006/relationships/hyperlink" Id="rId33"/>
    <Relationship TargetMode="External" Target="https://www.legis.iowa.gov/docs/iac/rule/641.33.30.pdf" Type="http://schemas.openxmlformats.org/officeDocument/2006/relationships/hyperlink" Id="rId34"/>
    <Relationship TargetMode="External" Target="https://www.legis.iowa.gov/docs/iac/rule/641.33.40.pdf" Type="http://schemas.openxmlformats.org/officeDocument/2006/relationships/hyperlink" Id="rId35"/>
    <Relationship TargetMode="External" Target="https://www.legis.iowa.gov/docs/iac/rule/641.33.36.pdf" Type="http://schemas.openxmlformats.org/officeDocument/2006/relationships/hyperlink" Id="rId36"/>
    <Relationship TargetMode="External" Target="https://www.legis.iowa.gov/docs/ico/chapter/272C.6.pdf" Type="http://schemas.openxmlformats.org/officeDocument/2006/relationships/hyperlink" Id="rId37"/>
    <Relationship TargetMode="External" Target="https://www.legis.iowa.gov/docs/iac/rule/641.33.30.pdf" Type="http://schemas.openxmlformats.org/officeDocument/2006/relationships/hyperlink" Id="rId38"/>
    <Relationship TargetMode="External" Target="https://www.legis.iowa.gov/docs/iac/rule/641.33.29.pdf" Type="http://schemas.openxmlformats.org/officeDocument/2006/relationships/hyperlink" Id="rId39"/>
    <Relationship TargetMode="External" Target="https://www.legis.iowa.gov/docs/iac/rule/641.33.33.pdf" Type="http://schemas.openxmlformats.org/officeDocument/2006/relationships/hyperlink" Id="rId40"/>
    <Relationship TargetMode="External" Target="https://www.legis.iowa.gov/docs/iac/rule/641.33.11.pdf" Type="http://schemas.openxmlformats.org/officeDocument/2006/relationships/hyperlink" Id="rId41"/>
    <Relationship TargetMode="External" Target="https://www.legis.iowa.gov/docs/iac/rule/641.33.14.pdf" Type="http://schemas.openxmlformats.org/officeDocument/2006/relationships/hyperlink" Id="rId42"/>
    <Relationship TargetMode="External" Target="https://www.legis.iowa.gov/docs/iac/rule/641.33.11.pdf" Type="http://schemas.openxmlformats.org/officeDocument/2006/relationships/hyperlink" Id="rId43"/>
    <Relationship TargetMode="External" Target="https://www.legis.iowa.gov/docs/iac/rule/641.33.22.pdf" Type="http://schemas.openxmlformats.org/officeDocument/2006/relationships/hyperlink" Id="rId44"/>
    <Relationship TargetMode="External" Target="https://www.legis.iowa.gov/docs/ico/chapter/17A.13.pdf" Type="http://schemas.openxmlformats.org/officeDocument/2006/relationships/hyperlink" Id="rId45"/>
    <Relationship TargetMode="External" Target="https://www.legis.iowa.gov/docs/iac/rule/641.33.14.pdf" Type="http://schemas.openxmlformats.org/officeDocument/2006/relationships/hyperlink" Id="rId46"/>
    <Relationship TargetMode="External" Target="https://www.legis.iowa.gov/docs/ico/chapter/22.pdf" Type="http://schemas.openxmlformats.org/officeDocument/2006/relationships/hyperlink" Id="rId47"/>
    <Relationship TargetMode="External" Target="https://www.legis.iowa.gov/docs/iac/rule/641.33.30.pdf" Type="http://schemas.openxmlformats.org/officeDocument/2006/relationships/hyperlink" Id="rId48"/>
    <Relationship TargetMode="External" Target="https://www.legis.iowa.gov/docs/iac/rule/641.33.30.pdf" Type="http://schemas.openxmlformats.org/officeDocument/2006/relationships/hyperlink" Id="rId49"/>
    <Relationship TargetMode="External" Target="https://www.legis.iowa.gov/docs/iac/rule/641.33.30.pdf" Type="http://schemas.openxmlformats.org/officeDocument/2006/relationships/hyperlink" Id="rId50"/>
    <Relationship TargetMode="External" Target="https://www.legis.iowa.gov/docs/iac/rule/641.33.30.pdf" Type="http://schemas.openxmlformats.org/officeDocument/2006/relationships/hyperlink" Id="rId51"/>
    <Relationship TargetMode="External" Target="https://www.legis.iowa.gov/docs/iac/rule/641.33.31.pdf" Type="http://schemas.openxmlformats.org/officeDocument/2006/relationships/hyperlink" Id="rId52"/>
    <Relationship TargetMode="External" Target="https://www.legis.iowa.gov/docs/iac/rule/641.33.30.pdf" Type="http://schemas.openxmlformats.org/officeDocument/2006/relationships/hyperlink" Id="rId53"/>
    <Relationship TargetMode="External" Target="https://www.legis.iowa.gov/docs/ico/chapter/17A.19.pdf" Type="http://schemas.openxmlformats.org/officeDocument/2006/relationships/hyperlink" Id="rId54"/>
    <Relationship TargetMode="External" Target="https://www.legis.iowa.gov/docs/ico/chapter/17A.18A.pdf" Type="http://schemas.openxmlformats.org/officeDocument/2006/relationships/hyperlink" Id="rId55"/>
    <Relationship TargetMode="External" Target="https://www.legis.iowa.gov/docs/iac/rule/641.33.37.pdf" Type="http://schemas.openxmlformats.org/officeDocument/2006/relationships/hyperlink" Id="rId56"/>
    <Relationship TargetMode="External" Target="https://www.legis.iowa.gov/docs/iac/rule/641.33.10.pdf" Type="http://schemas.openxmlformats.org/officeDocument/2006/relationships/hyperlink" Id="rId57"/>
    <Relationship TargetMode="External" Target="https://www.legis.iowa.gov/docs/iac/rule/641.33.30.pdf" Type="http://schemas.openxmlformats.org/officeDocument/2006/relationships/hyperlink" Id="rId58"/>
    <Relationship TargetMode="External" Target="https://www.legis.iowa.gov/docs/ico/chapter/22.pdf" Type="http://schemas.openxmlformats.org/officeDocument/2006/relationships/hyperlink" Id="rId59"/>
    <Relationship TargetMode="External" Target="https://www.legis.iowa.gov/docs/ico/chapter/17A.19.pdf" Type="http://schemas.openxmlformats.org/officeDocument/2006/relationships/hyperlink" Id="rId60"/>
    <Relationship TargetMode="External" Target="https://www.legis.iowa.gov/docs/iac/rule/641.33.36.pdf" Type="http://schemas.openxmlformats.org/officeDocument/2006/relationships/hyperlink" Id="rId61"/>
    <Relationship TargetMode="External" Target="https://www.legis.iowa.gov/docs/iac/rule/641.33.36.pdf" Type="http://schemas.openxmlformats.org/officeDocument/2006/relationships/hyperlink" Id="rId62"/>
    <Relationship TargetMode="External" Target="https://www.legis.iowa.gov/docs/iac/rule/641.33.36.pdf" Type="http://schemas.openxmlformats.org/officeDocument/2006/relationships/hyperlink" Id="rId63"/>
    <Relationship TargetMode="External" Target="https://www.legis.iowa.gov/docs/ico/chapter/17A.18.pdf" Type="http://schemas.openxmlformats.org/officeDocument/2006/relationships/hyperlink" Id="rId64"/>
    <Relationship TargetMode="External" Target="https://www.legis.iowa.gov/docs/ico/chapter/17A.18.pdf" Type="http://schemas.openxmlformats.org/officeDocument/2006/relationships/hyperlink" Id="rId65"/>
    <Relationship TargetMode="External" Target="https://www.legis.iowa.gov/docs/ico/chapter/272C.6.pdf" Type="http://schemas.openxmlformats.org/officeDocument/2006/relationships/hyperlink" Id="rId66"/>
    <Relationship TargetMode="External" Target="https://www.legis.iowa.gov/docs/ico/chapter/17A.12.pdf" Type="http://schemas.openxmlformats.org/officeDocument/2006/relationships/hyperlink" Id="rId67"/>
    <Relationship TargetMode="External" Target="https://www.legis.iowa.gov/docs/ico/chapter/622.69.pdf" Type="http://schemas.openxmlformats.org/officeDocument/2006/relationships/hyperlink" Id="rId68"/>
    <Relationship TargetMode="External" Target="https://www.legis.iowa.gov/docs/ico/chapter/622.72.pdf" Type="http://schemas.openxmlformats.org/officeDocument/2006/relationships/hyperlink" Id="rId69"/>
    <Relationship TargetMode="External" Target="https://www.legis.iowa.gov/docs/ico/chapter/625.2.pdf" Type="http://schemas.openxmlformats.org/officeDocument/2006/relationships/hyperlink" Id="rId70"/>
    <Relationship TargetMode="External" Target="https://www.legis.iowa.gov/docs/ico/chapter/622.74.pdf" Type="http://schemas.openxmlformats.org/officeDocument/2006/relationships/hyperlink" Id="rId71"/>
    <Relationship TargetMode="External" Target="https://www.legis.iowa.gov/docs/ico/chapter/8.2.pdf" Type="http://schemas.openxmlformats.org/officeDocument/2006/relationships/hyperlink" Id="rId72"/>
    <Relationship TargetMode="External" Target="https://www.legis.iowa.gov/docs/ico/chapter/272C.3.pdf" Type="http://schemas.openxmlformats.org/officeDocument/2006/relationships/hyperlink" Id="rId73"/>
    <Relationship TargetMode="External" Target="https://www.legis.iowa.gov/docs/ico/chapter/17A.pdf" Type="http://schemas.openxmlformats.org/officeDocument/2006/relationships/hyperlink" Id="rId74"/>
    <Relationship TargetMode="External" Target="https://www.legis.iowa.gov/docs/iac/rule/641.33.31.pdf" Type="http://schemas.openxmlformats.org/officeDocument/2006/relationships/hyperlink" Id="rId75"/>
    <Relationship TargetMode="External" Target="https://www.legis.iowa.gov/docs/iac/rule/641.33.30.pdf" Type="http://schemas.openxmlformats.org/officeDocument/2006/relationships/hyperlink" Id="rId76"/>
    <Relationship TargetMode="External" Target="https://www.legis.iowa.gov/docs/ico/chapter/17A.pdf" Type="http://schemas.openxmlformats.org/officeDocument/2006/relationships/hyperlink" Id="rId77"/>
    <Relationship TargetMode="External" Target="https://www.legis.iowa.gov/docs/ico/chapter/105.pdf" Type="http://schemas.openxmlformats.org/officeDocument/2006/relationships/hyperlink" Id="rId78"/>
    <Relationship TargetMode="External" Target="https://www.legis.iowa.gov/docs/ico/chapter/272C.pdf" Type="http://schemas.openxmlformats.org/officeDocument/2006/relationships/hyperlink" Id="rId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