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32</w:t>
      </w:r>
    </w:p>
    <w:p>
      <w:pPr>
        <w:spacing w:before="0" w:after="0"/>
        <w:ind w:left="120"/>
        <w:jc w:val="center"/>
      </w:pPr>
      <w:r>
        <w:rPr>
          <w:rFonts w:ascii="Times New Roman" w:hAnsi="Times New Roman"/>
          <w:b w:val="false"/>
          <w:i w:val="false"/>
          <w:color w:val="000000"/>
          <w:sz w:val="21"/>
        </w:rPr>
        <w:t>PLUMBING AND MECHANICAL SYSTEMS BOARD—LICENSEE DISCIPLINE</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6/19/29</w:t>
      </w:r>
    </w:p>
    <w:p>
      <w:pPr>
        <w:spacing w:before="0" w:after="0"/>
        <w:ind w:left="120"/>
        <w:jc w:val="both"/>
      </w:pPr>
      <w:r>
        <w:rPr>
          <w:rFonts w:ascii="Times New Roman" w:hAnsi="Times New Roman"/>
          <w:b/>
          <w:i w:val="false"/>
          <w:color w:val="000000"/>
          <w:sz w:val="22"/>
        </w:rPr>
        <w:t>641—32.1</w:t>
      </w:r>
      <w:r>
        <w:rPr>
          <w:rFonts w:ascii="Times New Roman" w:hAnsi="Times New Roman"/>
          <w:b/>
          <w:i w:val="false"/>
          <w:color w:val="000000"/>
          <w:sz w:val="22"/>
        </w:rPr>
        <w:t xml:space="preserve">(105,272C)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set forth in Iowa Code section </w:t>
      </w:r>
      <w:hyperlink r:id="rId5">
        <w:r>
          <w:rPr>
            <w:rStyle w:val="Hyperlink"/>
            <w:rFonts w:ascii="Times New Roman" w:hAnsi="Times New Roman"/>
            <w:b w:val="false"/>
            <w:i w:val="false"/>
            <w:color w:val="000000"/>
            <w:sz w:val="22"/>
          </w:rPr>
          <w:t>105.2</w:t>
        </w:r>
      </w:hyperlink>
      <w:r>
        <w:rPr>
          <w:rFonts w:ascii="Times New Roman" w:hAnsi="Times New Roman"/>
          <w:b w:val="false"/>
          <w:i w:val="false"/>
          <w:color w:val="000000"/>
          <w:sz w:val="22"/>
        </w:rPr>
        <w:t xml:space="preserve"> are incorporated herein by reference. For purposes of this chapter, the following definitions also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“Conviction” </w:t>
      </w:r>
      <w:r>
        <w:rPr>
          <w:rFonts w:ascii="Times New Roman" w:hAnsi="Times New Roman"/>
          <w:b w:val="false"/>
          <w:i w:val="false"/>
          <w:color w:val="000000"/>
          <w:sz w:val="22"/>
        </w:rPr>
        <w:t xml:space="preserve">means the same as defined in </w:t>
      </w:r>
      <w:hyperlink r:id="rId6">
        <w:r>
          <w:rPr>
            <w:rStyle w:val="Hyperlink"/>
            <w:rFonts w:ascii="Times New Roman" w:hAnsi="Times New Roman"/>
            <w:b w:val="false"/>
            <w:i w:val="false"/>
            <w:color w:val="000000"/>
            <w:sz w:val="22"/>
          </w:rPr>
          <w:t>641—Chapter 29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“Directly relates”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“directly related” </w:t>
      </w:r>
      <w:r>
        <w:rPr>
          <w:rFonts w:ascii="Times New Roman" w:hAnsi="Times New Roman"/>
          <w:b w:val="false"/>
          <w:i w:val="false"/>
          <w:color w:val="000000"/>
          <w:sz w:val="22"/>
        </w:rPr>
        <w:t xml:space="preserve">means the same as Iowa Code section </w:t>
      </w:r>
      <w:hyperlink r:id="rId7">
        <w:r>
          <w:rPr>
            <w:rStyle w:val="Hyperlink"/>
            <w:rFonts w:ascii="Times New Roman" w:hAnsi="Times New Roman"/>
            <w:b w:val="false"/>
            <w:i w:val="false"/>
            <w:color w:val="000000"/>
            <w:sz w:val="22"/>
          </w:rPr>
          <w:t>272C.1(8)</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“Discipline” </w:t>
      </w:r>
      <w:r>
        <w:rPr>
          <w:rFonts w:ascii="Times New Roman" w:hAnsi="Times New Roman"/>
          <w:b w:val="false"/>
          <w:i w:val="false"/>
          <w:color w:val="000000"/>
          <w:sz w:val="22"/>
        </w:rPr>
        <w:t>means any sanction the board may impose upon licensees.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“Disqualifying conviction”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“disqualifying offense” </w:t>
      </w:r>
      <w:r>
        <w:rPr>
          <w:rFonts w:ascii="Times New Roman" w:hAnsi="Times New Roman"/>
          <w:b w:val="false"/>
          <w:i w:val="false"/>
          <w:color w:val="000000"/>
          <w:sz w:val="22"/>
        </w:rPr>
        <w:t xml:space="preserve">means the same as in </w:t>
      </w:r>
      <w:hyperlink r:id="rId8">
        <w:r>
          <w:rPr>
            <w:rStyle w:val="Hyperlink"/>
            <w:rFonts w:ascii="Times New Roman" w:hAnsi="Times New Roman"/>
            <w:b w:val="false"/>
            <w:i w:val="false"/>
            <w:color w:val="000000"/>
            <w:sz w:val="22"/>
          </w:rPr>
          <w:t>641—Chapter 29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“Lapsed license” </w:t>
      </w:r>
      <w:r>
        <w:rPr>
          <w:rFonts w:ascii="Times New Roman" w:hAnsi="Times New Roman"/>
          <w:b w:val="false"/>
          <w:i w:val="false"/>
          <w:color w:val="000000"/>
          <w:sz w:val="22"/>
        </w:rPr>
        <w:t>means a license that has expired. A lapsed license is no longer valid for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 xml:space="preserve">means any person licensed to practice pursuant to Iowa Code chapter </w:t>
      </w:r>
      <w:hyperlink r:id="rId9">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7998C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641—32.2</w:t>
      </w:r>
      <w:r>
        <w:rPr>
          <w:rFonts w:ascii="Times New Roman" w:hAnsi="Times New Roman"/>
          <w:b/>
          <w:i w:val="false"/>
          <w:color w:val="000000"/>
          <w:sz w:val="22"/>
        </w:rPr>
        <w:t xml:space="preserve">(105,272C) </w:t>
      </w:r>
      <w:r>
        <w:rPr>
          <w:rFonts w:ascii="Times New Roman" w:hAnsi="Times New Roman"/>
          <w:b/>
          <w:i w:val="false"/>
          <w:color w:val="000000"/>
          <w:sz w:val="22"/>
        </w:rPr>
        <w:t xml:space="preserve">Grounds for discipline. </w:t>
      </w:r>
      <w:r>
        <w:rPr>
          <w:rFonts w:ascii="Times New Roman" w:hAnsi="Times New Roman"/>
          <w:b w:val="false"/>
          <w:i w:val="false"/>
          <w:color w:val="000000"/>
          <w:sz w:val="22"/>
        </w:rPr>
        <w:t xml:space="preserve">The board may impose any of the disciplinary sanctions provided in rule </w:t>
      </w:r>
      <w:hyperlink r:id="rId10">
        <w:r>
          <w:rPr>
            <w:rStyle w:val="Hyperlink"/>
            <w:rFonts w:ascii="Times New Roman" w:hAnsi="Times New Roman"/>
            <w:b w:val="false"/>
            <w:i w:val="false"/>
            <w:color w:val="000000"/>
            <w:sz w:val="22"/>
          </w:rPr>
          <w:t>641—32.3</w:t>
        </w:r>
      </w:hyperlink>
      <w:r>
        <w:rPr>
          <w:rFonts w:ascii="Times New Roman" w:hAnsi="Times New Roman"/>
          <w:b w:val="false"/>
          <w:i w:val="false"/>
          <w:color w:val="000000"/>
          <w:sz w:val="22"/>
        </w:rPr>
        <w:t>(105,272C) when the board determines that the licensee is guilty of any of the following acts or offenses: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32.2(1)</w:t>
      </w:r>
      <w:r>
        <w:rPr>
          <w:rFonts w:ascii="Times New Roman" w:hAnsi="Times New Roman"/>
          <w:b w:val="false"/>
          <w:i w:val="false"/>
          <w:color w:val="000000"/>
          <w:sz w:val="22"/>
        </w:rPr>
        <w:t> </w:t>
      </w:r>
      <w:r>
        <w:rPr>
          <w:rFonts w:ascii="Times New Roman" w:hAnsi="Times New Roman"/>
          <w:b w:val="false"/>
          <w:i w:val="false"/>
          <w:color w:val="000000"/>
          <w:sz w:val="22"/>
        </w:rPr>
        <w:t>Fraud in procuring a license. Fraud in procuring a license includes but is not limited to an intentional perversion of the truth in making application for a license to practice in this state, which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False representations of a material fact, whether by word or by conduct, by false or misleading allegations, or by concealment of that which should have been disclosed when making application for a license in this state,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Attempting to file or filing with the board or the department of inspections, appeals, and licensing any false or forged diploma, certificate, affidavit, identification or qualification in making an application for a license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32.2(2)</w:t>
      </w:r>
      <w:r>
        <w:rPr>
          <w:rFonts w:ascii="Times New Roman" w:hAnsi="Times New Roman"/>
          <w:b w:val="false"/>
          <w:i w:val="false"/>
          <w:color w:val="000000"/>
          <w:sz w:val="22"/>
        </w:rPr>
        <w:t> </w:t>
      </w:r>
      <w:r>
        <w:rPr>
          <w:rFonts w:ascii="Times New Roman" w:hAnsi="Times New Roman"/>
          <w:b w:val="false"/>
          <w:i w:val="false"/>
          <w:color w:val="000000"/>
          <w:sz w:val="22"/>
        </w:rPr>
        <w:t>Professional incompetence. Professional incompetence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substantial lack of knowledge or ability to discharge professional obligations within the scope of the applicable licensed trade.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substantial deviation from the standards of learning or skill ordinarily possessed and applied by others licensed in the applicable trade in the state of Iowa acting in the same or similar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failure to exercise the degree of care that is ordinarily exercised by the average licensee in the applicable trade acting in the same or similar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Failure to conform to the minimal standard of acceptable and prevailing practice of a licensee in the applicable trade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Inability to practice in the trade with reasonable skill and safety by reason of illness, drunkenness, excessive use of drugs, narcotics, chemicals, or other type of material or as a result of a mental or physical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Being adjudged mentally incompetent by a court of competent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32.2(3)</w:t>
      </w:r>
      <w:r>
        <w:rPr>
          <w:rFonts w:ascii="Times New Roman" w:hAnsi="Times New Roman"/>
          <w:b w:val="false"/>
          <w:i w:val="false"/>
          <w:color w:val="000000"/>
          <w:sz w:val="22"/>
        </w:rPr>
        <w:t> </w:t>
      </w:r>
      <w:r>
        <w:rPr>
          <w:rFonts w:ascii="Times New Roman" w:hAnsi="Times New Roman"/>
          <w:b w:val="false"/>
          <w:i w:val="false"/>
          <w:color w:val="000000"/>
          <w:sz w:val="22"/>
        </w:rPr>
        <w:t>Knowingly making misleading, deceptive, untrue or fraudulent representations in the practice of the profession or engaging in unethical conduct or practice harmful or detrimental to the public. Proof of actual injury need not be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32.2(4)</w:t>
      </w:r>
      <w:r>
        <w:rPr>
          <w:rFonts w:ascii="Times New Roman" w:hAnsi="Times New Roman"/>
          <w:b w:val="false"/>
          <w:i w:val="false"/>
          <w:color w:val="000000"/>
          <w:sz w:val="22"/>
        </w:rPr>
        <w:t> </w:t>
      </w:r>
      <w:r>
        <w:rPr>
          <w:rFonts w:ascii="Times New Roman" w:hAnsi="Times New Roman"/>
          <w:b w:val="false"/>
          <w:i w:val="false"/>
          <w:color w:val="000000"/>
          <w:sz w:val="22"/>
        </w:rPr>
        <w:t xml:space="preserve">Habitual intoxication or addiction to the use of drugs.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32.2(5)</w:t>
      </w:r>
      <w:r>
        <w:rPr>
          <w:rFonts w:ascii="Times New Roman" w:hAnsi="Times New Roman"/>
          <w:b w:val="false"/>
          <w:i w:val="false"/>
          <w:color w:val="000000"/>
          <w:sz w:val="22"/>
        </w:rPr>
        <w:t> </w:t>
      </w:r>
      <w:r>
        <w:rPr>
          <w:rFonts w:ascii="Times New Roman" w:hAnsi="Times New Roman"/>
          <w:b w:val="false"/>
          <w:i w:val="false"/>
          <w:color w:val="000000"/>
          <w:sz w:val="22"/>
        </w:rPr>
        <w:t>Conviction of a disqualifying offense in the courts of this state or another state, territory, or country. A file-stamped copy of the final order or judgment or conviction or plea of guilty in this state or another state, territory, or country constitutes conclusive evidence of the conviction.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32.2(6)</w:t>
      </w:r>
      <w:r>
        <w:rPr>
          <w:rFonts w:ascii="Times New Roman" w:hAnsi="Times New Roman"/>
          <w:b w:val="false"/>
          <w:i w:val="false"/>
          <w:color w:val="000000"/>
          <w:sz w:val="22"/>
        </w:rPr>
        <w:t> </w:t>
      </w:r>
      <w:r>
        <w:rPr>
          <w:rFonts w:ascii="Times New Roman" w:hAnsi="Times New Roman"/>
          <w:b w:val="false"/>
          <w:i w:val="false"/>
          <w:color w:val="000000"/>
          <w:sz w:val="22"/>
        </w:rPr>
        <w:t>Fraud in representations as to skill or 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32.2(7)</w:t>
      </w:r>
      <w:r>
        <w:rPr>
          <w:rFonts w:ascii="Times New Roman" w:hAnsi="Times New Roman"/>
          <w:b w:val="false"/>
          <w:i w:val="false"/>
          <w:color w:val="000000"/>
          <w:sz w:val="22"/>
        </w:rPr>
        <w:t> </w:t>
      </w:r>
      <w:r>
        <w:rPr>
          <w:rFonts w:ascii="Times New Roman" w:hAnsi="Times New Roman"/>
          <w:b w:val="false"/>
          <w:i w:val="false"/>
          <w:color w:val="000000"/>
          <w:sz w:val="22"/>
        </w:rPr>
        <w:t>Use of untruthful or improbable statements in advertisements.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32.2(8)</w:t>
      </w:r>
      <w:r>
        <w:rPr>
          <w:rFonts w:ascii="Times New Roman" w:hAnsi="Times New Roman"/>
          <w:b w:val="false"/>
          <w:i w:val="false"/>
          <w:color w:val="000000"/>
          <w:sz w:val="22"/>
        </w:rPr>
        <w:t> </w:t>
      </w:r>
      <w:r>
        <w:rPr>
          <w:rFonts w:ascii="Times New Roman" w:hAnsi="Times New Roman"/>
          <w:b w:val="false"/>
          <w:i w:val="false"/>
          <w:color w:val="000000"/>
          <w:sz w:val="22"/>
        </w:rPr>
        <w:t xml:space="preserve">Willful or repeated violations of Iowa Code chapter </w:t>
      </w:r>
      <w:hyperlink r:id="rId11">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 xml:space="preserve"> or </w:t>
      </w:r>
      <w:hyperlink r:id="rId12">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32.2(9)</w:t>
      </w:r>
      <w:r>
        <w:rPr>
          <w:rFonts w:ascii="Times New Roman" w:hAnsi="Times New Roman"/>
          <w:b w:val="false"/>
          <w:i w:val="false"/>
          <w:color w:val="000000"/>
          <w:sz w:val="22"/>
        </w:rPr>
        <w:t> </w:t>
      </w:r>
      <w:r>
        <w:rPr>
          <w:rFonts w:ascii="Times New Roman" w:hAnsi="Times New Roman"/>
          <w:b w:val="false"/>
          <w:i w:val="false"/>
          <w:color w:val="000000"/>
          <w:sz w:val="22"/>
        </w:rPr>
        <w:t>Violation of a board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32.2(10)</w:t>
      </w:r>
      <w:r>
        <w:rPr>
          <w:rFonts w:ascii="Times New Roman" w:hAnsi="Times New Roman"/>
          <w:b w:val="false"/>
          <w:i w:val="false"/>
          <w:color w:val="000000"/>
          <w:sz w:val="22"/>
        </w:rPr>
        <w:t> </w:t>
      </w:r>
      <w:r>
        <w:rPr>
          <w:rFonts w:ascii="Times New Roman" w:hAnsi="Times New Roman"/>
          <w:b w:val="false"/>
          <w:i w:val="false"/>
          <w:color w:val="000000"/>
          <w:sz w:val="22"/>
        </w:rPr>
        <w:t xml:space="preserve">Nonpayment of a state debt as evidenced by a certificate of noncompliance issued pursuant to Iowa Code chapter </w:t>
      </w:r>
      <w:hyperlink r:id="rId13">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481—Chapter 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32.2(11)</w:t>
      </w:r>
      <w:r>
        <w:rPr>
          <w:rFonts w:ascii="Times New Roman" w:hAnsi="Times New Roman"/>
          <w:b w:val="false"/>
          <w:i w:val="false"/>
          <w:color w:val="000000"/>
          <w:sz w:val="22"/>
        </w:rPr>
        <w:t> </w:t>
      </w:r>
      <w:r>
        <w:rPr>
          <w:rFonts w:ascii="Times New Roman" w:hAnsi="Times New Roman"/>
          <w:b w:val="false"/>
          <w:i w:val="false"/>
          <w:color w:val="000000"/>
          <w:sz w:val="22"/>
        </w:rPr>
        <w:t>Permitting another person to use the licensee’s wall certificate, wallet card, or license number for any purpose.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32.2(12)</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timely submit the requested materials in response to a compliance review conducted pursuant to </w:t>
      </w:r>
      <w:hyperlink r:id="rId15">
        <w:r>
          <w:rPr>
            <w:rStyle w:val="Hyperlink"/>
            <w:rFonts w:ascii="Times New Roman" w:hAnsi="Times New Roman"/>
            <w:b w:val="false"/>
            <w:i w:val="false"/>
            <w:color w:val="000000"/>
            <w:sz w:val="22"/>
          </w:rPr>
          <w:t>641—30.5</w:t>
        </w:r>
      </w:hyperlink>
      <w:r>
        <w:rPr>
          <w:rFonts w:ascii="Times New Roman" w:hAnsi="Times New Roman"/>
          <w:b w:val="false"/>
          <w:i w:val="false"/>
          <w:color w:val="000000"/>
          <w:sz w:val="22"/>
        </w:rPr>
        <w:t>(105).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32.2(13)</w:t>
      </w:r>
      <w:r>
        <w:rPr>
          <w:rFonts w:ascii="Times New Roman" w:hAnsi="Times New Roman"/>
          <w:b w:val="false"/>
          <w:i w:val="false"/>
          <w:color w:val="000000"/>
          <w:sz w:val="22"/>
        </w:rPr>
        <w:t> </w:t>
      </w:r>
      <w:r>
        <w:rPr>
          <w:rFonts w:ascii="Times New Roman" w:hAnsi="Times New Roman"/>
          <w:b w:val="false"/>
          <w:i w:val="false"/>
          <w:color w:val="000000"/>
          <w:sz w:val="22"/>
        </w:rPr>
        <w:t>Failure to meet the continuing education requirements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32.2(14)</w:t>
      </w:r>
      <w:r>
        <w:rPr>
          <w:rFonts w:ascii="Times New Roman" w:hAnsi="Times New Roman"/>
          <w:b w:val="false"/>
          <w:i w:val="false"/>
          <w:color w:val="000000"/>
          <w:sz w:val="22"/>
        </w:rPr>
        <w:t> </w:t>
      </w:r>
      <w:r>
        <w:rPr>
          <w:rFonts w:ascii="Times New Roman" w:hAnsi="Times New Roman"/>
          <w:b w:val="false"/>
          <w:i w:val="false"/>
          <w:color w:val="000000"/>
          <w:sz w:val="22"/>
        </w:rPr>
        <w:t>Submission of a false report of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32.2(15)</w:t>
      </w:r>
      <w:r>
        <w:rPr>
          <w:rFonts w:ascii="Times New Roman" w:hAnsi="Times New Roman"/>
          <w:b w:val="false"/>
          <w:i w:val="false"/>
          <w:color w:val="000000"/>
          <w:sz w:val="22"/>
        </w:rPr>
        <w:t> </w:t>
      </w:r>
      <w:r>
        <w:rPr>
          <w:rFonts w:ascii="Times New Roman" w:hAnsi="Times New Roman"/>
          <w:b w:val="false"/>
          <w:i w:val="false"/>
          <w:color w:val="000000"/>
          <w:sz w:val="22"/>
        </w:rPr>
        <w:t>Failure to pay any outstanding fees or costs owed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32.2(16)</w:t>
      </w:r>
      <w:r>
        <w:rPr>
          <w:rFonts w:ascii="Times New Roman" w:hAnsi="Times New Roman"/>
          <w:b w:val="false"/>
          <w:i w:val="false"/>
          <w:color w:val="000000"/>
          <w:sz w:val="22"/>
        </w:rPr>
        <w:t> </w:t>
      </w:r>
      <w:r>
        <w:rPr>
          <w:rFonts w:ascii="Times New Roman" w:hAnsi="Times New Roman"/>
          <w:b w:val="false"/>
          <w:i w:val="false"/>
          <w:color w:val="000000"/>
          <w:sz w:val="22"/>
        </w:rPr>
        <w:t>Acceptance of any fee by fraud or misrepresentation.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32.2(17)</w:t>
      </w:r>
      <w:r>
        <w:rPr>
          <w:rFonts w:ascii="Times New Roman" w:hAnsi="Times New Roman"/>
          <w:b w:val="false"/>
          <w:i w:val="false"/>
          <w:color w:val="000000"/>
          <w:sz w:val="22"/>
        </w:rPr>
        <w:t> </w:t>
      </w:r>
      <w:r>
        <w:rPr>
          <w:rFonts w:ascii="Times New Roman" w:hAnsi="Times New Roman"/>
          <w:b w:val="false"/>
          <w:i w:val="false"/>
          <w:color w:val="000000"/>
          <w:sz w:val="22"/>
        </w:rPr>
        <w:t>Negligence by the licensee in the practice of the trade. Negligence by the licensee in the practice of the trade includes a failure to exercise due care, including negligent delegation of duties or supervision of employees or other individuals, whether or not injury results; or any conduct, practice, or conditions that impair the ability to safely and skillfully practice the trade.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32.2(18)</w:t>
      </w:r>
      <w:r>
        <w:rPr>
          <w:rFonts w:ascii="Times New Roman" w:hAnsi="Times New Roman"/>
          <w:b w:val="false"/>
          <w:i w:val="false"/>
          <w:color w:val="000000"/>
          <w:sz w:val="22"/>
        </w:rPr>
        <w:t> </w:t>
      </w:r>
      <w:r>
        <w:rPr>
          <w:rFonts w:ascii="Times New Roman" w:hAnsi="Times New Roman"/>
          <w:b w:val="false"/>
          <w:i w:val="false"/>
          <w:color w:val="000000"/>
          <w:sz w:val="22"/>
        </w:rPr>
        <w:t>Violation of a law, ordinance, or regulation of this state, or a political subdivision therein, another state, or the United States, which relates to the practice of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32.2(19)</w:t>
      </w:r>
      <w:r>
        <w:rPr>
          <w:rFonts w:ascii="Times New Roman" w:hAnsi="Times New Roman"/>
          <w:b w:val="false"/>
          <w:i w:val="false"/>
          <w:color w:val="000000"/>
          <w:sz w:val="22"/>
        </w:rPr>
        <w:t> </w:t>
      </w:r>
      <w:r>
        <w:rPr>
          <w:rFonts w:ascii="Times New Roman" w:hAnsi="Times New Roman"/>
          <w:b w:val="false"/>
          <w:i w:val="false"/>
          <w:color w:val="000000"/>
          <w:sz w:val="22"/>
        </w:rPr>
        <w:t>Revocation, suspension, or other disciplinary action taken by a licensing authority of this state, another state, territory, or country; or failure by the licensee to report in writing to the board revocation, suspension, or other disciplinary action taken by a licensing authority within 30 days of the final action. A stay by an appellate court does not negate this requirement; however, if such disciplinary action is overturned or reversed by a court of last resort, the report will be expunged from the records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32.2(20)</w:t>
      </w:r>
      <w:r>
        <w:rPr>
          <w:rFonts w:ascii="Times New Roman" w:hAnsi="Times New Roman"/>
          <w:b w:val="false"/>
          <w:i w:val="false"/>
          <w:color w:val="000000"/>
          <w:sz w:val="22"/>
        </w:rPr>
        <w:t> </w:t>
      </w:r>
      <w:r>
        <w:rPr>
          <w:rFonts w:ascii="Times New Roman" w:hAnsi="Times New Roman"/>
          <w:b w:val="false"/>
          <w:i w:val="false"/>
          <w:color w:val="000000"/>
          <w:sz w:val="22"/>
        </w:rPr>
        <w:t>Failure of a licensee or an applicant for licensure in this state to report any voluntary agreements restricting the practice in the trade in another state, district, territory, or country.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32.2(21)</w:t>
      </w:r>
      <w:r>
        <w:rPr>
          <w:rFonts w:ascii="Times New Roman" w:hAnsi="Times New Roman"/>
          <w:b w:val="false"/>
          <w:i w:val="false"/>
          <w:color w:val="000000"/>
          <w:sz w:val="22"/>
        </w:rPr>
        <w:t> </w:t>
      </w:r>
      <w:r>
        <w:rPr>
          <w:rFonts w:ascii="Times New Roman" w:hAnsi="Times New Roman"/>
          <w:b w:val="false"/>
          <w:i w:val="false"/>
          <w:color w:val="000000"/>
          <w:sz w:val="22"/>
        </w:rPr>
        <w:t>Failure to notify the board of a criminal conviction within 30 days of the action, regardless of the jurisdiction where it occurred.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32.2(22)</w:t>
      </w:r>
      <w:r>
        <w:rPr>
          <w:rFonts w:ascii="Times New Roman" w:hAnsi="Times New Roman"/>
          <w:b w:val="false"/>
          <w:i w:val="false"/>
          <w:color w:val="000000"/>
          <w:sz w:val="22"/>
        </w:rPr>
        <w:t> </w:t>
      </w:r>
      <w:r>
        <w:rPr>
          <w:rFonts w:ascii="Times New Roman" w:hAnsi="Times New Roman"/>
          <w:b w:val="false"/>
          <w:i w:val="false"/>
          <w:color w:val="000000"/>
          <w:sz w:val="22"/>
        </w:rPr>
        <w:t>Failure to notify the board within 30 days after the occurrence of any judgment entered on or settlement of a claim or action related to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32.2(23)</w:t>
      </w:r>
      <w:r>
        <w:rPr>
          <w:rFonts w:ascii="Times New Roman" w:hAnsi="Times New Roman"/>
          <w:b w:val="false"/>
          <w:i w:val="false"/>
          <w:color w:val="000000"/>
          <w:sz w:val="22"/>
        </w:rPr>
        <w:t> </w:t>
      </w:r>
      <w:r>
        <w:rPr>
          <w:rFonts w:ascii="Times New Roman" w:hAnsi="Times New Roman"/>
          <w:b w:val="false"/>
          <w:i w:val="false"/>
          <w:color w:val="000000"/>
          <w:sz w:val="22"/>
        </w:rPr>
        <w:t>Engaging in any conduct that subverts or attempts to subvert a board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32.2(24)</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a subpoena issued by the board or otherwise fail to cooperate with an investigation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32.2(25)</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the terms of a board order or the terms of a settlement agreement or consent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32.2(26)</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report another licensee to the board for any violations listed in these rules, pursuant to Iowa Code section </w:t>
      </w:r>
      <w:hyperlink r:id="rId16">
        <w:r>
          <w:rPr>
            <w:rStyle w:val="Hyperlink"/>
            <w:rFonts w:ascii="Times New Roman" w:hAnsi="Times New Roman"/>
            <w:b w:val="false"/>
            <w:i w:val="false"/>
            <w:color w:val="000000"/>
            <w:sz w:val="22"/>
          </w:rPr>
          <w:t>272C.9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32.2(27)</w:t>
      </w:r>
      <w:r>
        <w:rPr>
          <w:rFonts w:ascii="Times New Roman" w:hAnsi="Times New Roman"/>
          <w:b w:val="false"/>
          <w:i w:val="false"/>
          <w:color w:val="000000"/>
          <w:sz w:val="22"/>
        </w:rPr>
        <w:t> </w:t>
      </w:r>
      <w:r>
        <w:rPr>
          <w:rFonts w:ascii="Times New Roman" w:hAnsi="Times New Roman"/>
          <w:b w:val="false"/>
          <w:i w:val="false"/>
          <w:color w:val="000000"/>
          <w:sz w:val="22"/>
        </w:rPr>
        <w:t xml:space="preserve">Knowingly aiding, assisting, procuring, or advising a person to unlawfully practice a trade included in Iowa Code chapter </w:t>
      </w:r>
      <w:hyperlink r:id="rId17">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32.2(28)</w:t>
      </w:r>
      <w:r>
        <w:rPr>
          <w:rFonts w:ascii="Times New Roman" w:hAnsi="Times New Roman"/>
          <w:b w:val="false"/>
          <w:i w:val="false"/>
          <w:color w:val="000000"/>
          <w:sz w:val="22"/>
        </w:rPr>
        <w:t> </w:t>
      </w:r>
      <w:r>
        <w:rPr>
          <w:rFonts w:ascii="Times New Roman" w:hAnsi="Times New Roman"/>
          <w:b w:val="false"/>
          <w:i w:val="false"/>
          <w:color w:val="000000"/>
          <w:sz w:val="22"/>
        </w:rPr>
        <w:t>Failure to report a change in name or address within 30 days after it occurs.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32.2(29)</w:t>
      </w:r>
      <w:r>
        <w:rPr>
          <w:rFonts w:ascii="Times New Roman" w:hAnsi="Times New Roman"/>
          <w:b w:val="false"/>
          <w:i w:val="false"/>
          <w:color w:val="000000"/>
          <w:sz w:val="22"/>
        </w:rPr>
        <w:t> </w:t>
      </w:r>
      <w:r>
        <w:rPr>
          <w:rFonts w:ascii="Times New Roman" w:hAnsi="Times New Roman"/>
          <w:b w:val="false"/>
          <w:i w:val="false"/>
          <w:color w:val="000000"/>
          <w:sz w:val="22"/>
        </w:rPr>
        <w:t>Representing oneself as a licensed tradesperson when one’s license has been suspended or revoked or when the license is on inactive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32.2(30)</w:t>
      </w:r>
      <w:r>
        <w:rPr>
          <w:rFonts w:ascii="Times New Roman" w:hAnsi="Times New Roman"/>
          <w:b w:val="false"/>
          <w:i w:val="false"/>
          <w:color w:val="000000"/>
          <w:sz w:val="22"/>
        </w:rPr>
        <w:t> </w:t>
      </w:r>
      <w:r>
        <w:rPr>
          <w:rFonts w:ascii="Times New Roman" w:hAnsi="Times New Roman"/>
          <w:b w:val="false"/>
          <w:i w:val="false"/>
          <w:color w:val="000000"/>
          <w:sz w:val="22"/>
        </w:rPr>
        <w:t>Permitting another person to use the licensee’s license for any purpose.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32.2(31)</w:t>
      </w:r>
      <w:r>
        <w:rPr>
          <w:rFonts w:ascii="Times New Roman" w:hAnsi="Times New Roman"/>
          <w:b w:val="false"/>
          <w:i w:val="false"/>
          <w:color w:val="000000"/>
          <w:sz w:val="22"/>
        </w:rPr>
        <w:t> </w:t>
      </w:r>
      <w:r>
        <w:rPr>
          <w:rFonts w:ascii="Times New Roman" w:hAnsi="Times New Roman"/>
          <w:b w:val="false"/>
          <w:i w:val="false"/>
          <w:color w:val="000000"/>
          <w:sz w:val="22"/>
        </w:rPr>
        <w:t>Permitting an unlicensed employee or person under the licensee’s control to perform activities necessitating a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32.2(32)</w:t>
      </w:r>
      <w:r>
        <w:rPr>
          <w:rFonts w:ascii="Times New Roman" w:hAnsi="Times New Roman"/>
          <w:b w:val="false"/>
          <w:i w:val="false"/>
          <w:color w:val="000000"/>
          <w:sz w:val="22"/>
        </w:rPr>
        <w:t> </w:t>
      </w:r>
      <w:r>
        <w:rPr>
          <w:rFonts w:ascii="Times New Roman" w:hAnsi="Times New Roman"/>
          <w:b w:val="false"/>
          <w:i w:val="false"/>
          <w:color w:val="000000"/>
          <w:sz w:val="22"/>
        </w:rPr>
        <w:t>Failure to apply and obtain a permit prior to performing work, if mandated by the state or a political subdivision therein.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32.2(33)</w:t>
      </w:r>
      <w:r>
        <w:rPr>
          <w:rFonts w:ascii="Times New Roman" w:hAnsi="Times New Roman"/>
          <w:b w:val="false"/>
          <w:i w:val="false"/>
          <w:color w:val="000000"/>
          <w:sz w:val="22"/>
        </w:rPr>
        <w:t> </w:t>
      </w:r>
      <w:r>
        <w:rPr>
          <w:rFonts w:ascii="Times New Roman" w:hAnsi="Times New Roman"/>
          <w:b w:val="false"/>
          <w:i w:val="false"/>
          <w:color w:val="000000"/>
          <w:sz w:val="22"/>
        </w:rPr>
        <w:t>Failure to pay all inspection fees, if required by the state or a political subdivision therein.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32.2(34)</w:t>
      </w:r>
      <w:r>
        <w:rPr>
          <w:rFonts w:ascii="Times New Roman" w:hAnsi="Times New Roman"/>
          <w:b w:val="false"/>
          <w:i w:val="false"/>
          <w:color w:val="000000"/>
          <w:sz w:val="22"/>
        </w:rPr>
        <w:t> </w:t>
      </w:r>
      <w:r>
        <w:rPr>
          <w:rFonts w:ascii="Times New Roman" w:hAnsi="Times New Roman"/>
          <w:b w:val="false"/>
          <w:i w:val="false"/>
          <w:color w:val="000000"/>
          <w:sz w:val="22"/>
        </w:rPr>
        <w:t>Failure to pay a permit fee, if required by the state or a political subdivision therein.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32.2(35)</w:t>
      </w:r>
      <w:r>
        <w:rPr>
          <w:rFonts w:ascii="Times New Roman" w:hAnsi="Times New Roman"/>
          <w:b w:val="false"/>
          <w:i w:val="false"/>
          <w:color w:val="000000"/>
          <w:sz w:val="22"/>
        </w:rPr>
        <w:t> </w:t>
      </w:r>
      <w:r>
        <w:rPr>
          <w:rFonts w:ascii="Times New Roman" w:hAnsi="Times New Roman"/>
          <w:b w:val="false"/>
          <w:i w:val="false"/>
          <w:color w:val="000000"/>
          <w:sz w:val="22"/>
        </w:rPr>
        <w:t>Practice outside the scope of the license, which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Practicing as a journeyperson without the supervision of a master.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Practicing in a trade for which the licensee does not hold a board-issued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Contracting for plumbing or mechanical work in the state of Iowa without a board-issued contractor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32.2(36)</w:t>
      </w:r>
      <w:r>
        <w:rPr>
          <w:rFonts w:ascii="Times New Roman" w:hAnsi="Times New Roman"/>
          <w:b w:val="false"/>
          <w:i w:val="false"/>
          <w:color w:val="000000"/>
          <w:sz w:val="22"/>
        </w:rPr>
        <w:t> </w:t>
      </w:r>
      <w:r>
        <w:rPr>
          <w:rFonts w:ascii="Times New Roman" w:hAnsi="Times New Roman"/>
          <w:b w:val="false"/>
          <w:i w:val="false"/>
          <w:color w:val="000000"/>
          <w:sz w:val="22"/>
        </w:rPr>
        <w:t>Practicing on a lapsed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32.2(37)</w:t>
      </w:r>
      <w:r>
        <w:rPr>
          <w:rFonts w:ascii="Times New Roman" w:hAnsi="Times New Roman"/>
          <w:b w:val="false"/>
          <w:i w:val="false"/>
          <w:color w:val="000000"/>
          <w:sz w:val="22"/>
        </w:rPr>
        <w:t> </w:t>
      </w:r>
      <w:r>
        <w:rPr>
          <w:rFonts w:ascii="Times New Roman" w:hAnsi="Times New Roman"/>
          <w:b w:val="false"/>
          <w:i w:val="false"/>
          <w:color w:val="000000"/>
          <w:sz w:val="22"/>
        </w:rPr>
        <w:t xml:space="preserve">Practicing as a contractor without valid bonding or insurance, as mandated by Iowa Code section </w:t>
      </w:r>
      <w:hyperlink r:id="rId18">
        <w:r>
          <w:rPr>
            <w:rStyle w:val="Hyperlink"/>
            <w:rFonts w:ascii="Times New Roman" w:hAnsi="Times New Roman"/>
            <w:b w:val="false"/>
            <w:i w:val="false"/>
            <w:color w:val="000000"/>
            <w:sz w:val="22"/>
          </w:rPr>
          <w:t>105.19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7998C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641—32.3</w:t>
      </w:r>
      <w:r>
        <w:rPr>
          <w:rFonts w:ascii="Times New Roman" w:hAnsi="Times New Roman"/>
          <w:b/>
          <w:i w:val="false"/>
          <w:color w:val="000000"/>
          <w:sz w:val="22"/>
        </w:rPr>
        <w:t xml:space="preserve">(105,272C) </w:t>
      </w:r>
      <w:r>
        <w:rPr>
          <w:rFonts w:ascii="Times New Roman" w:hAnsi="Times New Roman"/>
          <w:b/>
          <w:i w:val="false"/>
          <w:color w:val="000000"/>
          <w:sz w:val="22"/>
        </w:rPr>
        <w:t xml:space="preserve">Method of discipline. </w:t>
      </w:r>
      <w:r>
        <w:rPr>
          <w:rFonts w:ascii="Times New Roman" w:hAnsi="Times New Roman"/>
          <w:b w:val="false"/>
          <w:i w:val="false"/>
          <w:color w:val="000000"/>
          <w:sz w:val="22"/>
        </w:rPr>
        <w:t>The board has the authority to impose the following disciplinary sanctions: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Revocation of license.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Suspension of license until further order of the board or for a specific period.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Prohibit permanently, until further order of the board or for a specific period, the licensee’s engaging in specified procedures, methods, or acts.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Probation.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Mandate additional education or training.</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Mandate a reexamination.</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Order a physical or mental evaluation, or order alcohol and drug screening within a time specified by the board.</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Impose civil penalties not to exceed $5,000.</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Issue a citation and warning.</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Such other sanctions allowed by law as may be appropriate.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7998C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641—32.4</w:t>
      </w:r>
      <w:r>
        <w:rPr>
          <w:rFonts w:ascii="Times New Roman" w:hAnsi="Times New Roman"/>
          <w:b/>
          <w:i w:val="false"/>
          <w:color w:val="000000"/>
          <w:sz w:val="22"/>
        </w:rPr>
        <w:t xml:space="preserve">(272C) </w:t>
      </w:r>
      <w:r>
        <w:rPr>
          <w:rFonts w:ascii="Times New Roman" w:hAnsi="Times New Roman"/>
          <w:b/>
          <w:i w:val="false"/>
          <w:color w:val="000000"/>
          <w:sz w:val="22"/>
        </w:rPr>
        <w:t xml:space="preserve">Discretion of board. </w:t>
      </w:r>
      <w:r>
        <w:rPr>
          <w:rFonts w:ascii="Times New Roman" w:hAnsi="Times New Roman"/>
          <w:b w:val="false"/>
          <w:i w:val="false"/>
          <w:color w:val="000000"/>
          <w:sz w:val="22"/>
        </w:rPr>
        <w:t>The following factors may be considered by the board in determining the nature and severity of the disciplinary sanction to be imposed: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relative serious nature of the violation as it relates to ensuring a high standard of professional care to the citizens of this state;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facts of the particular violation;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Any extenuating facts or other countervailing considerations;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number of prior violations or complaints;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seriousness of prior violations or complaints;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Whether remedial action has been taken; and</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Such other factors as may reflect upon the competency, ethical standards, and professional conduct of the licensee.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7998C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641—32.5</w:t>
      </w:r>
      <w:r>
        <w:rPr>
          <w:rFonts w:ascii="Times New Roman" w:hAnsi="Times New Roman"/>
          <w:b/>
          <w:i w:val="false"/>
          <w:color w:val="000000"/>
          <w:sz w:val="22"/>
        </w:rPr>
        <w:t xml:space="preserve">(105) </w:t>
      </w:r>
      <w:r>
        <w:rPr>
          <w:rFonts w:ascii="Times New Roman" w:hAnsi="Times New Roman"/>
          <w:b/>
          <w:i w:val="false"/>
          <w:color w:val="000000"/>
          <w:sz w:val="22"/>
        </w:rPr>
        <w:t xml:space="preserve">Civil penalties—unlicensed penalties. </w:t>
      </w:r>
      <w:r>
        <w:rPr>
          <w:rFonts w:ascii="Times New Roman" w:hAnsi="Times New Roman"/>
          <w:b w:val="false"/>
          <w:i w:val="false"/>
          <w:color w:val="000000"/>
          <w:sz w:val="22"/>
        </w:rPr>
        <w:t xml:space="preserve">The board may impose civil penalties by order against a person who is not licensed by the board based on the unlawful practices specified in Iowa Code section </w:t>
      </w:r>
      <w:hyperlink r:id="rId19">
        <w:r>
          <w:rPr>
            <w:rStyle w:val="Hyperlink"/>
            <w:rFonts w:ascii="Times New Roman" w:hAnsi="Times New Roman"/>
            <w:b w:val="false"/>
            <w:i w:val="false"/>
            <w:color w:val="000000"/>
            <w:sz w:val="22"/>
          </w:rPr>
          <w:t>105.27(1)</w:t>
        </w:r>
      </w:hyperlink>
      <w:r>
        <w:rPr>
          <w:rFonts w:ascii="Times New Roman" w:hAnsi="Times New Roman"/>
          <w:b w:val="false"/>
          <w:i w:val="false"/>
          <w:color w:val="000000"/>
          <w:sz w:val="22"/>
        </w:rPr>
        <w:t xml:space="preserve">. In addition to the procedures set forth in Iowa Code chapters </w:t>
      </w:r>
      <w:hyperlink r:id="rId20">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this chapter applies.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32.5(1)</w:t>
      </w:r>
      <w:r>
        <w:rPr>
          <w:rFonts w:ascii="Times New Roman" w:hAnsi="Times New Roman"/>
          <w:b w:val="false"/>
          <w:i w:val="false"/>
          <w:color w:val="000000"/>
          <w:sz w:val="22"/>
        </w:rPr>
        <w:t> </w:t>
      </w:r>
      <w:r>
        <w:rPr>
          <w:rFonts w:ascii="Times New Roman" w:hAnsi="Times New Roman"/>
          <w:b w:val="false"/>
          <w:i/>
          <w:color w:val="000000"/>
          <w:sz w:val="22"/>
        </w:rPr>
        <w:t xml:space="preserve">Unlawful practices. </w:t>
      </w:r>
      <w:r>
        <w:rPr>
          <w:rFonts w:ascii="Times New Roman" w:hAnsi="Times New Roman"/>
          <w:b w:val="false"/>
          <w:i w:val="false"/>
          <w:color w:val="000000"/>
          <w:sz w:val="22"/>
        </w:rPr>
        <w:t>Practices by an unlicensed person which are subject to civil penalties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Acts or practices by unlicensed persons which necessitate licensure to install or repair plumbing, mechanical, HVAC, refrigeration, sheet metal, or hydronic systems under Iowa Code chapter </w:t>
      </w:r>
      <w:hyperlink r:id="rId22">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Acts or practices by unlicensed persons which necessitate certification to install or repair medical gas piping systems under Iowa Code chapter </w:t>
      </w:r>
      <w:hyperlink r:id="rId23">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Engaging in the business of designing, installing, or repairing plumbing, mechanical, HVAC, refrigeration, sheet metal, or hydronic systems without employing a licensed master.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Providing plumbing, mechanical, HVAC, refrigeration, sheet metal, or hydronic systems services on a contractual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Use or attempted use of a licensee’s certificate or wallet card or use or attempted use of an expired, suspended, revoked, or nonexistent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Falsely impersonating a person licensed under Iowa Code chapter </w:t>
      </w:r>
      <w:hyperlink r:id="rId24">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Providing false or forged evidence of any kind to the board in obtaining or attempting to obtain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Other violations of Iowa Code chapter </w:t>
      </w:r>
      <w:hyperlink r:id="rId25">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Knowingly aiding or abetting an unlicensed person or establishment in any activity identified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32.5(2)</w:t>
      </w:r>
      <w:r>
        <w:rPr>
          <w:rFonts w:ascii="Times New Roman" w:hAnsi="Times New Roman"/>
          <w:b w:val="false"/>
          <w:i w:val="false"/>
          <w:color w:val="000000"/>
          <w:sz w:val="22"/>
        </w:rPr>
        <w:t> </w:t>
      </w:r>
      <w:r>
        <w:rPr>
          <w:rFonts w:ascii="Times New Roman" w:hAnsi="Times New Roman"/>
          <w:b w:val="false"/>
          <w:i/>
          <w:color w:val="000000"/>
          <w:sz w:val="22"/>
        </w:rPr>
        <w:t xml:space="preserve">Investigations. </w:t>
      </w:r>
      <w:r>
        <w:rPr>
          <w:rFonts w:ascii="Times New Roman" w:hAnsi="Times New Roman"/>
          <w:b w:val="false"/>
          <w:i w:val="false"/>
          <w:color w:val="000000"/>
          <w:sz w:val="22"/>
        </w:rPr>
        <w:t xml:space="preserve">The board is authorized by Iowa Code section </w:t>
      </w:r>
      <w:hyperlink r:id="rId26">
        <w:r>
          <w:rPr>
            <w:rStyle w:val="Hyperlink"/>
            <w:rFonts w:ascii="Times New Roman" w:hAnsi="Times New Roman"/>
            <w:b w:val="false"/>
            <w:i w:val="false"/>
            <w:color w:val="000000"/>
            <w:sz w:val="22"/>
          </w:rPr>
          <w:t>17A.13(1)</w:t>
        </w:r>
      </w:hyperlink>
      <w:r>
        <w:rPr>
          <w:rFonts w:ascii="Times New Roman" w:hAnsi="Times New Roman"/>
          <w:b w:val="false"/>
          <w:i w:val="false"/>
          <w:color w:val="000000"/>
          <w:sz w:val="22"/>
        </w:rPr>
        <w:t xml:space="preserve"> and chapters </w:t>
      </w:r>
      <w:hyperlink r:id="rId27">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 xml:space="preserve"> and </w:t>
      </w:r>
      <w:hyperlink r:id="rId28">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to conduct such investigations as are needed to determine whether grounds exist to impose civil penalties against a nonlicensee. Complaint and investigatory files concerning nonlicensees are not confidential except as may be provided in Iowa Code chapter </w:t>
      </w:r>
      <w:hyperlink r:id="rId29">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32.5(3)</w:t>
      </w:r>
      <w:r>
        <w:rPr>
          <w:rFonts w:ascii="Times New Roman" w:hAnsi="Times New Roman"/>
          <w:b w:val="false"/>
          <w:i w:val="false"/>
          <w:color w:val="000000"/>
          <w:sz w:val="22"/>
        </w:rPr>
        <w:t> </w:t>
      </w:r>
      <w:r>
        <w:rPr>
          <w:rFonts w:ascii="Times New Roman" w:hAnsi="Times New Roman"/>
          <w:b w:val="false"/>
          <w:i/>
          <w:color w:val="000000"/>
          <w:sz w:val="22"/>
        </w:rPr>
        <w:t xml:space="preserve">Subpoenas. </w:t>
      </w:r>
      <w:r>
        <w:rPr>
          <w:rFonts w:ascii="Times New Roman" w:hAnsi="Times New Roman"/>
          <w:b w:val="false"/>
          <w:i w:val="false"/>
          <w:color w:val="000000"/>
          <w:sz w:val="22"/>
        </w:rPr>
        <w:t xml:space="preserve">Pursuant to Iowa Code section </w:t>
      </w:r>
      <w:hyperlink r:id="rId30">
        <w:r>
          <w:rPr>
            <w:rStyle w:val="Hyperlink"/>
            <w:rFonts w:ascii="Times New Roman" w:hAnsi="Times New Roman"/>
            <w:b w:val="false"/>
            <w:i w:val="false"/>
            <w:color w:val="000000"/>
            <w:sz w:val="22"/>
          </w:rPr>
          <w:t>17A.13(1)</w:t>
        </w:r>
      </w:hyperlink>
      <w:r>
        <w:rPr>
          <w:rFonts w:ascii="Times New Roman" w:hAnsi="Times New Roman"/>
          <w:b w:val="false"/>
          <w:i w:val="false"/>
          <w:color w:val="000000"/>
          <w:sz w:val="22"/>
        </w:rPr>
        <w:t xml:space="preserve"> and chapter </w:t>
      </w:r>
      <w:hyperlink r:id="rId31">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 xml:space="preserve">, the board is authorized in connection with an investigation of an unlicensed person to issue subpoenas to compel persons to testify and to compel persons to produce books, papers, records and any other real evidence, whether or not privileged or confidential under law, which the board deems necessary as evidence in connection with the civil penalty proceeding or relevant to the decision of whether to initiate a civil penalty proceeding. Board procedures concerning investigative subpoenas are set forth in rule </w:t>
      </w:r>
      <w:hyperlink r:id="rId32">
        <w:r>
          <w:rPr>
            <w:rStyle w:val="Hyperlink"/>
            <w:rFonts w:ascii="Times New Roman" w:hAnsi="Times New Roman"/>
            <w:b w:val="false"/>
            <w:i w:val="false"/>
            <w:color w:val="000000"/>
            <w:sz w:val="22"/>
          </w:rPr>
          <w:t>641—34.5</w:t>
        </w:r>
      </w:hyperlink>
      <w:r>
        <w:rPr>
          <w:rFonts w:ascii="Times New Roman" w:hAnsi="Times New Roman"/>
          <w:b w:val="false"/>
          <w:i w:val="false"/>
          <w:color w:val="000000"/>
          <w:sz w:val="22"/>
        </w:rPr>
        <w:t>(105).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32.5(4)</w:t>
      </w:r>
      <w:r>
        <w:rPr>
          <w:rFonts w:ascii="Times New Roman" w:hAnsi="Times New Roman"/>
          <w:b w:val="false"/>
          <w:i w:val="false"/>
          <w:color w:val="000000"/>
          <w:sz w:val="22"/>
        </w:rPr>
        <w:t> </w:t>
      </w:r>
      <w:r>
        <w:rPr>
          <w:rFonts w:ascii="Times New Roman" w:hAnsi="Times New Roman"/>
          <w:b w:val="false"/>
          <w:i/>
          <w:color w:val="000000"/>
          <w:sz w:val="22"/>
        </w:rPr>
        <w:t xml:space="preserve">Notice of intent to impose civil penalties. </w:t>
      </w:r>
      <w:r>
        <w:rPr>
          <w:rFonts w:ascii="Times New Roman" w:hAnsi="Times New Roman"/>
          <w:b w:val="false"/>
          <w:i w:val="false"/>
          <w:color w:val="000000"/>
          <w:sz w:val="22"/>
        </w:rPr>
        <w:t xml:space="preserve">Notice of the board’s intent to order compliance with Iowa Code chapter </w:t>
      </w:r>
      <w:hyperlink r:id="rId33">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 xml:space="preserve"> and impose a civil penalty will be served upon the nonlicensee by restricted certified mail, return receipt requested, or by personal service in accordance with Iowa Rule of Civil Procedure 1.305. Alternatively, the nonlicensee may accept service personally or through authorized counsel. The notice will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of the legal authority and jurisdiction under which the proposed civil penalty would be imposed.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Reference to the particular sections of the statutes and rules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short, plain statement of the alleged unlawful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dollar amount of the proposed civil penalty and the nature of the intended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Notice of the nonlicensee’s right to a hearing and the time frame in which the hearing must be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address to which written request for hearing must be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32.5(5)</w:t>
      </w:r>
      <w:r>
        <w:rPr>
          <w:rFonts w:ascii="Times New Roman" w:hAnsi="Times New Roman"/>
          <w:b w:val="false"/>
          <w:i w:val="false"/>
          <w:color w:val="000000"/>
          <w:sz w:val="22"/>
        </w:rPr>
        <w:t> </w:t>
      </w:r>
      <w:r>
        <w:rPr>
          <w:rFonts w:ascii="Times New Roman" w:hAnsi="Times New Roman"/>
          <w:b w:val="false"/>
          <w:i/>
          <w:color w:val="000000"/>
          <w:sz w:val="22"/>
        </w:rPr>
        <w:t xml:space="preserve">Requests for hearings.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Nonlicensees must request a hearing within 30 days of the date the notice is received if served through restricted certified mail, or within 30 days of the date of service if service is accepted or made in accordance with Iowa Rule of Civil Procedure 1.305. A request for hearing must be in writing and is deemed made on the date of the nonmetered United States Postal Service postmark or the date of personal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a request for hearing is not timely made, or if the nonlicensee waives in writing the right to hearing and agrees to pay the penalty, the board chairperson, the chairperson’s designee, or the board executive may issue an order imposing the civil penalty and requiring compliance with Iowa Code chapter </w:t>
      </w:r>
      <w:hyperlink r:id="rId34">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 as described in the notice. The order may be mailed by regular first-class mail or served in the same manner as the notice of intent to impose a civil penalty.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 request for hearing is timely made, the board will issue a notice of hearing and conduct a hearing in the same manner as applicable to disciplinary cases against licensees.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Subsequent to the issuance of a notice of hearing under this subrule, the settlement agreement provisions of </w:t>
      </w:r>
      <w:hyperlink r:id="rId35">
        <w:r>
          <w:rPr>
            <w:rStyle w:val="Hyperlink"/>
            <w:rFonts w:ascii="Times New Roman" w:hAnsi="Times New Roman"/>
            <w:b w:val="false"/>
            <w:i w:val="false"/>
            <w:color w:val="000000"/>
            <w:sz w:val="22"/>
          </w:rPr>
          <w:t>641—33.23</w:t>
        </w:r>
      </w:hyperlink>
      <w:r>
        <w:rPr>
          <w:rFonts w:ascii="Times New Roman" w:hAnsi="Times New Roman"/>
          <w:b w:val="false"/>
          <w:i w:val="false"/>
          <w:color w:val="000000"/>
          <w:sz w:val="22"/>
        </w:rPr>
        <w:t>(272C)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of intent to issue an order and the order are public records pursuant to Iowa Code chapter </w:t>
      </w:r>
      <w:hyperlink r:id="rId36">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Copies may be published. Hearings are open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32.5(6)</w:t>
      </w:r>
      <w:r>
        <w:rPr>
          <w:rFonts w:ascii="Times New Roman" w:hAnsi="Times New Roman"/>
          <w:b w:val="false"/>
          <w:i w:val="false"/>
          <w:color w:val="000000"/>
          <w:sz w:val="22"/>
        </w:rPr>
        <w:t> </w:t>
      </w:r>
      <w:r>
        <w:rPr>
          <w:rFonts w:ascii="Times New Roman" w:hAnsi="Times New Roman"/>
          <w:b w:val="false"/>
          <w:i/>
          <w:color w:val="000000"/>
          <w:sz w:val="22"/>
        </w:rPr>
        <w:t xml:space="preserve">Factors for board consideration. </w:t>
      </w:r>
      <w:r>
        <w:rPr>
          <w:rFonts w:ascii="Times New Roman" w:hAnsi="Times New Roman"/>
          <w:b w:val="false"/>
          <w:i w:val="false"/>
          <w:color w:val="000000"/>
          <w:sz w:val="22"/>
        </w:rPr>
        <w:t>The board may consider the following when determining the amount of civil penalty to impose,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the amount imposed will be a substantial economic deterrent to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circumstances leading to or resulting in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severity of the violation and the risk of harm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economic benefits gained by the violator as a result of noncompliance.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welfare or best interest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32.5(7)</w:t>
      </w:r>
      <w:r>
        <w:rPr>
          <w:rFonts w:ascii="Times New Roman" w:hAnsi="Times New Roman"/>
          <w:b w:val="false"/>
          <w:i w:val="false"/>
          <w:color w:val="000000"/>
          <w:sz w:val="22"/>
        </w:rPr>
        <w:t> </w:t>
      </w:r>
      <w:r>
        <w:rPr>
          <w:rFonts w:ascii="Times New Roman" w:hAnsi="Times New Roman"/>
          <w:b w:val="false"/>
          <w:i/>
          <w:color w:val="000000"/>
          <w:sz w:val="22"/>
        </w:rPr>
        <w:t xml:space="preserve">Enforcement options. </w:t>
      </w:r>
      <w:r>
        <w:rPr>
          <w:rFonts w:ascii="Times New Roman" w:hAnsi="Times New Roman"/>
          <w:b w:val="false"/>
          <w:i w:val="false"/>
          <w:color w:val="000000"/>
          <w:sz w:val="22"/>
        </w:rPr>
        <w:t>In addition, or as an alternative, to the administrative process described in these rules, the board may seek an injunction in district court, refer the matter for criminal prosecution, or enter into a consent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32.5(8)</w:t>
      </w:r>
      <w:r>
        <w:rPr>
          <w:rFonts w:ascii="Times New Roman" w:hAnsi="Times New Roman"/>
          <w:b w:val="false"/>
          <w:i w:val="false"/>
          <w:color w:val="000000"/>
          <w:sz w:val="22"/>
        </w:rPr>
        <w:t> </w:t>
      </w:r>
      <w:r>
        <w:rPr>
          <w:rFonts w:ascii="Times New Roman" w:hAnsi="Times New Roman"/>
          <w:b w:val="false"/>
          <w:i/>
          <w:color w:val="000000"/>
          <w:sz w:val="22"/>
        </w:rPr>
        <w:t xml:space="preserve">Judicial review.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aggrieved by the imposition of a civil penalty under this rule may seek a judicial review in accordance with Iowa Code section </w:t>
      </w:r>
      <w:hyperlink r:id="rId37">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board will notify the attorney general of the failure to pay a civil penalty within 30 days after entry of an order or within 10 days following final judgment in favor of the board if an order has been stayed pending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attorney general may commence an action to recover the amount of the penalty, including reasonable attorney fees and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An action to enforce an order under this rule may be joined with an action for an injunction pursuant to Iowa Code section </w:t>
      </w:r>
      <w:hyperlink r:id="rId38">
        <w:r>
          <w:rPr>
            <w:rStyle w:val="Hyperlink"/>
            <w:rFonts w:ascii="Times New Roman" w:hAnsi="Times New Roman"/>
            <w:b w:val="false"/>
            <w:i w:val="false"/>
            <w:color w:val="000000"/>
            <w:sz w:val="22"/>
          </w:rPr>
          <w:t>105.27(4)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7998C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641—32.6</w:t>
      </w:r>
      <w:r>
        <w:rPr>
          <w:rFonts w:ascii="Times New Roman" w:hAnsi="Times New Roman"/>
          <w:b/>
          <w:i w:val="false"/>
          <w:color w:val="000000"/>
          <w:sz w:val="22"/>
        </w:rPr>
        <w:t xml:space="preserve">(105,272C) </w:t>
      </w:r>
      <w:r>
        <w:rPr>
          <w:rFonts w:ascii="Times New Roman" w:hAnsi="Times New Roman"/>
          <w:b/>
          <w:i w:val="false"/>
          <w:color w:val="000000"/>
          <w:sz w:val="22"/>
        </w:rPr>
        <w:t xml:space="preserve">Collection of delinquent civil penalties and discipline-related debts.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32.6(1)</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participate in an income setoff program administered by the department of revenue in accordance with Iowa Code section </w:t>
      </w:r>
      <w:hyperlink r:id="rId39">
        <w:r>
          <w:rPr>
            <w:rStyle w:val="Hyperlink"/>
            <w:rFonts w:ascii="Times New Roman" w:hAnsi="Times New Roman"/>
            <w:b w:val="false"/>
            <w:i w:val="false"/>
            <w:color w:val="000000"/>
            <w:sz w:val="22"/>
          </w:rPr>
          <w:t>421.65</w:t>
        </w:r>
      </w:hyperlink>
      <w:r>
        <w:rPr>
          <w:rFonts w:ascii="Times New Roman" w:hAnsi="Times New Roman"/>
          <w:b w:val="false"/>
          <w:i w:val="false"/>
          <w:color w:val="000000"/>
          <w:sz w:val="22"/>
        </w:rPr>
        <w:t xml:space="preserve"> and rules promulgated thereunder.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32.6(2)</w:t>
      </w:r>
      <w:r>
        <w:rPr>
          <w:rFonts w:ascii="Times New Roman" w:hAnsi="Times New Roman"/>
          <w:b w:val="false"/>
          <w:i w:val="false"/>
          <w:color w:val="000000"/>
          <w:sz w:val="22"/>
        </w:rPr>
        <w:t> </w:t>
      </w:r>
      <w:r>
        <w:rPr>
          <w:rFonts w:ascii="Times New Roman" w:hAnsi="Times New Roman"/>
          <w:b w:val="false"/>
          <w:i w:val="false"/>
          <w:color w:val="000000"/>
          <w:sz w:val="22"/>
        </w:rPr>
        <w:t>Definitions. For purposes of this rule,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“Debtor” </w:t>
      </w:r>
      <w:r>
        <w:rPr>
          <w:rFonts w:ascii="Times New Roman" w:hAnsi="Times New Roman"/>
          <w:b w:val="false"/>
          <w:i w:val="false"/>
          <w:color w:val="000000"/>
          <w:sz w:val="22"/>
        </w:rPr>
        <w:t>means any person who owes a debt to the board as a result of a proceeding in which notice and opportunity to be heard was afforded.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“Income offset program” </w:t>
      </w:r>
      <w:r>
        <w:rPr>
          <w:rFonts w:ascii="Times New Roman" w:hAnsi="Times New Roman"/>
          <w:b w:val="false"/>
          <w:i w:val="false"/>
          <w:color w:val="000000"/>
          <w:sz w:val="22"/>
        </w:rPr>
        <w:t xml:space="preserve">means the program established in Iowa Code section </w:t>
      </w:r>
      <w:hyperlink r:id="rId40">
        <w:r>
          <w:rPr>
            <w:rStyle w:val="Hyperlink"/>
            <w:rFonts w:ascii="Times New Roman" w:hAnsi="Times New Roman"/>
            <w:b w:val="false"/>
            <w:i w:val="false"/>
            <w:color w:val="000000"/>
            <w:sz w:val="22"/>
          </w:rPr>
          <w:t>421.65</w:t>
        </w:r>
      </w:hyperlink>
      <w:r>
        <w:rPr>
          <w:rFonts w:ascii="Times New Roman" w:hAnsi="Times New Roman"/>
          <w:b w:val="false"/>
          <w:i w:val="false"/>
          <w:color w:val="000000"/>
          <w:sz w:val="22"/>
        </w:rPr>
        <w:t xml:space="preserve"> and any rules promulgated thereunder through which the department of revenue coordinates with state agencies to satisfy liabilities owed to those state agencies.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32.6(3)</w:t>
      </w:r>
      <w:r>
        <w:rPr>
          <w:rFonts w:ascii="Times New Roman" w:hAnsi="Times New Roman"/>
          <w:b w:val="false"/>
          <w:i w:val="false"/>
          <w:color w:val="000000"/>
          <w:sz w:val="22"/>
        </w:rPr>
        <w:t> </w:t>
      </w:r>
      <w:r>
        <w:rPr>
          <w:rFonts w:ascii="Times New Roman" w:hAnsi="Times New Roman"/>
          <w:b w:val="false"/>
          <w:i w:val="false"/>
          <w:color w:val="000000"/>
          <w:sz w:val="22"/>
        </w:rPr>
        <w:t>The board office may provide the department of administrative services a liability file containing pertinent information for the identification of the debtor and liability, including if the status of a debt changes due to payment of the debt, invalidation of the liability, alternate payment arrangements with the debtor, bankruptcy, or other factors.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32.6(4)</w:t>
      </w:r>
      <w:r>
        <w:rPr>
          <w:rFonts w:ascii="Times New Roman" w:hAnsi="Times New Roman"/>
          <w:b w:val="false"/>
          <w:i w:val="false"/>
          <w:color w:val="000000"/>
          <w:sz w:val="22"/>
        </w:rPr>
        <w:t> </w:t>
      </w:r>
      <w:r>
        <w:rPr>
          <w:rFonts w:ascii="Times New Roman" w:hAnsi="Times New Roman"/>
          <w:b w:val="false"/>
          <w:i w:val="false"/>
          <w:color w:val="000000"/>
          <w:sz w:val="22"/>
        </w:rPr>
        <w:t>Due diligence.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Before submitting debtor information to the outstanding liability file, the board office will make a good faith attempt to collect from the debtor. Such attempt will include at least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telephone call requesting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initial letter to the debtor’s last discernible address requesting payment within 15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second letter to the debtor’s last discernible address requesting payment within ten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board office will document due diligence and retain such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32.6(5)</w:t>
      </w:r>
      <w:r>
        <w:rPr>
          <w:rFonts w:ascii="Times New Roman" w:hAnsi="Times New Roman"/>
          <w:b w:val="false"/>
          <w:i w:val="false"/>
          <w:color w:val="000000"/>
          <w:sz w:val="22"/>
        </w:rPr>
        <w:t> </w:t>
      </w:r>
      <w:r>
        <w:rPr>
          <w:rFonts w:ascii="Times New Roman" w:hAnsi="Times New Roman"/>
          <w:b w:val="false"/>
          <w:i w:val="false"/>
          <w:color w:val="000000"/>
          <w:sz w:val="22"/>
        </w:rPr>
        <w:t>Notification of offset. Within ten calendar days of receiving notification from the department of revenue that the debtor is entitled to a payment subject to the setoff program, the board office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Send a preoffset notice to the debtor. The preoffset notice will inform the debtor of the amount the department intends to claim, including all of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board’s right to the payment in question.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board’s right to recover the payment through the setoff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basis of the board’s case in regard to the debt.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right of the debtor to request, in accordance with subrule </w:t>
      </w:r>
      <w:hyperlink r:id="rId41">
        <w:r>
          <w:rPr>
            <w:rStyle w:val="Hyperlink"/>
            <w:rFonts w:ascii="Times New Roman" w:hAnsi="Times New Roman"/>
            <w:b w:val="false"/>
            <w:i w:val="false"/>
            <w:color w:val="000000"/>
            <w:sz w:val="22"/>
          </w:rPr>
          <w:t>32.6(6)</w:t>
        </w:r>
      </w:hyperlink>
      <w:r>
        <w:rPr>
          <w:rFonts w:ascii="Times New Roman" w:hAnsi="Times New Roman"/>
          <w:b w:val="false"/>
          <w:i w:val="false"/>
          <w:color w:val="000000"/>
          <w:sz w:val="22"/>
        </w:rPr>
        <w:t xml:space="preserve"> and within 15 days of the mailing of the preoffset notice, a split of the payment between parties when the payment in question is jointly owned or otherwise owned by two or more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debtor’s right to appeal the offset, in accordance with subrule </w:t>
      </w:r>
      <w:hyperlink r:id="rId42">
        <w:r>
          <w:rPr>
            <w:rStyle w:val="Hyperlink"/>
            <w:rFonts w:ascii="Times New Roman" w:hAnsi="Times New Roman"/>
            <w:b w:val="false"/>
            <w:i w:val="false"/>
            <w:color w:val="000000"/>
            <w:sz w:val="22"/>
          </w:rPr>
          <w:t>32.6(7)</w:t>
        </w:r>
      </w:hyperlink>
      <w:r>
        <w:rPr>
          <w:rFonts w:ascii="Times New Roman" w:hAnsi="Times New Roman"/>
          <w:b w:val="false"/>
          <w:i w:val="false"/>
          <w:color w:val="000000"/>
          <w:sz w:val="22"/>
        </w:rPr>
        <w:t xml:space="preserve"> and within 15 days of the mailing of the preoffset notice, and the procedure to follow in that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board office’s contact information in case of questions.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Notify the department of revenue that the preoffset notice has been sent to the debtor, and supply a copy of the preoffset notice to the department of revenue.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32.6(6)</w:t>
      </w:r>
      <w:r>
        <w:rPr>
          <w:rFonts w:ascii="Times New Roman" w:hAnsi="Times New Roman"/>
          <w:b w:val="false"/>
          <w:i w:val="false"/>
          <w:color w:val="000000"/>
          <w:sz w:val="22"/>
        </w:rPr>
        <w:t> </w:t>
      </w:r>
      <w:r>
        <w:rPr>
          <w:rFonts w:ascii="Times New Roman" w:hAnsi="Times New Roman"/>
          <w:b w:val="false"/>
          <w:i w:val="false"/>
          <w:color w:val="000000"/>
          <w:sz w:val="22"/>
        </w:rPr>
        <w:t>Request to divide a jointly or commonly owned right to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debtor who receives a preoffset notice may request release of a joint or common owner’s share, if the request is received by the board within 15 days of the date the preoffset notice is mailed.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conjunction with such a request, the debtor shall provide to the board the full name and social security number of any joint or common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Upon receipt of such a request, the board office will notify the department of revenue of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32.6(7)</w:t>
      </w:r>
      <w:r>
        <w:rPr>
          <w:rFonts w:ascii="Times New Roman" w:hAnsi="Times New Roman"/>
          <w:b w:val="false"/>
          <w:i w:val="false"/>
          <w:color w:val="000000"/>
          <w:sz w:val="22"/>
        </w:rPr>
        <w:t> </w:t>
      </w:r>
      <w:r>
        <w:rPr>
          <w:rFonts w:ascii="Times New Roman" w:hAnsi="Times New Roman"/>
          <w:b w:val="false"/>
          <w:i w:val="false"/>
          <w:color w:val="000000"/>
          <w:sz w:val="22"/>
        </w:rPr>
        <w:t xml:space="preserve">Appeal process. A debtor who receives a preoffset notice may request an appeal of the underlying debt within 15 days of the date the preoffset notice is mailed. A contested case appeal will be conducted pursuant to </w:t>
      </w:r>
      <w:hyperlink r:id="rId43">
        <w:r>
          <w:rPr>
            <w:rStyle w:val="Hyperlink"/>
            <w:rFonts w:ascii="Times New Roman" w:hAnsi="Times New Roman"/>
            <w:b w:val="false"/>
            <w:i w:val="false"/>
            <w:color w:val="000000"/>
            <w:sz w:val="22"/>
          </w:rPr>
          <w:t>641—Chapter 33</w:t>
        </w:r>
      </w:hyperlink>
      <w:r>
        <w:rPr>
          <w:rFonts w:ascii="Times New Roman" w:hAnsi="Times New Roman"/>
          <w:b w:val="false"/>
          <w:i w:val="false"/>
          <w:color w:val="000000"/>
          <w:sz w:val="22"/>
        </w:rPr>
        <w:t>. The board will notify the department of revenue within 45 days of the notification of setoff. The board will hold a payment in abeyance until the final disposition of the contested liability or setoff.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32.6(8)</w:t>
      </w:r>
      <w:r>
        <w:rPr>
          <w:rFonts w:ascii="Times New Roman" w:hAnsi="Times New Roman"/>
          <w:b w:val="false"/>
          <w:i w:val="false"/>
          <w:color w:val="000000"/>
          <w:sz w:val="22"/>
        </w:rPr>
        <w:t> </w:t>
      </w:r>
      <w:r>
        <w:rPr>
          <w:rFonts w:ascii="Times New Roman" w:hAnsi="Times New Roman"/>
          <w:b w:val="false"/>
          <w:i w:val="false"/>
          <w:color w:val="000000"/>
          <w:sz w:val="22"/>
        </w:rPr>
        <w:t>Once any setoff has been completed, the board office will notify the debtor of the action taken and what balance, if any, remains owing to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7998C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44">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 xml:space="preserve"> and </w:t>
      </w:r>
      <w:hyperlink r:id="rId45">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After Notice ARC 8531B</w:t>
      </w:r>
      <w:r>
        <w:rPr>
          <w:rFonts w:ascii="Times New Roman" w:hAnsi="Times New Roman"/>
          <w:b w:val="false"/>
          <w:i w:val="false"/>
          <w:color w:val="000000"/>
          <w:sz w:val="21"/>
        </w:rPr>
        <w:t xml:space="preserve"> (Notice ARC 8363B, IAB 12/2/09)</w:t>
      </w:r>
      <w:r>
        <w:rPr>
          <w:rFonts w:ascii="Times New Roman" w:hAnsi="Times New Roman"/>
          <w:b w:val="false"/>
          <w:i w:val="false"/>
          <w:color w:val="000000"/>
          <w:sz w:val="21"/>
        </w:rPr>
        <w:t>, IAB 2/24/10, effective 1/26/10]</w:t>
      </w:r>
    </w:p>
    <w:p>
      <w:pPr>
        <w:spacing w:before="0" w:after="0"/>
        <w:ind w:left="120"/>
        <w:jc w:val="center"/>
      </w:pPr>
      <w:r>
        <w:rPr>
          <w:rFonts w:ascii="Times New Roman" w:hAnsi="Times New Roman"/>
          <w:b w:val="false"/>
          <w:i w:val="false"/>
          <w:color w:val="000000"/>
          <w:sz w:val="21"/>
        </w:rPr>
        <w:t>[Filed ARC 1222C</w:t>
      </w:r>
      <w:r>
        <w:rPr>
          <w:rFonts w:ascii="Times New Roman" w:hAnsi="Times New Roman"/>
          <w:b w:val="false"/>
          <w:i w:val="false"/>
          <w:color w:val="000000"/>
          <w:sz w:val="21"/>
        </w:rPr>
        <w:t xml:space="preserve"> (Notice ARC 0932C, IAB 8/7/13)</w:t>
      </w:r>
      <w:r>
        <w:rPr>
          <w:rFonts w:ascii="Times New Roman" w:hAnsi="Times New Roman"/>
          <w:b w:val="false"/>
          <w:i w:val="false"/>
          <w:color w:val="000000"/>
          <w:sz w:val="21"/>
        </w:rPr>
        <w:t>, IAB 12/11/13, effective 1/15/14]</w:t>
      </w:r>
    </w:p>
    <w:p>
      <w:pPr>
        <w:spacing w:before="0" w:after="0"/>
        <w:ind w:left="120"/>
        <w:jc w:val="center"/>
      </w:pPr>
      <w:r>
        <w:rPr>
          <w:rFonts w:ascii="Times New Roman" w:hAnsi="Times New Roman"/>
          <w:b w:val="false"/>
          <w:i w:val="false"/>
          <w:color w:val="000000"/>
          <w:sz w:val="21"/>
        </w:rPr>
        <w:t>[Filed ARC 5038C</w:t>
      </w:r>
      <w:r>
        <w:rPr>
          <w:rFonts w:ascii="Times New Roman" w:hAnsi="Times New Roman"/>
          <w:b w:val="false"/>
          <w:i w:val="false"/>
          <w:color w:val="000000"/>
          <w:sz w:val="21"/>
        </w:rPr>
        <w:t xml:space="preserve"> (Notice ARC 4943C, IAB 2/26/20)</w:t>
      </w:r>
      <w:r>
        <w:rPr>
          <w:rFonts w:ascii="Times New Roman" w:hAnsi="Times New Roman"/>
          <w:b w:val="false"/>
          <w:i w:val="false"/>
          <w:color w:val="000000"/>
          <w:sz w:val="21"/>
        </w:rPr>
        <w:t>, IAB 5/6/20, effective 6/24/20]</w:t>
      </w:r>
    </w:p>
    <w:p>
      <w:pPr>
        <w:spacing w:before="0" w:after="0"/>
        <w:ind w:left="120"/>
        <w:jc w:val="center"/>
      </w:pPr>
      <w:r>
        <w:rPr>
          <w:rFonts w:ascii="Times New Roman" w:hAnsi="Times New Roman"/>
          <w:b w:val="false"/>
          <w:i w:val="false"/>
          <w:color w:val="000000"/>
          <w:sz w:val="21"/>
        </w:rPr>
        <w:t>[Filed ARC 5762C</w:t>
      </w:r>
      <w:r>
        <w:rPr>
          <w:rFonts w:ascii="Times New Roman" w:hAnsi="Times New Roman"/>
          <w:b w:val="false"/>
          <w:i w:val="false"/>
          <w:color w:val="000000"/>
          <w:sz w:val="21"/>
        </w:rPr>
        <w:t xml:space="preserve"> (Notice ARC 5477C,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7998C</w:t>
      </w:r>
      <w:r>
        <w:rPr>
          <w:rFonts w:ascii="Times New Roman" w:hAnsi="Times New Roman"/>
          <w:b w:val="false"/>
          <w:i w:val="false"/>
          <w:color w:val="000000"/>
          <w:sz w:val="21"/>
        </w:rPr>
        <w:t xml:space="preserve"> (Notice ARC 7285C, IAB 1/10/24)</w:t>
      </w:r>
      <w:r>
        <w:rPr>
          <w:rFonts w:ascii="Times New Roman" w:hAnsi="Times New Roman"/>
          <w:b w:val="false"/>
          <w:i w:val="false"/>
          <w:color w:val="000000"/>
          <w:sz w:val="21"/>
        </w:rPr>
        <w:t>, IAB 5/15/24, effective 6/19/24]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05.2.pdf" Type="http://schemas.openxmlformats.org/officeDocument/2006/relationships/hyperlink" Id="rId5"/>
    <Relationship TargetMode="External" Target="https://www.legis.iowa.gov/docs/iac/chapter/641.29.pdf" Type="http://schemas.openxmlformats.org/officeDocument/2006/relationships/hyperlink" Id="rId6"/>
    <Relationship TargetMode="External" Target="https://www.legis.iowa.gov/docs/ico/chapter/272C.1.pdf" Type="http://schemas.openxmlformats.org/officeDocument/2006/relationships/hyperlink" Id="rId7"/>
    <Relationship TargetMode="External" Target="https://www.legis.iowa.gov/docs/iac/chapter/641.29.pdf" Type="http://schemas.openxmlformats.org/officeDocument/2006/relationships/hyperlink" Id="rId8"/>
    <Relationship TargetMode="External" Target="https://www.legis.iowa.gov/docs/ico/chapter/105.pdf" Type="http://schemas.openxmlformats.org/officeDocument/2006/relationships/hyperlink" Id="rId9"/>
    <Relationship TargetMode="External" Target="https://www.legis.iowa.gov/docs/iac/rule/641.32.3.pdf" Type="http://schemas.openxmlformats.org/officeDocument/2006/relationships/hyperlink" Id="rId10"/>
    <Relationship TargetMode="External" Target="https://www.legis.iowa.gov/docs/ico/chapter/105.pdf" Type="http://schemas.openxmlformats.org/officeDocument/2006/relationships/hyperlink" Id="rId11"/>
    <Relationship TargetMode="External" Target="https://www.legis.iowa.gov/docs/ico/chapter/272C.pdf" Type="http://schemas.openxmlformats.org/officeDocument/2006/relationships/hyperlink" Id="rId12"/>
    <Relationship TargetMode="External" Target="https://www.legis.iowa.gov/docs/ico/chapter/272D.pdf" Type="http://schemas.openxmlformats.org/officeDocument/2006/relationships/hyperlink" Id="rId13"/>
    <Relationship TargetMode="External" Target="https://www.legis.iowa.gov/docs/iac/chapter/481.8.pdf" Type="http://schemas.openxmlformats.org/officeDocument/2006/relationships/hyperlink" Id="rId14"/>
    <Relationship TargetMode="External" Target="https://www.legis.iowa.gov/docs/iac/rule/641.30.5.pdf" Type="http://schemas.openxmlformats.org/officeDocument/2006/relationships/hyperlink" Id="rId15"/>
    <Relationship TargetMode="External" Target="https://www.legis.iowa.gov/docs/ico/chapter/272C.9.pdf" Type="http://schemas.openxmlformats.org/officeDocument/2006/relationships/hyperlink" Id="rId16"/>
    <Relationship TargetMode="External" Target="https://www.legis.iowa.gov/docs/ico/chapter/105.pdf" Type="http://schemas.openxmlformats.org/officeDocument/2006/relationships/hyperlink" Id="rId17"/>
    <Relationship TargetMode="External" Target="https://www.legis.iowa.gov/docs/ico/chapter/105.19.pdf" Type="http://schemas.openxmlformats.org/officeDocument/2006/relationships/hyperlink" Id="rId18"/>
    <Relationship TargetMode="External" Target="https://www.legis.iowa.gov/docs/ico/chapter/105.27.pdf" Type="http://schemas.openxmlformats.org/officeDocument/2006/relationships/hyperlink" Id="rId19"/>
    <Relationship TargetMode="External" Target="https://www.legis.iowa.gov/docs/ico/chapter/105.pdf" Type="http://schemas.openxmlformats.org/officeDocument/2006/relationships/hyperlink" Id="rId20"/>
    <Relationship TargetMode="External" Target="https://www.legis.iowa.gov/docs/ico/chapter/272C.pdf" Type="http://schemas.openxmlformats.org/officeDocument/2006/relationships/hyperlink" Id="rId21"/>
    <Relationship TargetMode="External" Target="https://www.legis.iowa.gov/docs/ico/chapter/105.pdf" Type="http://schemas.openxmlformats.org/officeDocument/2006/relationships/hyperlink" Id="rId22"/>
    <Relationship TargetMode="External" Target="https://www.legis.iowa.gov/docs/ico/chapter/105.pdf" Type="http://schemas.openxmlformats.org/officeDocument/2006/relationships/hyperlink" Id="rId23"/>
    <Relationship TargetMode="External" Target="https://www.legis.iowa.gov/docs/ico/chapter/105.pdf" Type="http://schemas.openxmlformats.org/officeDocument/2006/relationships/hyperlink" Id="rId24"/>
    <Relationship TargetMode="External" Target="https://www.legis.iowa.gov/docs/ico/chapter/105.pdf" Type="http://schemas.openxmlformats.org/officeDocument/2006/relationships/hyperlink" Id="rId25"/>
    <Relationship TargetMode="External" Target="https://www.legis.iowa.gov/docs/ico/chapter/17A.13.pdf" Type="http://schemas.openxmlformats.org/officeDocument/2006/relationships/hyperlink" Id="rId26"/>
    <Relationship TargetMode="External" Target="https://www.legis.iowa.gov/docs/ico/chapter/105.pdf" Type="http://schemas.openxmlformats.org/officeDocument/2006/relationships/hyperlink" Id="rId27"/>
    <Relationship TargetMode="External" Target="https://www.legis.iowa.gov/docs/ico/chapter/272C.pdf" Type="http://schemas.openxmlformats.org/officeDocument/2006/relationships/hyperlink" Id="rId28"/>
    <Relationship TargetMode="External" Target="https://www.legis.iowa.gov/docs/ico/chapter/22.pdf" Type="http://schemas.openxmlformats.org/officeDocument/2006/relationships/hyperlink" Id="rId29"/>
    <Relationship TargetMode="External" Target="https://www.legis.iowa.gov/docs/ico/chapter/17A.13.pdf" Type="http://schemas.openxmlformats.org/officeDocument/2006/relationships/hyperlink" Id="rId30"/>
    <Relationship TargetMode="External" Target="https://www.legis.iowa.gov/docs/ico/chapter/105.pdf" Type="http://schemas.openxmlformats.org/officeDocument/2006/relationships/hyperlink" Id="rId31"/>
    <Relationship TargetMode="External" Target="https://www.legis.iowa.gov/docs/iac/rule/641.34.5.pdf" Type="http://schemas.openxmlformats.org/officeDocument/2006/relationships/hyperlink" Id="rId32"/>
    <Relationship TargetMode="External" Target="https://www.legis.iowa.gov/docs/ico/chapter/105.pdf" Type="http://schemas.openxmlformats.org/officeDocument/2006/relationships/hyperlink" Id="rId33"/>
    <Relationship TargetMode="External" Target="https://www.legis.iowa.gov/docs/ico/chapter/105.pdf" Type="http://schemas.openxmlformats.org/officeDocument/2006/relationships/hyperlink" Id="rId34"/>
    <Relationship TargetMode="External" Target="https://www.legis.iowa.gov/docs/iac/rule/641.33.23.pdf" Type="http://schemas.openxmlformats.org/officeDocument/2006/relationships/hyperlink" Id="rId35"/>
    <Relationship TargetMode="External" Target="https://www.legis.iowa.gov/docs/ico/chapter/22.pdf" Type="http://schemas.openxmlformats.org/officeDocument/2006/relationships/hyperlink" Id="rId36"/>
    <Relationship TargetMode="External" Target="https://www.legis.iowa.gov/docs/ico/chapter/17A.19.pdf" Type="http://schemas.openxmlformats.org/officeDocument/2006/relationships/hyperlink" Id="rId37"/>
    <Relationship TargetMode="External" Target="https://www.legis.iowa.gov/docs/ico/chapter/105.27.pdf" Type="http://schemas.openxmlformats.org/officeDocument/2006/relationships/hyperlink" Id="rId38"/>
    <Relationship TargetMode="External" Target="https://www.legis.iowa.gov/docs/ico/chapter/421.65.pdf" Type="http://schemas.openxmlformats.org/officeDocument/2006/relationships/hyperlink" Id="rId39"/>
    <Relationship TargetMode="External" Target="https://www.legis.iowa.gov/docs/ico/chapter/421.65.pdf" Type="http://schemas.openxmlformats.org/officeDocument/2006/relationships/hyperlink" Id="rId40"/>
    <Relationship TargetMode="External" Target="https://www.legis.iowa.gov/docs/iac/rule/641.32.6.pdf" Type="http://schemas.openxmlformats.org/officeDocument/2006/relationships/hyperlink" Id="rId41"/>
    <Relationship TargetMode="External" Target="https://www.legis.iowa.gov/docs/iac/rule/641.32.6.pdf" Type="http://schemas.openxmlformats.org/officeDocument/2006/relationships/hyperlink" Id="rId42"/>
    <Relationship TargetMode="External" Target="https://www.legis.iowa.gov/docs/iac/chapter/641.33.pdf" Type="http://schemas.openxmlformats.org/officeDocument/2006/relationships/hyperlink" Id="rId43"/>
    <Relationship TargetMode="External" Target="https://www.legis.iowa.gov/docs/ico/chapter/105.pdf" Type="http://schemas.openxmlformats.org/officeDocument/2006/relationships/hyperlink" Id="rId44"/>
    <Relationship TargetMode="External" Target="https://www.legis.iowa.gov/docs/ico/chapter/272C.pdf" Type="http://schemas.openxmlformats.org/officeDocument/2006/relationships/hyperlink" Id="rId4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