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PLUMBING AND MECHANICAL SYSTEMS BOARD—APPLICATION,</w:t>
      </w:r>
      <w:r>
        <w:br/>
      </w:r>
      <w:r>
        <w:rPr>
          <w:rFonts w:ascii="Times New Roman" w:hAnsi="Times New Roman"/>
          <w:b w:val="false"/>
          <w:i w:val="false"/>
          <w:color w:val="000000"/>
          <w:sz w:val="21"/>
        </w:rPr>
        <w:t xml:space="preserve"> LICENSURE, AND EXAMINATION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641—29.1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means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“Corresponding” </w:t>
      </w:r>
      <w:r>
        <w:rPr>
          <w:rFonts w:ascii="Times New Roman" w:hAnsi="Times New Roman"/>
          <w:b w:val="false"/>
          <w:i w:val="false"/>
          <w:color w:val="000000"/>
          <w:sz w:val="22"/>
        </w:rPr>
        <w:t>means the same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relates”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“directly related” </w:t>
      </w:r>
      <w:r>
        <w:rPr>
          <w:rFonts w:ascii="Times New Roman" w:hAnsi="Times New Roman"/>
          <w:b w:val="false"/>
          <w:i w:val="false"/>
          <w:color w:val="000000"/>
          <w:sz w:val="22"/>
        </w:rPr>
        <w:t xml:space="preserve">means the same as Iowa Code section </w:t>
      </w:r>
      <w:hyperlink r:id="rId6">
        <w:r>
          <w:rPr>
            <w:rStyle w:val="Hyperlink"/>
            <w:rFonts w:ascii="Times New Roman" w:hAnsi="Times New Roman"/>
            <w:b w:val="false"/>
            <w:i w:val="false"/>
            <w:color w:val="000000"/>
            <w:sz w:val="22"/>
          </w:rPr>
          <w:t>272C.1(8)</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“Disconnect/reconnect plumbing technician specialty license” </w:t>
      </w:r>
      <w:r>
        <w:rPr>
          <w:rFonts w:ascii="Times New Roman" w:hAnsi="Times New Roman"/>
          <w:b w:val="false"/>
          <w:i w:val="false"/>
          <w:color w:val="000000"/>
          <w:sz w:val="22"/>
        </w:rPr>
        <w:t>means a sublicense under a plumbing license to perform work from the appliance shutoff valve or fixture shutoff valve to the appliance or fixture and any part or component of the appliance or fixture, including the disconnection and reconnection of the existing appliance or fixture to the water or sewer piping and the installation of a shutoff valve no more than three feet from the appliance or fixture.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conviction”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means the process by which a person who has not yet submitted a completed license application may request that the board determine whether one or more of the person’s convictions are disqualifying offenses that would prevent the individual from receiving a license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repairs” </w:t>
      </w:r>
      <w:r>
        <w:rPr>
          <w:rFonts w:ascii="Times New Roman" w:hAnsi="Times New Roman"/>
          <w:b w:val="false"/>
          <w:i w:val="false"/>
          <w:color w:val="000000"/>
          <w:sz w:val="22"/>
        </w:rPr>
        <w:t>means the repair of water pipes to prevent imminent damage to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“Hearth systems specialty license” </w:t>
      </w:r>
      <w:r>
        <w:rPr>
          <w:rFonts w:ascii="Times New Roman" w:hAnsi="Times New Roman"/>
          <w:b w:val="false"/>
          <w:i w:val="false"/>
          <w:color w:val="000000"/>
          <w:sz w:val="22"/>
        </w:rPr>
        <w:t>means a sublicense under an HVAC-refrigeration or mechanical license to perform work in the installation of gas burning and solid fuel appliances that offer a decorative view of the flames, from the connector pipe to the shutoff valve located within three feet of the appliance. This sublicense is further allowed to perform work in the venting systems, log lighters, gas log sets, fireplace inserts, and freestanding stoves.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is available for a plumbing, mechanical, HVAC-refrigeration, sheet metal, or hydronic professional who is not actively engaged in running a business or working in the business in the corresponding discipline at that license level. An inactive license must be renewed prior to its expiration date. An inactive license is not valid for practice until the license is reactivated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“Lapsed license” </w:t>
      </w:r>
      <w:r>
        <w:rPr>
          <w:rFonts w:ascii="Times New Roman" w:hAnsi="Times New Roman"/>
          <w:b w:val="false"/>
          <w:i w:val="false"/>
          <w:color w:val="000000"/>
          <w:sz w:val="22"/>
        </w:rPr>
        <w:t>means a license that expired prior to June 30, 2017, and was not renewed within 60 days following its expiration date or a license that expired on or after June 30, 2017, and was not renewed by the following August 31. A lapsed license is no longer valid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to practice pursuant to Iowa Code chapter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“Reactivated license” </w:t>
      </w:r>
      <w:r>
        <w:rPr>
          <w:rFonts w:ascii="Times New Roman" w:hAnsi="Times New Roman"/>
          <w:b w:val="false"/>
          <w:i w:val="false"/>
          <w:color w:val="000000"/>
          <w:sz w:val="22"/>
        </w:rPr>
        <w:t xml:space="preserve">means a license that is changed from inactive status to active status pursuant to rule </w:t>
      </w:r>
      <w:hyperlink r:id="rId8">
        <w:r>
          <w:rPr>
            <w:rStyle w:val="Hyperlink"/>
            <w:rFonts w:ascii="Times New Roman" w:hAnsi="Times New Roman"/>
            <w:b w:val="false"/>
            <w:i w:val="false"/>
            <w:color w:val="000000"/>
            <w:sz w:val="22"/>
          </w:rPr>
          <w:t>641—29.8</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“Reissued license” </w:t>
      </w:r>
      <w:r>
        <w:rPr>
          <w:rFonts w:ascii="Times New Roman" w:hAnsi="Times New Roman"/>
          <w:b w:val="false"/>
          <w:i w:val="false"/>
          <w:color w:val="000000"/>
          <w:sz w:val="22"/>
        </w:rPr>
        <w:t xml:space="preserve">means a refrigeration or HVAC license that was changed to an HVAC-refrigeration license pursuant to rule </w:t>
      </w:r>
      <w:hyperlink r:id="rId9">
        <w:r>
          <w:rPr>
            <w:rStyle w:val="Hyperlink"/>
            <w:rFonts w:ascii="Times New Roman" w:hAnsi="Times New Roman"/>
            <w:b w:val="false"/>
            <w:i w:val="false"/>
            <w:color w:val="000000"/>
            <w:sz w:val="22"/>
          </w:rPr>
          <w:t>641—29.8</w:t>
        </w:r>
      </w:hyperlink>
      <w:r>
        <w:rPr>
          <w:rFonts w:ascii="Times New Roman" w:hAnsi="Times New Roman"/>
          <w:b w:val="false"/>
          <w:i w:val="false"/>
          <w:color w:val="000000"/>
          <w:sz w:val="22"/>
        </w:rPr>
        <w:t xml:space="preserve">(105). “Reissued license” also means an HVAC or refrigeration license and a hydronic license that was changed to a mechanical license pursuant to rule </w:t>
      </w:r>
      <w:hyperlink r:id="rId10">
        <w:r>
          <w:rPr>
            <w:rStyle w:val="Hyperlink"/>
            <w:rFonts w:ascii="Times New Roman" w:hAnsi="Times New Roman"/>
            <w:b w:val="false"/>
            <w:i w:val="false"/>
            <w:color w:val="000000"/>
            <w:sz w:val="22"/>
          </w:rPr>
          <w:t>641—29.8</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technician HVAC specialty license” </w:t>
      </w:r>
      <w:r>
        <w:rPr>
          <w:rFonts w:ascii="Times New Roman" w:hAnsi="Times New Roman"/>
          <w:b w:val="false"/>
          <w:i w:val="false"/>
          <w:color w:val="000000"/>
          <w:sz w:val="22"/>
        </w:rPr>
        <w:t>means a sublicense under an HVAC-refrigeration or mechanical license to perform work from the appliance shutoff valve to the appliance and any part and component of the appliance, including the disconnection and reconnection of the existing appliance to the gas piping and the installation of a shutoff valve no more than three feet away from the appliance.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means a performance bond written by an entity licensed to do business in this state that guarantees that a contractor will fully perform the contract and which guarantees against breach of that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641—29.2</w:t>
      </w:r>
      <w:r>
        <w:rPr>
          <w:rFonts w:ascii="Times New Roman" w:hAnsi="Times New Roman"/>
          <w:b/>
          <w:i w:val="false"/>
          <w:color w:val="000000"/>
          <w:sz w:val="22"/>
        </w:rPr>
        <w:t xml:space="preserve">(105) </w:t>
      </w:r>
      <w:r>
        <w:rPr>
          <w:rFonts w:ascii="Times New Roman" w:hAnsi="Times New Roman"/>
          <w:b/>
          <w:i w:val="false"/>
          <w:color w:val="000000"/>
          <w:sz w:val="22"/>
        </w:rPr>
        <w:t xml:space="preserve">Available licenses and general requirements. </w:t>
      </w:r>
      <w:r>
        <w:rPr>
          <w:rFonts w:ascii="Times New Roman" w:hAnsi="Times New Roman"/>
          <w:b w:val="false"/>
          <w:i w:val="false"/>
          <w:color w:val="000000"/>
          <w:sz w:val="22"/>
        </w:rPr>
        <w:t xml:space="preserve">All licenses issued by the board will be for a three-year period, except where a shorter or longer period is required or allowed by statute. Subject to the general requirements set forth herein and the minimum qualifications for licensure set forth in rule </w:t>
      </w:r>
      <w:hyperlink r:id="rId11">
        <w:r>
          <w:rPr>
            <w:rStyle w:val="Hyperlink"/>
            <w:rFonts w:ascii="Times New Roman" w:hAnsi="Times New Roman"/>
            <w:b w:val="false"/>
            <w:i w:val="false"/>
            <w:color w:val="000000"/>
            <w:sz w:val="22"/>
          </w:rPr>
          <w:t>641—29.4</w:t>
        </w:r>
      </w:hyperlink>
      <w:r>
        <w:rPr>
          <w:rFonts w:ascii="Times New Roman" w:hAnsi="Times New Roman"/>
          <w:b w:val="false"/>
          <w:i w:val="false"/>
          <w:color w:val="000000"/>
          <w:sz w:val="22"/>
        </w:rPr>
        <w:t>(105), the following licenses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w:t>
      </w:r>
      <w:r>
        <w:rPr>
          <w:rFonts w:ascii="Times New Roman" w:hAnsi="Times New Roman"/>
          <w:b w:val="false"/>
          <w:i w:val="false"/>
          <w:color w:val="000000"/>
          <w:sz w:val="22"/>
        </w:rPr>
        <w:t> </w:t>
      </w:r>
      <w:r>
        <w:rPr>
          <w:rFonts w:ascii="Times New Roman" w:hAnsi="Times New Roman"/>
          <w:b w:val="false"/>
          <w:i/>
          <w:color w:val="000000"/>
          <w:sz w:val="22"/>
        </w:rPr>
        <w:t xml:space="preserve">Apprentice license. </w:t>
      </w:r>
      <w:r>
        <w:rPr>
          <w:rFonts w:ascii="Times New Roman" w:hAnsi="Times New Roman"/>
          <w:b w:val="false"/>
          <w:i w:val="false"/>
          <w:color w:val="000000"/>
          <w:sz w:val="22"/>
        </w:rPr>
        <w:t xml:space="preserve">An applicant for an apprentice license will submit an application that provides evidence of meeting the qualifications specified in Iowa Code section </w:t>
      </w:r>
      <w:hyperlink r:id="rId12">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xml:space="preserve">. If the applicant currently holds an active specialty license, the specialty license will be placed on inactive status as specified in </w:t>
      </w:r>
      <w:hyperlink r:id="rId13">
        <w:r>
          <w:rPr>
            <w:rStyle w:val="Hyperlink"/>
            <w:rFonts w:ascii="Times New Roman" w:hAnsi="Times New Roman"/>
            <w:b w:val="false"/>
            <w:i w:val="false"/>
            <w:color w:val="000000"/>
            <w:sz w:val="22"/>
          </w:rPr>
          <w:t>641—subrule 23.8(3)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29.2(2)</w:t>
      </w:r>
      <w:r>
        <w:rPr>
          <w:rFonts w:ascii="Times New Roman" w:hAnsi="Times New Roman"/>
          <w:b w:val="false"/>
          <w:i w:val="false"/>
          <w:color w:val="000000"/>
          <w:sz w:val="22"/>
        </w:rPr>
        <w:t> </w:t>
      </w:r>
      <w:r>
        <w:rPr>
          <w:rFonts w:ascii="Times New Roman" w:hAnsi="Times New Roman"/>
          <w:b w:val="false"/>
          <w:i/>
          <w:color w:val="000000"/>
          <w:sz w:val="22"/>
        </w:rPr>
        <w:t xml:space="preserve">Journeyperson license. </w:t>
      </w:r>
      <w:r>
        <w:rPr>
          <w:rFonts w:ascii="Times New Roman" w:hAnsi="Times New Roman"/>
          <w:b w:val="false"/>
          <w:i w:val="false"/>
          <w:color w:val="000000"/>
          <w:sz w:val="22"/>
        </w:rPr>
        <w:t xml:space="preserve">An applicant for a journeyperson license will submit an application that provides evidence of meeting the qualifications specified in Iowa Code section </w:t>
      </w:r>
      <w:hyperlink r:id="rId14">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including an applicant who possesses a master-level license and who seeks a journeyperson license in the same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29.2(3)</w:t>
      </w:r>
      <w:r>
        <w:rPr>
          <w:rFonts w:ascii="Times New Roman" w:hAnsi="Times New Roman"/>
          <w:b w:val="false"/>
          <w:i w:val="false"/>
          <w:color w:val="000000"/>
          <w:sz w:val="22"/>
        </w:rPr>
        <w:t> </w:t>
      </w:r>
      <w:r>
        <w:rPr>
          <w:rFonts w:ascii="Times New Roman" w:hAnsi="Times New Roman"/>
          <w:b w:val="false"/>
          <w:i/>
          <w:color w:val="000000"/>
          <w:sz w:val="22"/>
        </w:rPr>
        <w:t xml:space="preserve">Master license. </w:t>
      </w:r>
      <w:r>
        <w:rPr>
          <w:rFonts w:ascii="Times New Roman" w:hAnsi="Times New Roman"/>
          <w:b w:val="false"/>
          <w:i w:val="false"/>
          <w:color w:val="000000"/>
          <w:sz w:val="22"/>
        </w:rPr>
        <w:t xml:space="preserve">An applicant for a master license will submit an application that provides evidence of meeting the qualifications specified in Iowa Code section </w:t>
      </w:r>
      <w:hyperlink r:id="rId15">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Applicants previously licensed as a journeyperson will provide evidence of at least two years of journeyperson experience in the applicable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29.2(4)</w:t>
      </w:r>
      <w:r>
        <w:rPr>
          <w:rFonts w:ascii="Times New Roman" w:hAnsi="Times New Roman"/>
          <w:b w:val="false"/>
          <w:i w:val="false"/>
          <w:color w:val="000000"/>
          <w:sz w:val="22"/>
        </w:rPr>
        <w:t> </w:t>
      </w:r>
      <w:r>
        <w:rPr>
          <w:rFonts w:ascii="Times New Roman" w:hAnsi="Times New Roman"/>
          <w:b w:val="false"/>
          <w:i/>
          <w:color w:val="000000"/>
          <w:sz w:val="22"/>
        </w:rPr>
        <w:t xml:space="preserve">Contractor license. </w:t>
      </w:r>
      <w:r>
        <w:rPr>
          <w:rFonts w:ascii="Times New Roman" w:hAnsi="Times New Roman"/>
          <w:b w:val="false"/>
          <w:i w:val="false"/>
          <w:color w:val="000000"/>
          <w:sz w:val="22"/>
        </w:rPr>
        <w:t xml:space="preserve">An applicant for a contractor license will submit an application that provides evidence of meeting the qualifications specified in Iowa Code section </w:t>
      </w:r>
      <w:hyperlink r:id="rId16">
        <w:r>
          <w:rPr>
            <w:rStyle w:val="Hyperlink"/>
            <w:rFonts w:ascii="Times New Roman" w:hAnsi="Times New Roman"/>
            <w:b w:val="false"/>
            <w:i w:val="false"/>
            <w:color w:val="000000"/>
            <w:sz w:val="22"/>
          </w:rPr>
          <w:t>105.18</w:t>
        </w:r>
      </w:hyperlink>
      <w:r>
        <w:rPr>
          <w:rFonts w:ascii="Times New Roman" w:hAnsi="Times New Roman"/>
          <w:b w:val="false"/>
          <w:i w:val="false"/>
          <w:color w:val="000000"/>
          <w:sz w:val="22"/>
        </w:rPr>
        <w:t xml:space="preserve">, and the insurance and surety bond requirements specified in Iowa Code section </w:t>
      </w:r>
      <w:hyperlink r:id="rId17">
        <w:r>
          <w:rPr>
            <w:rStyle w:val="Hyperlink"/>
            <w:rFonts w:ascii="Times New Roman" w:hAnsi="Times New Roman"/>
            <w:b w:val="false"/>
            <w:i w:val="false"/>
            <w:color w:val="000000"/>
            <w:sz w:val="22"/>
          </w:rPr>
          <w:t>105.19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29.2(5)</w:t>
      </w:r>
      <w:r>
        <w:rPr>
          <w:rFonts w:ascii="Times New Roman" w:hAnsi="Times New Roman"/>
          <w:b w:val="false"/>
          <w:i w:val="false"/>
          <w:color w:val="000000"/>
          <w:sz w:val="22"/>
        </w:rPr>
        <w:t> </w:t>
      </w:r>
      <w:r>
        <w:rPr>
          <w:rFonts w:ascii="Times New Roman" w:hAnsi="Times New Roman"/>
          <w:b w:val="false"/>
          <w:i/>
          <w:color w:val="000000"/>
          <w:sz w:val="22"/>
        </w:rPr>
        <w:t xml:space="preserve">Active journeyperson license/inactive master license combination. </w:t>
      </w:r>
      <w:r>
        <w:rPr>
          <w:rFonts w:ascii="Times New Roman" w:hAnsi="Times New Roman"/>
          <w:b w:val="false"/>
          <w:i w:val="false"/>
          <w:color w:val="000000"/>
          <w:sz w:val="22"/>
        </w:rPr>
        <w:t xml:space="preserve">An applicant for an active journeyperson license and an inactive master license in the same discipline will submit an application approved by the department, and pay the fees for both an active journeyperson license and an inactive master license in accordance with subrule </w:t>
      </w:r>
      <w:hyperlink r:id="rId18">
        <w:r>
          <w:rPr>
            <w:rStyle w:val="Hyperlink"/>
            <w:rFonts w:ascii="Times New Roman" w:hAnsi="Times New Roman"/>
            <w:b w:val="false"/>
            <w:i w:val="false"/>
            <w:color w:val="000000"/>
            <w:sz w:val="22"/>
          </w:rPr>
          <w:t>29.2(3)</w:t>
        </w:r>
      </w:hyperlink>
      <w:r>
        <w:rPr>
          <w:rFonts w:ascii="Times New Roman" w:hAnsi="Times New Roman"/>
          <w:b w:val="false"/>
          <w:i w:val="false"/>
          <w:color w:val="000000"/>
          <w:sz w:val="22"/>
        </w:rPr>
        <w:t xml:space="preserve"> and rule </w:t>
      </w:r>
      <w:hyperlink r:id="rId19">
        <w:r>
          <w:rPr>
            <w:rStyle w:val="Hyperlink"/>
            <w:rFonts w:ascii="Times New Roman" w:hAnsi="Times New Roman"/>
            <w:b w:val="false"/>
            <w:i w:val="false"/>
            <w:color w:val="000000"/>
            <w:sz w:val="22"/>
          </w:rPr>
          <w:t>641—29.5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29.2(6)</w:t>
      </w: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An applicant for an inactive license that does not fall within subrule </w:t>
      </w:r>
      <w:hyperlink r:id="rId20">
        <w:r>
          <w:rPr>
            <w:rStyle w:val="Hyperlink"/>
            <w:rFonts w:ascii="Times New Roman" w:hAnsi="Times New Roman"/>
            <w:b w:val="false"/>
            <w:i w:val="false"/>
            <w:color w:val="000000"/>
            <w:sz w:val="22"/>
          </w:rPr>
          <w:t>29.2(5)</w:t>
        </w:r>
      </w:hyperlink>
      <w:r>
        <w:rPr>
          <w:rFonts w:ascii="Times New Roman" w:hAnsi="Times New Roman"/>
          <w:b w:val="false"/>
          <w:i w:val="false"/>
          <w:color w:val="000000"/>
          <w:sz w:val="22"/>
        </w:rPr>
        <w:t xml:space="preserve"> will submit an application approved by the department and pay the fee for an inactive license in accordance with </w:t>
      </w:r>
      <w:hyperlink r:id="rId21">
        <w:r>
          <w:rPr>
            <w:rStyle w:val="Hyperlink"/>
            <w:rFonts w:ascii="Times New Roman" w:hAnsi="Times New Roman"/>
            <w:b w:val="false"/>
            <w:i w:val="false"/>
            <w:color w:val="000000"/>
            <w:sz w:val="22"/>
          </w:rPr>
          <w:t>rule 641—29.5(105)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29.2(7)</w:t>
      </w:r>
      <w:r>
        <w:rPr>
          <w:rFonts w:ascii="Times New Roman" w:hAnsi="Times New Roman"/>
          <w:b w:val="false"/>
          <w:i w:val="false"/>
          <w:color w:val="000000"/>
          <w:sz w:val="22"/>
        </w:rPr>
        <w:t> </w:t>
      </w:r>
      <w:r>
        <w:rPr>
          <w:rFonts w:ascii="Times New Roman" w:hAnsi="Times New Roman"/>
          <w:b w:val="false"/>
          <w:i/>
          <w:color w:val="000000"/>
          <w:sz w:val="22"/>
        </w:rPr>
        <w:t xml:space="preserve">Service technician HVAC specialty license. </w:t>
      </w:r>
      <w:r>
        <w:rPr>
          <w:rFonts w:ascii="Times New Roman" w:hAnsi="Times New Roman"/>
          <w:b w:val="false"/>
          <w:i w:val="false"/>
          <w:color w:val="000000"/>
          <w:sz w:val="22"/>
        </w:rPr>
        <w:t xml:space="preserve">An applicant for a service technician HVAC specialty license will submit an application approved by the department and pay the fee for a specialty license in accordance with rule </w:t>
      </w:r>
      <w:hyperlink r:id="rId22">
        <w:r>
          <w:rPr>
            <w:rStyle w:val="Hyperlink"/>
            <w:rFonts w:ascii="Times New Roman" w:hAnsi="Times New Roman"/>
            <w:b w:val="false"/>
            <w:i w:val="false"/>
            <w:color w:val="000000"/>
            <w:sz w:val="22"/>
          </w:rPr>
          <w:t>641—29.5</w:t>
        </w:r>
      </w:hyperlink>
      <w:r>
        <w:rPr>
          <w:rFonts w:ascii="Times New Roman" w:hAnsi="Times New Roman"/>
          <w:b w:val="false"/>
          <w:i w:val="false"/>
          <w:color w:val="000000"/>
          <w:sz w:val="22"/>
        </w:rPr>
        <w:t>(105). It will also provide the board with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valid certification from North American Technician Excellence,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an equivalent authority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completed a Service Technician Associate degree or equivalent educational or similar training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29.2(8)</w:t>
      </w:r>
      <w:r>
        <w:rPr>
          <w:rFonts w:ascii="Times New Roman" w:hAnsi="Times New Roman"/>
          <w:b w:val="false"/>
          <w:i w:val="false"/>
          <w:color w:val="000000"/>
          <w:sz w:val="22"/>
        </w:rPr>
        <w:t> </w:t>
      </w:r>
      <w:r>
        <w:rPr>
          <w:rFonts w:ascii="Times New Roman" w:hAnsi="Times New Roman"/>
          <w:b w:val="false"/>
          <w:i/>
          <w:color w:val="000000"/>
          <w:sz w:val="22"/>
        </w:rPr>
        <w:t xml:space="preserve">Disconnect/reconnect plumbing technician specialty license. </w:t>
      </w:r>
      <w:r>
        <w:rPr>
          <w:rFonts w:ascii="Times New Roman" w:hAnsi="Times New Roman"/>
          <w:b w:val="false"/>
          <w:i w:val="false"/>
          <w:color w:val="000000"/>
          <w:sz w:val="22"/>
        </w:rPr>
        <w:t xml:space="preserve">An applicant for a disconnect/reconnect plumbing technician specialty license will submit an application approved by the department and pay the fee for a specialty license in accordance with rule </w:t>
      </w:r>
      <w:hyperlink r:id="rId23">
        <w:r>
          <w:rPr>
            <w:rStyle w:val="Hyperlink"/>
            <w:rFonts w:ascii="Times New Roman" w:hAnsi="Times New Roman"/>
            <w:b w:val="false"/>
            <w:i w:val="false"/>
            <w:color w:val="000000"/>
            <w:sz w:val="22"/>
          </w:rPr>
          <w:t>641—29.5</w:t>
        </w:r>
      </w:hyperlink>
      <w:r>
        <w:rPr>
          <w:rFonts w:ascii="Times New Roman" w:hAnsi="Times New Roman"/>
          <w:b w:val="false"/>
          <w:i w:val="false"/>
          <w:color w:val="000000"/>
          <w:sz w:val="22"/>
        </w:rPr>
        <w:t>(105). It will also provide the board with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receiving or has previously received industry training to perform work covered under this specialty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completed a Service Technician Associate degree or equivalent educational or similar training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29.2(9)</w:t>
      </w:r>
      <w:r>
        <w:rPr>
          <w:rFonts w:ascii="Times New Roman" w:hAnsi="Times New Roman"/>
          <w:b w:val="false"/>
          <w:i w:val="false"/>
          <w:color w:val="000000"/>
          <w:sz w:val="22"/>
        </w:rPr>
        <w:t> </w:t>
      </w:r>
      <w:r>
        <w:rPr>
          <w:rFonts w:ascii="Times New Roman" w:hAnsi="Times New Roman"/>
          <w:b w:val="false"/>
          <w:i/>
          <w:color w:val="000000"/>
          <w:sz w:val="22"/>
        </w:rPr>
        <w:t xml:space="preserve">Private school or college routine maintenance specialty license. </w:t>
      </w:r>
      <w:r>
        <w:rPr>
          <w:rFonts w:ascii="Times New Roman" w:hAnsi="Times New Roman"/>
          <w:b w:val="false"/>
          <w:i w:val="false"/>
          <w:color w:val="000000"/>
          <w:sz w:val="22"/>
        </w:rPr>
        <w:t xml:space="preserve">An applicant for a private school or college routine maintenance specialty license will submit an application approved by the department and pay the fee for a specialty license in accordance with rule </w:t>
      </w:r>
      <w:hyperlink r:id="rId24">
        <w:r>
          <w:rPr>
            <w:rStyle w:val="Hyperlink"/>
            <w:rFonts w:ascii="Times New Roman" w:hAnsi="Times New Roman"/>
            <w:b w:val="false"/>
            <w:i w:val="false"/>
            <w:color w:val="000000"/>
            <w:sz w:val="22"/>
          </w:rPr>
          <w:t>641—29.5</w:t>
        </w:r>
      </w:hyperlink>
      <w:r>
        <w:rPr>
          <w:rFonts w:ascii="Times New Roman" w:hAnsi="Times New Roman"/>
          <w:b w:val="false"/>
          <w:i w:val="false"/>
          <w:color w:val="000000"/>
          <w:sz w:val="22"/>
        </w:rPr>
        <w:t>(105)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the board with evidence that the applicant is currently employed by a private school or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board with evidence that the applicant is performing routine maintenance within the scope of employment with the private school or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29.2(10)</w:t>
      </w:r>
      <w:r>
        <w:rPr>
          <w:rFonts w:ascii="Times New Roman" w:hAnsi="Times New Roman"/>
          <w:b w:val="false"/>
          <w:i w:val="false"/>
          <w:color w:val="000000"/>
          <w:sz w:val="22"/>
        </w:rPr>
        <w:t> </w:t>
      </w:r>
      <w:r>
        <w:rPr>
          <w:rFonts w:ascii="Times New Roman" w:hAnsi="Times New Roman"/>
          <w:b w:val="false"/>
          <w:i/>
          <w:color w:val="000000"/>
          <w:sz w:val="22"/>
        </w:rPr>
        <w:t xml:space="preserve">Hearth systems specialty license. </w:t>
      </w:r>
      <w:r>
        <w:rPr>
          <w:rFonts w:ascii="Times New Roman" w:hAnsi="Times New Roman"/>
          <w:b w:val="false"/>
          <w:i w:val="false"/>
          <w:color w:val="000000"/>
          <w:sz w:val="22"/>
        </w:rPr>
        <w:t xml:space="preserve">An applicant for a hearth systems specialty license will submit an application approved by the department and pay the fee for a specialty license in accordance with rule </w:t>
      </w:r>
      <w:hyperlink r:id="rId25">
        <w:r>
          <w:rPr>
            <w:rStyle w:val="Hyperlink"/>
            <w:rFonts w:ascii="Times New Roman" w:hAnsi="Times New Roman"/>
            <w:b w:val="false"/>
            <w:i w:val="false"/>
            <w:color w:val="000000"/>
            <w:sz w:val="22"/>
          </w:rPr>
          <w:t>641—29.5</w:t>
        </w:r>
      </w:hyperlink>
      <w:r>
        <w:rPr>
          <w:rFonts w:ascii="Times New Roman" w:hAnsi="Times New Roman"/>
          <w:b w:val="false"/>
          <w:i w:val="false"/>
          <w:color w:val="000000"/>
          <w:sz w:val="22"/>
        </w:rPr>
        <w:t>(105) and provide the board with evidence that the applicant possesses a valid certification issued by the National Fireplace Institute or equivalent authority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641—29.3</w:t>
      </w:r>
      <w:r>
        <w:rPr>
          <w:rFonts w:ascii="Times New Roman" w:hAnsi="Times New Roman"/>
          <w:b/>
          <w:i w:val="false"/>
          <w:color w:val="000000"/>
          <w:sz w:val="22"/>
        </w:rPr>
        <w:t xml:space="preserve">(105) </w:t>
      </w:r>
      <w:r>
        <w:rPr>
          <w:rFonts w:ascii="Times New Roman" w:hAnsi="Times New Roman"/>
          <w:b/>
          <w:i w:val="false"/>
          <w:color w:val="000000"/>
          <w:sz w:val="22"/>
        </w:rPr>
        <w:t xml:space="preserve">Medical gas piping certification. </w:t>
      </w:r>
      <w:r>
        <w:rPr>
          <w:rFonts w:ascii="Times New Roman" w:hAnsi="Times New Roman"/>
          <w:b w:val="false"/>
          <w:i w:val="false"/>
          <w:color w:val="000000"/>
          <w:sz w:val="22"/>
        </w:rPr>
        <w:t xml:space="preserve">The following certification is required for a person who performs work as a medical gas system installer. An applicant for a medical gas certificate will submit an application approved by the department and pay the fee for a medical gas piping certification in accordance with rule </w:t>
      </w:r>
      <w:hyperlink r:id="rId26">
        <w:r>
          <w:rPr>
            <w:rStyle w:val="Hyperlink"/>
            <w:rFonts w:ascii="Times New Roman" w:hAnsi="Times New Roman"/>
            <w:b w:val="false"/>
            <w:i w:val="false"/>
            <w:color w:val="000000"/>
            <w:sz w:val="22"/>
          </w:rPr>
          <w:t>641—29.5</w:t>
        </w:r>
      </w:hyperlink>
      <w:r>
        <w:rPr>
          <w:rFonts w:ascii="Times New Roman" w:hAnsi="Times New Roman"/>
          <w:b w:val="false"/>
          <w:i w:val="false"/>
          <w:color w:val="000000"/>
          <w:sz w:val="22"/>
        </w:rPr>
        <w:t>(105) and possess valid certification from the National Inspection Testing Certification (NITC) Corporation, or an equivalent authority approved by the board. Documentation must be submitted on a form provided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641—29.4</w:t>
      </w:r>
      <w:r>
        <w:rPr>
          <w:rFonts w:ascii="Times New Roman" w:hAnsi="Times New Roman"/>
          <w:b/>
          <w:i w:val="false"/>
          <w:color w:val="000000"/>
          <w:sz w:val="22"/>
        </w:rPr>
        <w:t xml:space="preserve">(105) </w:t>
      </w:r>
      <w:r>
        <w:rPr>
          <w:rFonts w:ascii="Times New Roman" w:hAnsi="Times New Roman"/>
          <w:b/>
          <w:i w:val="false"/>
          <w:color w:val="000000"/>
          <w:sz w:val="22"/>
        </w:rPr>
        <w:t xml:space="preserve">Minimum qualifications for licensure. </w:t>
      </w:r>
      <w:r>
        <w:rPr>
          <w:rFonts w:ascii="Times New Roman" w:hAnsi="Times New Roman"/>
          <w:b w:val="false"/>
          <w:i w:val="false"/>
          <w:color w:val="000000"/>
          <w:sz w:val="22"/>
        </w:rPr>
        <w:t>An applicant for any type of license must be at least 18 years old. All apprentice applicants must have completed a high school education or attained GED equivalent.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641—29.5</w:t>
      </w:r>
      <w:r>
        <w:rPr>
          <w:rFonts w:ascii="Times New Roman" w:hAnsi="Times New Roman"/>
          <w:b/>
          <w:i w:val="false"/>
          <w:color w:val="000000"/>
          <w:sz w:val="22"/>
        </w:rPr>
        <w:t xml:space="preserve">(105) </w:t>
      </w:r>
      <w:r>
        <w:rPr>
          <w:rFonts w:ascii="Times New Roman" w:hAnsi="Times New Roman"/>
          <w:b/>
          <w:i w:val="false"/>
          <w:color w:val="000000"/>
          <w:sz w:val="22"/>
        </w:rPr>
        <w:t xml:space="preserve">General requirements for application for licensure. </w:t>
      </w:r>
      <w:r>
        <w:rPr>
          <w:rFonts w:ascii="Times New Roman" w:hAnsi="Times New Roman"/>
          <w:b w:val="false"/>
          <w:i w:val="false"/>
          <w:color w:val="000000"/>
          <w:sz w:val="22"/>
        </w:rPr>
        <w:t>The following criteria apply to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applicant will complete an application online or on a paper application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An application must be accompanied by the appropriate fees. All fees are nonrefundable. Fees for online applications are by credit card only. A check or money order may accompany 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color w:val="000000"/>
          <w:sz w:val="22"/>
        </w:rPr>
        <w:t xml:space="preserve">Applicant responsibilities. </w:t>
      </w:r>
      <w:r>
        <w:rPr>
          <w:rFonts w:ascii="Times New Roman" w:hAnsi="Times New Roman"/>
          <w:b w:val="false"/>
          <w:i w:val="false"/>
          <w:color w:val="000000"/>
          <w:sz w:val="22"/>
        </w:rPr>
        <w:t>An applicant for an initial license or license renewal bears full responsibility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Paying all fees charged by regulatory authorities, state or national testing or credentialing organizations, and educational institutions providing the information necessary to complete a license, certification, or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accurate, up-to-date, and truthful information on the application including, but not limited to, prior professional experience, education, training, criminal history, and disciplinary history;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complete application materials. An application for a license or certification or renewal of a license or certification will be considered active for 90 days from the date the application is received. For purposes of establishing timely filing, the postmark on a paper submittal or the date of the electronic time stamp for online renewals will be used. If the applicant does not submit all materials within this time period or if the applicant does not meet the requirements for the license or certification, the application will be considered incomplete and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29.5(4)</w:t>
      </w:r>
      <w:r>
        <w:rPr>
          <w:rFonts w:ascii="Times New Roman" w:hAnsi="Times New Roman"/>
          <w:b w:val="false"/>
          <w:i w:val="false"/>
          <w:color w:val="000000"/>
          <w:sz w:val="22"/>
        </w:rPr>
        <w:t> </w:t>
      </w:r>
      <w:r>
        <w:rPr>
          <w:rFonts w:ascii="Times New Roman" w:hAnsi="Times New Roman"/>
          <w:b w:val="false"/>
          <w:i/>
          <w:color w:val="000000"/>
          <w:sz w:val="22"/>
        </w:rPr>
        <w:t xml:space="preserve">Verifiable documentation. </w:t>
      </w:r>
      <w:r>
        <w:rPr>
          <w:rFonts w:ascii="Times New Roman" w:hAnsi="Times New Roman"/>
          <w:b w:val="false"/>
          <w:i w:val="false"/>
          <w:color w:val="000000"/>
          <w:sz w:val="22"/>
        </w:rPr>
        <w:t>No application will be considered by the board without the appropriate verifiable documentation,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passing score for a discipline-appropriate examination provided by the testing vendor under contract with the board, when testing is required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applicant has met the minimum requirements as defined in rule </w:t>
      </w:r>
      <w:hyperlink r:id="rId27">
        <w:r>
          <w:rPr>
            <w:rStyle w:val="Hyperlink"/>
            <w:rFonts w:ascii="Times New Roman" w:hAnsi="Times New Roman"/>
            <w:b w:val="false"/>
            <w:i w:val="false"/>
            <w:color w:val="000000"/>
            <w:sz w:val="22"/>
          </w:rPr>
          <w:t>641—29.4</w:t>
        </w:r>
      </w:hyperlink>
      <w:r>
        <w:rPr>
          <w:rFonts w:ascii="Times New Roman" w:hAnsi="Times New Roman"/>
          <w:b w:val="false"/>
          <w:i w:val="false"/>
          <w:color w:val="000000"/>
          <w:sz w:val="22"/>
        </w:rPr>
        <w:t>(105) and the established employment experience criteria for each type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complete criminal record, including the applicant’s personal statement regarding whether each offense directly relates to the practice of the profession. No application will be considered complete unless and until the applicant responds to board requests for additional information regarding the applicant’s complete criminal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641—29.6</w:t>
      </w:r>
      <w:r>
        <w:rPr>
          <w:rFonts w:ascii="Times New Roman" w:hAnsi="Times New Roman"/>
          <w:b/>
          <w:i w:val="false"/>
          <w:color w:val="000000"/>
          <w:sz w:val="22"/>
        </w:rPr>
        <w:t xml:space="preserve">(105) </w:t>
      </w:r>
      <w:r>
        <w:rPr>
          <w:rFonts w:ascii="Times New Roman" w:hAnsi="Times New Roman"/>
          <w:b/>
          <w:i w:val="false"/>
          <w:color w:val="000000"/>
          <w:sz w:val="22"/>
        </w:rPr>
        <w:t xml:space="preserv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An applicant for licensure as a plumbing or mechanical system professional must successfully pass the licensing examination for the discipline. The examination will be specific to each license type, approved by the board, and administered by the board-approved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29.6(2)</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examination will be written and proctored by a testing agency selected by the board and conducted either in person or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examination will be offered periodically during the year. The time and location will rotate between multiple sites in the state of Iowa, as determined by the department, with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examination will not be subject to review by applicants. Upon request from an applicant, the testing vendor will provide information about the sections that the applicant failed, but shall not provide an applicant access to actual examination questions or answers. Any fees associated with the review process will be assessed by and payable to the testing vendor. The applicant is responsible for paying all associated examination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score of 75 percent or better is considered passing.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29.6(3)</w:t>
      </w:r>
      <w:r>
        <w:rPr>
          <w:rFonts w:ascii="Times New Roman" w:hAnsi="Times New Roman"/>
          <w:b w:val="false"/>
          <w:i w:val="false"/>
          <w:color w:val="000000"/>
          <w:sz w:val="22"/>
        </w:rPr>
        <w:t> </w:t>
      </w:r>
      <w:r>
        <w:rPr>
          <w:rFonts w:ascii="Times New Roman" w:hAnsi="Times New Roman"/>
          <w:b w:val="false"/>
          <w:i/>
          <w:color w:val="000000"/>
          <w:sz w:val="22"/>
        </w:rPr>
        <w:t xml:space="preserve">Examination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will complete and submit a board-approved examination application either online or on a paper application a minimum of 15 business days prior to taking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must be accompanied by the appropriate fees. All fees are nonrefundable. Fees for online applications are by credit card only. A check or money order may accompany 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without the appropriate verifiable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will be notified and issued an examination entrance letter upon approval of the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applicant is notified that the application is incomplete, the applicant must contact the board office within 90 days. Incomplete applications will be considered invalid and after 90 days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Examination fees are payable directly to the board-approved testing vendor. All transactions are the responsibility of the applicant and testing vendor. The board is not responsible for refunds from the testing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applicant shall present current photo identification in order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by examination who does not pass the examination within one year from the original application date has to submit a new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master examination applicant will not receive permission to sit for a master examination unless the applicant establishes that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previously been licensed as a master in the applicable discipline;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previously been licensed as a journeyperson in the applicable discipline and has at least two years of journeyperson experience in the applicable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journeyperson examination applicant may apply to sit for the examination up to 12 months prior to completion of the 48 months of required apprentice credit, which include the granting of advanced standing or credit for previously acquired experience, training, or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29.6(4)</w:t>
      </w:r>
      <w:r>
        <w:rPr>
          <w:rFonts w:ascii="Times New Roman" w:hAnsi="Times New Roman"/>
          <w:b w:val="false"/>
          <w:i w:val="false"/>
          <w:color w:val="000000"/>
          <w:sz w:val="22"/>
        </w:rPr>
        <w:t> </w:t>
      </w:r>
      <w:r>
        <w:rPr>
          <w:rFonts w:ascii="Times New Roman" w:hAnsi="Times New Roman"/>
          <w:b w:val="false"/>
          <w:i/>
          <w:color w:val="000000"/>
          <w:sz w:val="22"/>
        </w:rPr>
        <w:t xml:space="preserve">Expiration of passing examination score. </w:t>
      </w:r>
      <w:r>
        <w:rPr>
          <w:rFonts w:ascii="Times New Roman" w:hAnsi="Times New Roman"/>
          <w:b w:val="false"/>
          <w:i w:val="false"/>
          <w:color w:val="000000"/>
          <w:sz w:val="22"/>
        </w:rPr>
        <w:t>An applicant who successfully passes an examination must apply for licensure in the applicable discipline at the applicable discipline level within two years of notification that the applicant successfully passed the examination. A passing examination score will expire if the applicant fails to apply for licensure within the two-year period as set forth herein, and the applicant will be required to successfully retake said examination to become licensed.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641—29.7</w:t>
      </w:r>
      <w:r>
        <w:rPr>
          <w:rFonts w:ascii="Times New Roman" w:hAnsi="Times New Roman"/>
          <w:b/>
          <w:i w:val="false"/>
          <w:color w:val="000000"/>
          <w:sz w:val="22"/>
        </w:rPr>
        <w:t xml:space="preserve">(105)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29.7(1)</w:t>
      </w:r>
      <w:r>
        <w:rPr>
          <w:rFonts w:ascii="Times New Roman" w:hAnsi="Times New Roman"/>
          <w:b w:val="false"/>
          <w:i w:val="false"/>
          <w:color w:val="000000"/>
          <w:sz w:val="22"/>
        </w:rPr>
        <w:t> </w:t>
      </w:r>
      <w:r>
        <w:rPr>
          <w:rFonts w:ascii="Times New Roman" w:hAnsi="Times New Roman"/>
          <w:b w:val="false"/>
          <w:i/>
          <w:color w:val="000000"/>
          <w:sz w:val="22"/>
        </w:rPr>
        <w:t xml:space="preserve">Renewal period. </w:t>
      </w:r>
      <w:r>
        <w:rPr>
          <w:rFonts w:ascii="Times New Roman" w:hAnsi="Times New Roman"/>
          <w:b w:val="false"/>
          <w:i w:val="false"/>
          <w:color w:val="000000"/>
          <w:sz w:val="22"/>
        </w:rPr>
        <w:t>The period of licensure to operate as a contractor or work as a master, journeyperson or apprentice in the plumbing, mechanical, HVAC-refrigeration, sheet metal, or hydronic disciplines or work as a certified medical gas system installer or work in the specialty license disciplines developed by the board is a period of three years. All licenses issued will expire on June 30 every three years, beginning with June 30, 2026. Fees for new licenses issued after the July 1 beginning of each three-year renewal cycle will be prorated using a one-sixth deduction for each six-month period of the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29.7(2)</w:t>
      </w:r>
      <w:r>
        <w:rPr>
          <w:rFonts w:ascii="Times New Roman" w:hAnsi="Times New Roman"/>
          <w:b w:val="false"/>
          <w:i w:val="false"/>
          <w:color w:val="000000"/>
          <w:sz w:val="22"/>
        </w:rPr>
        <w:t> </w:t>
      </w:r>
      <w:r>
        <w:rPr>
          <w:rFonts w:ascii="Times New Roman" w:hAnsi="Times New Roman"/>
          <w:b w:val="false"/>
          <w:i/>
          <w:color w:val="000000"/>
          <w:sz w:val="22"/>
        </w:rPr>
        <w:t xml:space="preserve">Renewal notification. </w:t>
      </w:r>
      <w:r>
        <w:rPr>
          <w:rFonts w:ascii="Times New Roman" w:hAnsi="Times New Roman"/>
          <w:b w:val="false"/>
          <w:i w:val="false"/>
          <w:color w:val="000000"/>
          <w:sz w:val="22"/>
        </w:rPr>
        <w:t>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29.7(3)</w:t>
      </w:r>
      <w:r>
        <w:rPr>
          <w:rFonts w:ascii="Times New Roman" w:hAnsi="Times New Roman"/>
          <w:b w:val="false"/>
          <w:i w:val="false"/>
          <w:color w:val="000000"/>
          <w:sz w:val="22"/>
        </w:rPr>
        <w:t> </w:t>
      </w:r>
      <w:r>
        <w:rPr>
          <w:rFonts w:ascii="Times New Roman" w:hAnsi="Times New Roman"/>
          <w:b w:val="false"/>
          <w:i/>
          <w:color w:val="000000"/>
          <w:sz w:val="22"/>
        </w:rPr>
        <w:t xml:space="preserve">Specific renewal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and inactive apprentice, specialty, journeyperson, and master licenses. </w:t>
      </w:r>
      <w:r>
        <w:rPr>
          <w:rFonts w:ascii="Times New Roman" w:hAnsi="Times New Roman"/>
          <w:b w:val="false"/>
          <w:i w:val="false"/>
          <w:color w:val="000000"/>
          <w:sz w:val="22"/>
        </w:rPr>
        <w:t>An apprentice, specialty, journeyperson, or master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renewal online or on the forms provided by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as set forth in rule </w:t>
      </w:r>
      <w:hyperlink r:id="rId28">
        <w:r>
          <w:rPr>
            <w:rStyle w:val="Hyperlink"/>
            <w:rFonts w:ascii="Times New Roman" w:hAnsi="Times New Roman"/>
            <w:b w:val="false"/>
            <w:i w:val="false"/>
            <w:color w:val="000000"/>
            <w:sz w:val="22"/>
          </w:rPr>
          <w:t>641—30.2</w:t>
        </w:r>
      </w:hyperlink>
      <w:r>
        <w:rPr>
          <w:rFonts w:ascii="Times New Roman" w:hAnsi="Times New Roman"/>
          <w:b w:val="false"/>
          <w:i w:val="false"/>
          <w:color w:val="000000"/>
          <w:sz w:val="22"/>
        </w:rPr>
        <w:t xml:space="preserve">(105), unless no continuing education is necessary as specified in </w:t>
      </w:r>
      <w:hyperlink r:id="rId29">
        <w:r>
          <w:rPr>
            <w:rStyle w:val="Hyperlink"/>
            <w:rFonts w:ascii="Times New Roman" w:hAnsi="Times New Roman"/>
            <w:b w:val="false"/>
            <w:i w:val="false"/>
            <w:color w:val="000000"/>
            <w:sz w:val="22"/>
          </w:rPr>
          <w:t>641—subrule 23.8(3)</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30.2(2)</w:t>
        </w:r>
      </w:hyperlink>
      <w:r>
        <w:rPr>
          <w:rFonts w:ascii="Times New Roman" w:hAnsi="Times New Roman"/>
          <w:b w:val="false"/>
          <w:i w:val="false"/>
          <w:color w:val="000000"/>
          <w:sz w:val="22"/>
        </w:rPr>
        <w:t xml:space="preserve">, or </w:t>
      </w:r>
      <w:hyperlink r:id="rId31">
        <w:r>
          <w:rPr>
            <w:rStyle w:val="Hyperlink"/>
            <w:rFonts w:ascii="Times New Roman" w:hAnsi="Times New Roman"/>
            <w:b w:val="false"/>
            <w:i w:val="false"/>
            <w:color w:val="000000"/>
            <w:sz w:val="22"/>
          </w:rPr>
          <w:t>30.6(1)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fee as specified in </w:t>
      </w:r>
      <w:hyperlink r:id="rId32">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 xml:space="preserve">. A penalty will be assessed by the board for late renewal, as specified in </w:t>
      </w:r>
      <w:hyperlink r:id="rId33">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Medical gas piping certification holders. </w:t>
      </w:r>
      <w:r>
        <w:rPr>
          <w:rFonts w:ascii="Times New Roman" w:hAnsi="Times New Roman"/>
          <w:b w:val="false"/>
          <w:i w:val="false"/>
          <w:color w:val="000000"/>
          <w:sz w:val="22"/>
        </w:rPr>
        <w:t>A medical gas piping certification holder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renewal either electronically or on the forms provided by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evidence that the person has maintained valid certification issued from the National Inspection Testing Certification (NITC) Corporation or an equivalent authority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fee as specified in </w:t>
      </w:r>
      <w:hyperlink r:id="rId34">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Contractor licenses. </w:t>
      </w:r>
      <w:r>
        <w:rPr>
          <w:rFonts w:ascii="Times New Roman" w:hAnsi="Times New Roman"/>
          <w:b w:val="false"/>
          <w:i w:val="false"/>
          <w:color w:val="000000"/>
          <w:sz w:val="22"/>
        </w:rPr>
        <w:t xml:space="preserve">Renewal of the contractor license constitutes registration as a contractor under Iowa Code chapter </w:t>
      </w:r>
      <w:hyperlink r:id="rId35">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A contractor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an application for renewal on the forms provided by the board office. Licensees may renew their licenses online or via paper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evidence of professional liability insurance and a surety bond mandated by subrule </w:t>
      </w:r>
      <w:hyperlink r:id="rId36">
        <w:r>
          <w:rPr>
            <w:rStyle w:val="Hyperlink"/>
            <w:rFonts w:ascii="Times New Roman" w:hAnsi="Times New Roman"/>
            <w:b w:val="false"/>
            <w:i w:val="false"/>
            <w:color w:val="000000"/>
            <w:sz w:val="22"/>
          </w:rPr>
          <w:t>29.2(4)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As specified in </w:t>
      </w:r>
      <w:hyperlink r:id="rId37">
        <w:r>
          <w:rPr>
            <w:rStyle w:val="Hyperlink"/>
            <w:rFonts w:ascii="Times New Roman" w:hAnsi="Times New Roman"/>
            <w:b w:val="false"/>
            <w:i w:val="false"/>
            <w:color w:val="000000"/>
            <w:sz w:val="22"/>
          </w:rPr>
          <w:t>875—Chapter 150</w:t>
        </w:r>
      </w:hyperlink>
      <w:r>
        <w:rPr>
          <w:rFonts w:ascii="Times New Roman" w:hAnsi="Times New Roman"/>
          <w:b w:val="false"/>
          <w:i w:val="false"/>
          <w:color w:val="000000"/>
          <w:sz w:val="22"/>
        </w:rPr>
        <w:t xml:space="preserve">, include proof of workers’ compensation insurance coverage, proof of unemployment insurance compliance and, for out-of-state contractors, a bond as described in Iowa Code chapter </w:t>
      </w:r>
      <w:hyperlink r:id="rId38">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license fee as specified in </w:t>
      </w:r>
      <w:hyperlink r:id="rId39">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 xml:space="preserve">. A penalty will be assessed by the board for late renewal, as specified in </w:t>
      </w:r>
      <w:hyperlink r:id="rId40">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fee for a three-year contractor registration as specified in </w:t>
      </w:r>
      <w:hyperlink r:id="rId41">
        <w:r>
          <w:rPr>
            <w:rStyle w:val="Hyperlink"/>
            <w:rFonts w:ascii="Times New Roman" w:hAnsi="Times New Roman"/>
            <w:b w:val="false"/>
            <w:i w:val="false"/>
            <w:color w:val="000000"/>
            <w:sz w:val="22"/>
          </w:rPr>
          <w:t>875—Chapter 150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29.7(4)</w:t>
      </w:r>
      <w:r>
        <w:rPr>
          <w:rFonts w:ascii="Times New Roman" w:hAnsi="Times New Roman"/>
          <w:b w:val="false"/>
          <w:i w:val="false"/>
          <w:color w:val="000000"/>
          <w:sz w:val="22"/>
        </w:rPr>
        <w:t> </w:t>
      </w:r>
      <w:r>
        <w:rPr>
          <w:rFonts w:ascii="Times New Roman" w:hAnsi="Times New Roman"/>
          <w:b w:val="false"/>
          <w:i/>
          <w:color w:val="000000"/>
          <w:sz w:val="22"/>
        </w:rPr>
        <w:t xml:space="preserve">Complete and timely filed application. </w:t>
      </w:r>
      <w:r>
        <w:rPr>
          <w:rFonts w:ascii="Times New Roman" w:hAnsi="Times New Roman"/>
          <w:b w:val="false"/>
          <w:i w:val="false"/>
          <w:color w:val="000000"/>
          <w:sz w:val="22"/>
        </w:rPr>
        <w:t xml:space="preserve">Renewal applications are due 30 days prior to expiration per Iowa Code section </w:t>
      </w:r>
      <w:hyperlink r:id="rId42">
        <w:r>
          <w:rPr>
            <w:rStyle w:val="Hyperlink"/>
            <w:rFonts w:ascii="Times New Roman" w:hAnsi="Times New Roman"/>
            <w:b w:val="false"/>
            <w:i w:val="false"/>
            <w:color w:val="000000"/>
            <w:sz w:val="22"/>
          </w:rPr>
          <w:t>105.20(2)</w:t>
        </w:r>
      </w:hyperlink>
      <w:r>
        <w:rPr>
          <w:rFonts w:ascii="Times New Roman" w:hAnsi="Times New Roman"/>
          <w:b w:val="false"/>
          <w:i w:val="false"/>
          <w:color w:val="000000"/>
          <w:sz w:val="22"/>
        </w:rPr>
        <w:t>. No renewal application is considered timely and sufficient until received by the board office and accompanied by all material necessary for renewal, including applicable renewal and late fees. Incomplete applications will not be accepted. For purposes of establishing timely filing, the postmark on a paper submittal or the date of the electronic time stamp for online renewals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29.7(5)</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A licensee has a one-month grace period after the expiration date of the license to renew without payment of a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seeks to renew more than one month but less than two months after the license expiration date may renew upon payment of the late fee in the amount specified in </w:t>
      </w:r>
      <w:hyperlink r:id="rId43">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 xml:space="preserve"> in addition to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 remains valid for practice for up to two months past the expiration date of the license. After two months, the license lapses and becomes invalid for practice until the license is reinstated.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29.7(6)</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A person seeking reinstatement of a lapsed license must submit an application for reinstatement electronically or on the forms provided by the board office and include all mandated documentation and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allows a license to lapse for more than two months but not more than 365 days may reinstate and renew the license upon payment of the late penalty fee in the amount specified in </w:t>
      </w:r>
      <w:hyperlink r:id="rId44">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 xml:space="preserve"> in addition to the renewal fee. A specialty, journeyperson or master licensee must also meet the continuing education requirements as set forth in rule </w:t>
      </w:r>
      <w:hyperlink r:id="rId45">
        <w:r>
          <w:rPr>
            <w:rStyle w:val="Hyperlink"/>
            <w:rFonts w:ascii="Times New Roman" w:hAnsi="Times New Roman"/>
            <w:b w:val="false"/>
            <w:i w:val="false"/>
            <w:color w:val="000000"/>
            <w:sz w:val="22"/>
          </w:rPr>
          <w:t>641—30.2</w:t>
        </w:r>
      </w:hyperlink>
      <w:r>
        <w:rPr>
          <w:rFonts w:ascii="Times New Roman" w:hAnsi="Times New Roman"/>
          <w:b w:val="false"/>
          <w:i w:val="false"/>
          <w:color w:val="000000"/>
          <w:sz w:val="22"/>
        </w:rPr>
        <w:t xml:space="preserve">(105), unless no continuing education is mandated as specified in </w:t>
      </w:r>
      <w:hyperlink r:id="rId46">
        <w:r>
          <w:rPr>
            <w:rStyle w:val="Hyperlink"/>
            <w:rFonts w:ascii="Times New Roman" w:hAnsi="Times New Roman"/>
            <w:b w:val="false"/>
            <w:i w:val="false"/>
            <w:color w:val="000000"/>
            <w:sz w:val="22"/>
          </w:rPr>
          <w:t>641—subrule 23.8(3)</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30.2(2)</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30.6(1)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holding a specialty, journeyperson or master license who allows the license to lapse for more than one year may reinstate and renew the license by providing evidence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journeyperson or master licensee, retaking and successfully passing the applicable licensing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Retaking and successfully completing all continuing education requirements as set forth in rule </w:t>
      </w:r>
      <w:hyperlink r:id="rId49">
        <w:r>
          <w:rPr>
            <w:rStyle w:val="Hyperlink"/>
            <w:rFonts w:ascii="Times New Roman" w:hAnsi="Times New Roman"/>
            <w:b w:val="false"/>
            <w:i w:val="false"/>
            <w:color w:val="000000"/>
            <w:sz w:val="22"/>
          </w:rPr>
          <w:t>641—30.2</w:t>
        </w:r>
      </w:hyperlink>
      <w:r>
        <w:rPr>
          <w:rFonts w:ascii="Times New Roman" w:hAnsi="Times New Roman"/>
          <w:b w:val="false"/>
          <w:i w:val="false"/>
          <w:color w:val="000000"/>
          <w:sz w:val="22"/>
        </w:rPr>
        <w:t>(105) for each renewal period in which the license was not timely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contractor licensee seeking reinstatement of a license that has been lapsed for more than one year may reinstate and renew the license by submitting evidence of meeting the requirements specified in subrule </w:t>
      </w:r>
      <w:hyperlink r:id="rId50">
        <w:r>
          <w:rPr>
            <w:rStyle w:val="Hyperlink"/>
            <w:rFonts w:ascii="Times New Roman" w:hAnsi="Times New Roman"/>
            <w:b w:val="false"/>
            <w:i w:val="false"/>
            <w:color w:val="000000"/>
            <w:sz w:val="22"/>
          </w:rPr>
          <w:t>29.7(3)</w:t>
        </w:r>
      </w:hyperlink>
      <w:r>
        <w:rPr>
          <w:rFonts w:ascii="Times New Roman" w:hAnsi="Times New Roman"/>
          <w:b w:val="false"/>
          <w:i w:val="false"/>
          <w:color w:val="000000"/>
          <w:sz w:val="22"/>
        </w:rPr>
        <w:t xml:space="preserve"> and payment of any mandated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reinstates and renews a lapsed license is not entitled to a prorated renewal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641—29.8</w:t>
      </w:r>
      <w:r>
        <w:rPr>
          <w:rFonts w:ascii="Times New Roman" w:hAnsi="Times New Roman"/>
          <w:b/>
          <w:i w:val="false"/>
          <w:color w:val="000000"/>
          <w:sz w:val="22"/>
        </w:rPr>
        <w:t xml:space="preserve">(105) </w:t>
      </w:r>
      <w:r>
        <w:rPr>
          <w:rFonts w:ascii="Times New Roman" w:hAnsi="Times New Roman"/>
          <w:b/>
          <w:i w:val="false"/>
          <w:color w:val="000000"/>
          <w:sz w:val="22"/>
        </w:rPr>
        <w:t xml:space="preserve">Waiver from examination for military service. </w:t>
      </w:r>
      <w:r>
        <w:rPr>
          <w:rFonts w:ascii="Times New Roman" w:hAnsi="Times New Roman"/>
          <w:b w:val="false"/>
          <w:i w:val="false"/>
          <w:color w:val="000000"/>
          <w:sz w:val="22"/>
        </w:rPr>
        <w:t xml:space="preserve">The written examination requirements and prior experience requirements set forth in Iowa Code sections </w:t>
      </w:r>
      <w:hyperlink r:id="rId51">
        <w:r>
          <w:rPr>
            <w:rStyle w:val="Hyperlink"/>
            <w:rFonts w:ascii="Times New Roman" w:hAnsi="Times New Roman"/>
            <w:b w:val="false"/>
            <w:i w:val="false"/>
            <w:color w:val="000000"/>
            <w:sz w:val="22"/>
          </w:rPr>
          <w:t>105.18(2)</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hyperlink r:id="rId52">
        <w:r>
          <w:rPr>
            <w:rStyle w:val="Hyperlink"/>
            <w:rFonts w:ascii="Times New Roman" w:hAnsi="Times New Roman"/>
            <w:b w:val="false"/>
            <w:i w:val="false"/>
            <w:color w:val="000000"/>
            <w:sz w:val="22"/>
          </w:rPr>
          <w:t>105.18(2)</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waived for a journeyperson license or master license if the applicant meets the requirements set forth in Iowa Code section </w:t>
      </w:r>
      <w:hyperlink r:id="rId53">
        <w:r>
          <w:rPr>
            <w:rStyle w:val="Hyperlink"/>
            <w:rFonts w:ascii="Times New Roman" w:hAnsi="Times New Roman"/>
            <w:b w:val="false"/>
            <w:i w:val="false"/>
            <w:color w:val="000000"/>
            <w:sz w:val="22"/>
          </w:rPr>
          <w:t>105.18(4)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641—29.9</w:t>
      </w:r>
      <w:r>
        <w:rPr>
          <w:rFonts w:ascii="Times New Roman" w:hAnsi="Times New Roman"/>
          <w:b/>
          <w:i w:val="false"/>
          <w:color w:val="000000"/>
          <w:sz w:val="22"/>
        </w:rPr>
        <w:t xml:space="preserve">(105) </w:t>
      </w:r>
      <w:r>
        <w:rPr>
          <w:rFonts w:ascii="Times New Roman" w:hAnsi="Times New Roman"/>
          <w:b/>
          <w:i w:val="false"/>
          <w:color w:val="000000"/>
          <w:sz w:val="22"/>
        </w:rPr>
        <w:t xml:space="preserve">Reactivation of an inactive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inactive license is not valid for practice but must be renewed in accordance with rule </w:t>
      </w:r>
      <w:hyperlink r:id="rId54">
        <w:r>
          <w:rPr>
            <w:rStyle w:val="Hyperlink"/>
            <w:rFonts w:ascii="Times New Roman" w:hAnsi="Times New Roman"/>
            <w:b w:val="false"/>
            <w:i w:val="false"/>
            <w:color w:val="000000"/>
            <w:sz w:val="22"/>
          </w:rPr>
          <w:t>641—29.7</w:t>
        </w:r>
      </w:hyperlink>
      <w:r>
        <w:rPr>
          <w:rFonts w:ascii="Times New Roman" w:hAnsi="Times New Roman"/>
          <w:b w:val="false"/>
          <w:i w:val="false"/>
          <w:color w:val="000000"/>
          <w:sz w:val="22"/>
        </w:rPr>
        <w:t>(105). If an inactive license has not been timely renewed and becomes lapsed, the requirements for reinstatement of the license will have to be met. A person with an inactive license that is not lapsed who is seeking to reactivate the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written request to the board office for active license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fee for an active license in the amount specified in </w:t>
      </w:r>
      <w:hyperlink r:id="rId55">
        <w:r>
          <w:rPr>
            <w:rStyle w:val="Hyperlink"/>
            <w:rFonts w:ascii="Times New Roman" w:hAnsi="Times New Roman"/>
            <w:b w:val="false"/>
            <w:i w:val="false"/>
            <w:color w:val="000000"/>
            <w:sz w:val="22"/>
          </w:rPr>
          <w:t>641—Chapter 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29.9(2)</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credit earned during the compliance period for the first renewal period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641—29.10</w:t>
      </w:r>
      <w:r>
        <w:rPr>
          <w:rFonts w:ascii="Times New Roman" w:hAnsi="Times New Roman"/>
          <w:b/>
          <w:i w:val="false"/>
          <w:color w:val="000000"/>
          <w:sz w:val="22"/>
        </w:rPr>
        <w:t xml:space="preserve">(105) </w:t>
      </w:r>
      <w:r>
        <w:rPr>
          <w:rFonts w:ascii="Times New Roman" w:hAnsi="Times New Roman"/>
          <w:b/>
          <w:i w:val="false"/>
          <w:color w:val="000000"/>
          <w:sz w:val="22"/>
        </w:rPr>
        <w:t xml:space="preserve">Review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29.10(1)</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the board executive officer or designee has discretion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 the application to a committee of the board for review and consideration when the board executive officer determines that matters raised in or revealed by the application are relevant in determining the applicant’s qualifications for a license, certification, or examination. Matters that may justify referral to a committee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criminal history, which is reviewed and considered in accordance with Iowa Code chapter </w:t>
      </w:r>
      <w:hyperlink r:id="rId5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rule </w:t>
      </w:r>
      <w:hyperlink r:id="rId57">
        <w:r>
          <w:rPr>
            <w:rStyle w:val="Hyperlink"/>
            <w:rFonts w:ascii="Times New Roman" w:hAnsi="Times New Roman"/>
            <w:b w:val="false"/>
            <w:i w:val="false"/>
            <w:color w:val="000000"/>
            <w:sz w:val="22"/>
          </w:rPr>
          <w:t>641—29.13</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Chemical dependence.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or psychological illness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Judgments entered on, or settlements of, claims, lawsuits, or other legal actions related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Professional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Education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29.10(2)</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an application referred by the board executive officer, the committee may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denial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Recommend to the board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license, certification, or examination application to the board for review and consideration without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29.10(3)</w:t>
      </w:r>
      <w:r>
        <w:rPr>
          <w:rFonts w:ascii="Times New Roman" w:hAnsi="Times New Roman"/>
          <w:b w:val="false"/>
          <w:i w:val="false"/>
          <w:color w:val="000000"/>
          <w:sz w:val="22"/>
        </w:rPr>
        <w:t> </w:t>
      </w:r>
      <w:r>
        <w:rPr>
          <w:rFonts w:ascii="Times New Roman" w:hAnsi="Times New Roman"/>
          <w:b w:val="false"/>
          <w:i w:val="false"/>
          <w:color w:val="000000"/>
          <w:sz w:val="22"/>
        </w:rPr>
        <w:t>Following review and consideration of a license, certification, or examination application referred by the committee, the board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certification, or examination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Deny the issuance of the license, certification, or examination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Authorize the issuance of the license or certification under certain terms and conditions or with certain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29.10(4)</w:t>
      </w:r>
      <w:r>
        <w:rPr>
          <w:rFonts w:ascii="Times New Roman" w:hAnsi="Times New Roman"/>
          <w:b w:val="false"/>
          <w:i w:val="false"/>
          <w:color w:val="000000"/>
          <w:sz w:val="22"/>
        </w:rPr>
        <w:t> </w:t>
      </w:r>
      <w:r>
        <w:rPr>
          <w:rFonts w:ascii="Times New Roman" w:hAnsi="Times New Roman"/>
          <w:b w:val="false"/>
          <w:i w:val="false"/>
          <w:color w:val="000000"/>
          <w:sz w:val="22"/>
        </w:rPr>
        <w:t>The committee or board may require an applicant to appear for an interview before the committee or the full board as part of the application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641—29.11</w:t>
      </w:r>
      <w:r>
        <w:rPr>
          <w:rFonts w:ascii="Times New Roman" w:hAnsi="Times New Roman"/>
          <w:b/>
          <w:i w:val="false"/>
          <w:color w:val="000000"/>
          <w:sz w:val="22"/>
        </w:rPr>
        <w:t xml:space="preserve">(105) </w:t>
      </w:r>
      <w:r>
        <w:rPr>
          <w:rFonts w:ascii="Times New Roman" w:hAnsi="Times New Roman"/>
          <w:b/>
          <w:i w:val="false"/>
          <w:color w:val="000000"/>
          <w:sz w:val="22"/>
        </w:rPr>
        <w:t xml:space="preserve">Grounds for denial of an application. </w:t>
      </w:r>
      <w:r>
        <w:rPr>
          <w:rFonts w:ascii="Times New Roman" w:hAnsi="Times New Roman"/>
          <w:b w:val="false"/>
          <w:i w:val="false"/>
          <w:color w:val="000000"/>
          <w:sz w:val="22"/>
        </w:rPr>
        <w:t>The board may deny an application for license, certification, or examination for any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meet the requirements for license, certification, or examination as specified in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provide accurate and truthful information, or the omission of material information.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Pursuant to Iowa Code section </w:t>
      </w:r>
      <w:hyperlink r:id="rId58">
        <w:r>
          <w:rPr>
            <w:rStyle w:val="Hyperlink"/>
            <w:rFonts w:ascii="Times New Roman" w:hAnsi="Times New Roman"/>
            <w:b w:val="false"/>
            <w:i w:val="false"/>
            <w:color w:val="000000"/>
            <w:sz w:val="22"/>
          </w:rPr>
          <w:t>105.22</w:t>
        </w:r>
      </w:hyperlink>
      <w:r>
        <w:rPr>
          <w:rFonts w:ascii="Times New Roman" w:hAnsi="Times New Roman"/>
          <w:b w:val="false"/>
          <w:i w:val="false"/>
          <w:color w:val="000000"/>
          <w:sz w:val="22"/>
        </w:rPr>
        <w:t>, upon any of the grounds for which licensure may be revoked or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641—29.12</w:t>
      </w:r>
      <w:r>
        <w:rPr>
          <w:rFonts w:ascii="Times New Roman" w:hAnsi="Times New Roman"/>
          <w:b/>
          <w:i w:val="false"/>
          <w:color w:val="000000"/>
          <w:sz w:val="22"/>
        </w:rPr>
        <w:t xml:space="preserve">(105)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29.12(1)</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Unless an applicant for licensure petitions the board for an eligibility determination,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personal statement. </w:t>
      </w:r>
      <w:r>
        <w:rPr>
          <w:rFonts w:ascii="Times New Roman" w:hAnsi="Times New Roman"/>
          <w:b w:val="false"/>
          <w:i w:val="false"/>
          <w:color w:val="000000"/>
          <w:sz w:val="22"/>
        </w:rPr>
        <w:t>An applicant with one or more convictions must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 xml:space="preserve">As part of the license application, an applicant will submit all evidence of rehabilitation that the applicant wishes to be considered by the board. The board may deny a license if the applicant has a disqualifying offense, unless the applicant demonstrates by clear and convincing evidence that the applicant is rehabilitated pursuant to Iowa Code section </w:t>
      </w:r>
      <w:hyperlink r:id="rId5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Nonrefundable fees. </w:t>
      </w:r>
      <w:r>
        <w:rPr>
          <w:rFonts w:ascii="Times New Roman" w:hAnsi="Times New Roman"/>
          <w:b w:val="false"/>
          <w:i w:val="false"/>
          <w:color w:val="000000"/>
          <w:sz w:val="22"/>
        </w:rPr>
        <w:t>Any application fees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29.12(2)</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r>
        <w:rPr>
          <w:rFonts w:ascii="Times New Roman" w:hAnsi="Times New Roman"/>
          <w:b w:val="false"/>
          <w:i w:val="false"/>
          <w:color w:val="000000"/>
          <w:sz w:val="22"/>
        </w:rPr>
        <w:t>An individual who has not yet submitted a completed license application may petition the board for an eligibility determination. An individual with a conviction does not have to petition the board for an eligibility determination before applying for a license. To petition the board for an eligibility determination, a petitioner must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 which is available on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practice of the profession and why the board should find the petitioner is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wants the board to consider;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in the amount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found ineligible or an applicant denied a license because of a disqualifying offense may appeal the decision in the manner and time frame set forth in the board’s written decision. A timely appeal will initiate a nondisciplinary contested case proceeding. The board’s rules governing nondisciplinary contested case proceedings apply unless otherwise specified in this rule. If the petitioner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 xml:space="preserve">The presiding officer will be the board. However, any party to an appeal of a license denial or ineligibility determination may file a written request, in accordance with rule </w:t>
      </w:r>
      <w:hyperlink r:id="rId60">
        <w:r>
          <w:rPr>
            <w:rStyle w:val="Hyperlink"/>
            <w:rFonts w:ascii="Times New Roman" w:hAnsi="Times New Roman"/>
            <w:b w:val="false"/>
            <w:i w:val="false"/>
            <w:color w:val="000000"/>
            <w:sz w:val="22"/>
          </w:rPr>
          <w:t>641—33.10</w:t>
        </w:r>
      </w:hyperlink>
      <w:r>
        <w:rPr>
          <w:rFonts w:ascii="Times New Roman" w:hAnsi="Times New Roman"/>
          <w:b w:val="false"/>
          <w:i w:val="false"/>
          <w:color w:val="000000"/>
          <w:sz w:val="22"/>
        </w:rPr>
        <w:t>(17A), that the presiding officer be an administrative law judge. Additionally, the board may, on its own motion, request that an administrative law judge be assigned to act as presiding officer. When an administrative law judge serves as the presiding officer, the decision rendered will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Burden. </w:t>
      </w:r>
      <w:r>
        <w:rPr>
          <w:rFonts w:ascii="Times New Roman" w:hAnsi="Times New Roman"/>
          <w:b w:val="false"/>
          <w:i w:val="false"/>
          <w:color w:val="000000"/>
          <w:sz w:val="22"/>
        </w:rPr>
        <w:t>The office of the attorney general will represent the board’s initial ineligibility determination or license denial and has the burden of proof to establish that the petitioner’s or applicant’s convictions include at least one disqualifying offense. Upon satisfaction of this burden by a preponderance of the evidence by the office of the attorney general, the burden of proof shifts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A petitioner or applicant must appeal an ineligibility determination or a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is in accordance with Iowa Code chapter </w:t>
      </w:r>
      <w:hyperlink r:id="rId6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29.12(4)</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cannot submit a subsequent petition for eligibility determination or a license application prior to the date specified in the final order. If a final order denies a license application, the applicant cannot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12/23/08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8530B</w:t>
      </w:r>
      <w:r>
        <w:rPr>
          <w:rFonts w:ascii="Times New Roman" w:hAnsi="Times New Roman"/>
          <w:b w:val="false"/>
          <w:i w:val="false"/>
          <w:color w:val="000000"/>
          <w:sz w:val="21"/>
        </w:rPr>
        <w:t xml:space="preserve"> (Notice ARC 8362B,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Emergency ARC 8783B, IAB 6/2/10, effective 5/10/10]</w:t>
      </w:r>
    </w:p>
    <w:p>
      <w:pPr>
        <w:spacing w:before="0" w:after="0"/>
        <w:ind w:left="120"/>
        <w:jc w:val="center"/>
      </w:pPr>
      <w:r>
        <w:rPr>
          <w:rFonts w:ascii="Times New Roman" w:hAnsi="Times New Roman"/>
          <w:b w:val="false"/>
          <w:i w:val="false"/>
          <w:color w:val="000000"/>
          <w:sz w:val="21"/>
        </w:rPr>
        <w:t>[Filed Emergency ARC 9604B, IAB 7/13/11, effective 6/21/11]</w:t>
      </w:r>
    </w:p>
    <w:p>
      <w:pPr>
        <w:spacing w:before="0" w:after="0"/>
        <w:ind w:left="120"/>
        <w:jc w:val="center"/>
      </w:pPr>
      <w:r>
        <w:rPr>
          <w:rFonts w:ascii="Times New Roman" w:hAnsi="Times New Roman"/>
          <w:b w:val="false"/>
          <w:i w:val="false"/>
          <w:color w:val="000000"/>
          <w:sz w:val="21"/>
        </w:rPr>
        <w:t>[Filed ARC 9849B</w:t>
      </w:r>
      <w:r>
        <w:rPr>
          <w:rFonts w:ascii="Times New Roman" w:hAnsi="Times New Roman"/>
          <w:b w:val="false"/>
          <w:i w:val="false"/>
          <w:color w:val="000000"/>
          <w:sz w:val="21"/>
        </w:rPr>
        <w:t xml:space="preserve"> (Notice ARC 9612B, IAB 7/13/11)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0340C</w:t>
      </w:r>
      <w:r>
        <w:rPr>
          <w:rFonts w:ascii="Times New Roman" w:hAnsi="Times New Roman"/>
          <w:b w:val="false"/>
          <w:i w:val="false"/>
          <w:color w:val="000000"/>
          <w:sz w:val="21"/>
        </w:rPr>
        <w:t xml:space="preserve"> (Notice ARC 0043C, IAB 3/21/12)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10"/>
        </w:rPr>
        <w:t>1</w:t>
      </w:r>
      <w:r>
        <w:rPr>
          <w:rFonts w:ascii="Times New Roman" w:hAnsi="Times New Roman"/>
          <w:b w:val="false"/>
          <w:i w:val="false"/>
          <w:color w:val="000000"/>
          <w:sz w:val="21"/>
        </w:rPr>
        <w:t>[Filed ARC 1220C</w:t>
      </w:r>
      <w:r>
        <w:rPr>
          <w:rFonts w:ascii="Times New Roman" w:hAnsi="Times New Roman"/>
          <w:b w:val="false"/>
          <w:i w:val="false"/>
          <w:color w:val="000000"/>
          <w:sz w:val="21"/>
        </w:rPr>
        <w:t xml:space="preserve"> (Notice ARC 0934C, IAB 8/7/13)</w:t>
      </w:r>
      <w:r>
        <w:rPr>
          <w:rFonts w:ascii="Times New Roman" w:hAnsi="Times New Roman"/>
          <w:b w:val="false"/>
          <w:i w:val="false"/>
          <w:color w:val="000000"/>
          <w:sz w:val="21"/>
        </w:rPr>
        <w:t>, IAB 12/11/13, effective 5/1/14]</w:t>
      </w:r>
    </w:p>
    <w:p>
      <w:pPr>
        <w:spacing w:before="0" w:after="0"/>
        <w:ind w:left="120"/>
        <w:jc w:val="center"/>
      </w:pPr>
      <w:r>
        <w:rPr>
          <w:rFonts w:ascii="Times New Roman" w:hAnsi="Times New Roman"/>
          <w:b w:val="false"/>
          <w:i w:val="false"/>
          <w:color w:val="000000"/>
          <w:sz w:val="21"/>
        </w:rPr>
        <w:t>[Editorial change: IAC Supplement 12/24/14]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6463C</w:t>
      </w:r>
      <w:r>
        <w:rPr>
          <w:rFonts w:ascii="Times New Roman" w:hAnsi="Times New Roman"/>
          <w:b w:val="false"/>
          <w:i w:val="false"/>
          <w:color w:val="000000"/>
          <w:sz w:val="21"/>
        </w:rPr>
        <w:t xml:space="preserve"> (Notice ARC 6233C, IAB 3/9/22)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7995C</w:t>
      </w:r>
      <w:r>
        <w:rPr>
          <w:rFonts w:ascii="Times New Roman" w:hAnsi="Times New Roman"/>
          <w:b w:val="false"/>
          <w:i w:val="false"/>
          <w:color w:val="000000"/>
          <w:sz w:val="21"/>
        </w:rPr>
        <w:t xml:space="preserve"> (Notice ARC 7329C, IAB 1/10/24)</w:t>
      </w:r>
      <w:r>
        <w:rPr>
          <w:rFonts w:ascii="Times New Roman" w:hAnsi="Times New Roman"/>
          <w:b w:val="false"/>
          <w:i w:val="false"/>
          <w:color w:val="000000"/>
          <w:sz w:val="21"/>
        </w:rPr>
        <w:t>, IAB 5/15/24, effective 6/19/24]</w:t>
      </w:r>
    </w:p>
    <w:p>
      <w:pPr>
        <w:pBdr>
          <w:bottom w:space="2"/>
        </w:pBdr>
        <w:spacing w:before="0" w:after="0"/>
        <w:ind w:left="120"/>
        <w:jc w:val="both"/>
      </w:pPr>
      <w:r>
        <w:rPr>
          <w:rFonts w:ascii="Times New Roman" w:hAnsi="Times New Roman"/>
          <w:b w:val="false"/>
          <w:i w:val="false"/>
          <w:color w:val="000000"/>
          <w:sz w:val="22"/>
        </w:rPr>
        <w:t>May 1, 2014, effective date of ARC 1220C, Item 12 [rescission of 29.4(3)], delayed until the adjournment of the 2014 General Assembly by the Administrative Rules Review Committee at its meeting held January 10, 2014.</w:t>
      </w:r>
    </w:p>
    <w:p>
      <w:pPr>
        <w:pBdr>
          <w:bottom w:space="2"/>
        </w:pBdr>
        <w:spacing w:before="0" w:after="0"/>
        <w:ind w:left="120"/>
        <w:jc w:val="both"/>
      </w:pPr>
      <w:r>
        <w:rPr>
          <w:rFonts w:ascii="Times New Roman" w:hAnsi="Times New Roman"/>
          <w:b w:val="false"/>
          <w:i w:val="false"/>
          <w:color w:val="000000"/>
          <w:sz w:val="22"/>
        </w:rPr>
        <w:t>641—paragraph 29.2(4)</w:t>
      </w:r>
      <w:r>
        <w:rPr>
          <w:rFonts w:ascii="Times New Roman" w:hAnsi="Times New Roman"/>
          <w:b w:val="false"/>
          <w:i/>
          <w:color w:val="000000"/>
          <w:sz w:val="22"/>
        </w:rPr>
        <w:t>“d”</w:t>
      </w:r>
      <w:r>
        <w:rPr>
          <w:rFonts w:ascii="Times New Roman" w:hAnsi="Times New Roman"/>
          <w:b w:val="false"/>
          <w:i w:val="false"/>
          <w:color w:val="000000"/>
          <w:sz w:val="22"/>
        </w:rPr>
        <w:t xml:space="preserve"> editorially reinstated IAC Supplement 12/24/14.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272C.1.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ac/rule/641.29.8.pdf" Type="http://schemas.openxmlformats.org/officeDocument/2006/relationships/hyperlink" Id="rId8"/>
    <Relationship TargetMode="External" Target="https://www.legis.iowa.gov/docs/iac/rule/641.29.8.pdf" Type="http://schemas.openxmlformats.org/officeDocument/2006/relationships/hyperlink" Id="rId9"/>
    <Relationship TargetMode="External" Target="https://www.legis.iowa.gov/docs/iac/rule/641.29.8.pdf" Type="http://schemas.openxmlformats.org/officeDocument/2006/relationships/hyperlink" Id="rId10"/>
    <Relationship TargetMode="External" Target="https://www.legis.iowa.gov/docs/iac/rule/641.29.4.pdf" Type="http://schemas.openxmlformats.org/officeDocument/2006/relationships/hyperlink" Id="rId11"/>
    <Relationship TargetMode="External" Target="https://www.legis.iowa.gov/docs/ico/chapter/105.18.pdf" Type="http://schemas.openxmlformats.org/officeDocument/2006/relationships/hyperlink" Id="rId12"/>
    <Relationship TargetMode="External" Target="https://www.legis.iowa.gov/docs/iac/rule/641.23.8.pdf" Type="http://schemas.openxmlformats.org/officeDocument/2006/relationships/hyperlink" Id="rId13"/>
    <Relationship TargetMode="External" Target="https://www.legis.iowa.gov/docs/ico/chapter/105.18.pdf" Type="http://schemas.openxmlformats.org/officeDocument/2006/relationships/hyperlink" Id="rId14"/>
    <Relationship TargetMode="External" Target="https://www.legis.iowa.gov/docs/ico/chapter/105.18.pdf" Type="http://schemas.openxmlformats.org/officeDocument/2006/relationships/hyperlink" Id="rId15"/>
    <Relationship TargetMode="External" Target="https://www.legis.iowa.gov/docs/ico/chapter/105.18.pdf" Type="http://schemas.openxmlformats.org/officeDocument/2006/relationships/hyperlink" Id="rId16"/>
    <Relationship TargetMode="External" Target="https://www.legis.iowa.gov/docs/ico/chapter/105.19.pdf" Type="http://schemas.openxmlformats.org/officeDocument/2006/relationships/hyperlink" Id="rId17"/>
    <Relationship TargetMode="External" Target="https://www.legis.iowa.gov/docs/iac/rule/641.29.2.pdf" Type="http://schemas.openxmlformats.org/officeDocument/2006/relationships/hyperlink" Id="rId18"/>
    <Relationship TargetMode="External" Target="https://www.legis.iowa.gov/docs/iac/rule/641.29.5.pdf" Type="http://schemas.openxmlformats.org/officeDocument/2006/relationships/hyperlink" Id="rId19"/>
    <Relationship TargetMode="External" Target="https://www.legis.iowa.gov/docs/iac/rule/641.29.2.pdf" Type="http://schemas.openxmlformats.org/officeDocument/2006/relationships/hyperlink" Id="rId20"/>
    <Relationship TargetMode="External" Target="https://www.legis.iowa.gov/docs/iac/rule/641.29.5.pdf" Type="http://schemas.openxmlformats.org/officeDocument/2006/relationships/hyperlink" Id="rId21"/>
    <Relationship TargetMode="External" Target="https://www.legis.iowa.gov/docs/iac/rule/641.29.5.pdf" Type="http://schemas.openxmlformats.org/officeDocument/2006/relationships/hyperlink" Id="rId22"/>
    <Relationship TargetMode="External" Target="https://www.legis.iowa.gov/docs/iac/rule/641.29.5.pdf" Type="http://schemas.openxmlformats.org/officeDocument/2006/relationships/hyperlink" Id="rId23"/>
    <Relationship TargetMode="External" Target="https://www.legis.iowa.gov/docs/iac/rule/641.29.5.pdf" Type="http://schemas.openxmlformats.org/officeDocument/2006/relationships/hyperlink" Id="rId24"/>
    <Relationship TargetMode="External" Target="https://www.legis.iowa.gov/docs/iac/rule/641.29.5.pdf" Type="http://schemas.openxmlformats.org/officeDocument/2006/relationships/hyperlink" Id="rId25"/>
    <Relationship TargetMode="External" Target="https://www.legis.iowa.gov/docs/iac/rule/641.29.5.pdf" Type="http://schemas.openxmlformats.org/officeDocument/2006/relationships/hyperlink" Id="rId26"/>
    <Relationship TargetMode="External" Target="https://www.legis.iowa.gov/docs/iac/rule/641.29.4.pdf" Type="http://schemas.openxmlformats.org/officeDocument/2006/relationships/hyperlink" Id="rId27"/>
    <Relationship TargetMode="External" Target="https://www.legis.iowa.gov/docs/iac/rule/641.30.2.pdf" Type="http://schemas.openxmlformats.org/officeDocument/2006/relationships/hyperlink" Id="rId28"/>
    <Relationship TargetMode="External" Target="https://www.legis.iowa.gov/docs/iac/rule/641.23.8.pdf" Type="http://schemas.openxmlformats.org/officeDocument/2006/relationships/hyperlink" Id="rId29"/>
    <Relationship TargetMode="External" Target="https://www.legis.iowa.gov/docs/iac/rule/641.30.2.pdf" Type="http://schemas.openxmlformats.org/officeDocument/2006/relationships/hyperlink" Id="rId30"/>
    <Relationship TargetMode="External" Target="https://www.legis.iowa.gov/docs/iac/rule/641.30.6.pdf" Type="http://schemas.openxmlformats.org/officeDocument/2006/relationships/hyperlink" Id="rId31"/>
    <Relationship TargetMode="External" Target="https://www.legis.iowa.gov/docs/iac/chapter/641.28.pdf" Type="http://schemas.openxmlformats.org/officeDocument/2006/relationships/hyperlink" Id="rId32"/>
    <Relationship TargetMode="External" Target="https://www.legis.iowa.gov/docs/iac/chapter/641.28.pdf" Type="http://schemas.openxmlformats.org/officeDocument/2006/relationships/hyperlink" Id="rId33"/>
    <Relationship TargetMode="External" Target="https://www.legis.iowa.gov/docs/iac/chapter/641.28.pdf" Type="http://schemas.openxmlformats.org/officeDocument/2006/relationships/hyperlink" Id="rId34"/>
    <Relationship TargetMode="External" Target="https://www.legis.iowa.gov/docs/ico/chapter/91C.pdf" Type="http://schemas.openxmlformats.org/officeDocument/2006/relationships/hyperlink" Id="rId35"/>
    <Relationship TargetMode="External" Target="https://www.legis.iowa.gov/docs/iac/rule/641.29.2.pdf" Type="http://schemas.openxmlformats.org/officeDocument/2006/relationships/hyperlink" Id="rId36"/>
    <Relationship TargetMode="External" Target="https://www.legis.iowa.gov/docs/iac/chapter/875.150.pdf" Type="http://schemas.openxmlformats.org/officeDocument/2006/relationships/hyperlink" Id="rId37"/>
    <Relationship TargetMode="External" Target="https://www.legis.iowa.gov/docs/ico/chapter/91C.pdf" Type="http://schemas.openxmlformats.org/officeDocument/2006/relationships/hyperlink" Id="rId38"/>
    <Relationship TargetMode="External" Target="https://www.legis.iowa.gov/docs/iac/chapter/641.28.pdf" Type="http://schemas.openxmlformats.org/officeDocument/2006/relationships/hyperlink" Id="rId39"/>
    <Relationship TargetMode="External" Target="https://www.legis.iowa.gov/docs/iac/chapter/641.28.pdf" Type="http://schemas.openxmlformats.org/officeDocument/2006/relationships/hyperlink" Id="rId40"/>
    <Relationship TargetMode="External" Target="https://www.legis.iowa.gov/docs/iac/chapter/875.150.pdf" Type="http://schemas.openxmlformats.org/officeDocument/2006/relationships/hyperlink" Id="rId41"/>
    <Relationship TargetMode="External" Target="https://www.legis.iowa.gov/docs/ico/chapter/105.20.pdf" Type="http://schemas.openxmlformats.org/officeDocument/2006/relationships/hyperlink" Id="rId42"/>
    <Relationship TargetMode="External" Target="https://www.legis.iowa.gov/docs/iac/chapter/641.28.pdf" Type="http://schemas.openxmlformats.org/officeDocument/2006/relationships/hyperlink" Id="rId43"/>
    <Relationship TargetMode="External" Target="https://www.legis.iowa.gov/docs/iac/chapter/641.28.pdf" Type="http://schemas.openxmlformats.org/officeDocument/2006/relationships/hyperlink" Id="rId44"/>
    <Relationship TargetMode="External" Target="https://www.legis.iowa.gov/docs/iac/rule/641.30.2.pdf" Type="http://schemas.openxmlformats.org/officeDocument/2006/relationships/hyperlink" Id="rId45"/>
    <Relationship TargetMode="External" Target="https://www.legis.iowa.gov/docs/iac/rule/641.23.8.pdf" Type="http://schemas.openxmlformats.org/officeDocument/2006/relationships/hyperlink" Id="rId46"/>
    <Relationship TargetMode="External" Target="https://www.legis.iowa.gov/docs/iac/rule/641.30.2.pdf" Type="http://schemas.openxmlformats.org/officeDocument/2006/relationships/hyperlink" Id="rId47"/>
    <Relationship TargetMode="External" Target="https://www.legis.iowa.gov/docs/iac/rule/641.30.6.pdf" Type="http://schemas.openxmlformats.org/officeDocument/2006/relationships/hyperlink" Id="rId48"/>
    <Relationship TargetMode="External" Target="https://www.legis.iowa.gov/docs/iac/rule/641.30.2.pdf" Type="http://schemas.openxmlformats.org/officeDocument/2006/relationships/hyperlink" Id="rId49"/>
    <Relationship TargetMode="External" Target="https://www.legis.iowa.gov/docs/iac/rule/641.29.7.pdf" Type="http://schemas.openxmlformats.org/officeDocument/2006/relationships/hyperlink" Id="rId50"/>
    <Relationship TargetMode="External" Target="https://www.legis.iowa.gov/docs/ico/chapter/105.18.pdf" Type="http://schemas.openxmlformats.org/officeDocument/2006/relationships/hyperlink" Id="rId51"/>
    <Relationship TargetMode="External" Target="https://www.legis.iowa.gov/docs/ico/chapter/105.18.pdf" Type="http://schemas.openxmlformats.org/officeDocument/2006/relationships/hyperlink" Id="rId52"/>
    <Relationship TargetMode="External" Target="https://www.legis.iowa.gov/docs/ico/chapter/105.18.pdf" Type="http://schemas.openxmlformats.org/officeDocument/2006/relationships/hyperlink" Id="rId53"/>
    <Relationship TargetMode="External" Target="https://www.legis.iowa.gov/docs/iac/rule/641.29.7.pdf" Type="http://schemas.openxmlformats.org/officeDocument/2006/relationships/hyperlink" Id="rId54"/>
    <Relationship TargetMode="External" Target="https://www.legis.iowa.gov/docs/iac/chapter/641.28.pdf" Type="http://schemas.openxmlformats.org/officeDocument/2006/relationships/hyperlink" Id="rId55"/>
    <Relationship TargetMode="External" Target="https://www.legis.iowa.gov/docs/ico/chapter/272C.pdf" Type="http://schemas.openxmlformats.org/officeDocument/2006/relationships/hyperlink" Id="rId56"/>
    <Relationship TargetMode="External" Target="https://www.legis.iowa.gov/docs/iac/rule/641.29.13.pdf" Type="http://schemas.openxmlformats.org/officeDocument/2006/relationships/hyperlink" Id="rId57"/>
    <Relationship TargetMode="External" Target="https://www.legis.iowa.gov/docs/ico/chapter/105.22.pdf" Type="http://schemas.openxmlformats.org/officeDocument/2006/relationships/hyperlink" Id="rId58"/>
    <Relationship TargetMode="External" Target="https://www.legis.iowa.gov/docs/ico/chapter/272C.15.pdf" Type="http://schemas.openxmlformats.org/officeDocument/2006/relationships/hyperlink" Id="rId59"/>
    <Relationship TargetMode="External" Target="https://www.legis.iowa.gov/docs/iac/rule/641.33.10.pdf" Type="http://schemas.openxmlformats.org/officeDocument/2006/relationships/hyperlink" Id="rId60"/>
    <Relationship TargetMode="External" Target="https://www.legis.iowa.gov/docs/ico/chapter/17A.pdf" Type="http://schemas.openxmlformats.org/officeDocument/2006/relationships/hyperlink" Id="rId61"/>
    <Relationship TargetMode="External" Target="https://www.legis.iowa.gov/docs/ico/chapter/105.pdf" Type="http://schemas.openxmlformats.org/officeDocument/2006/relationships/hyperlink" Id="rId62"/>
    <Relationship TargetMode="External" Target="https://www.legis.iowa.gov/docs/ico/chapter/272C.pdf" Type="http://schemas.openxmlformats.org/officeDocument/2006/relationships/hyperlink"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