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PLUMBING AND MECHANICAL SYSTEMS BOARD—LICENSURE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641—28.1</w:t>
      </w:r>
      <w:r>
        <w:rPr>
          <w:rFonts w:ascii="Times New Roman" w:hAnsi="Times New Roman"/>
          <w:b/>
          <w:i w:val="false"/>
          <w:color w:val="000000"/>
          <w:sz w:val="22"/>
        </w:rPr>
        <w:t xml:space="preserve">(105) </w:t>
      </w:r>
      <w:r>
        <w:rPr>
          <w:rFonts w:ascii="Times New Roman" w:hAnsi="Times New Roman"/>
          <w:b/>
          <w:i w:val="false"/>
          <w:color w:val="000000"/>
          <w:sz w:val="22"/>
        </w:rPr>
        <w:t xml:space="preserve">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w:t>
      </w:r>
      <w:r>
        <w:rPr>
          <w:rFonts w:ascii="Times New Roman" w:hAnsi="Times New Roman"/>
          <w:b w:val="false"/>
          <w:i w:val="false"/>
          <w:color w:val="000000"/>
          <w:sz w:val="22"/>
        </w:rPr>
        <w:t> </w:t>
      </w:r>
      <w:r>
        <w:rPr>
          <w:rFonts w:ascii="Times New Roman" w:hAnsi="Times New Roman"/>
          <w:b w:val="false"/>
          <w:i w:val="false"/>
          <w:color w:val="000000"/>
          <w:sz w:val="22"/>
        </w:rPr>
        <w:t>Fees for three-year initial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5">
        <w:r>
          <w:rPr>
            <w:rStyle w:val="Hyperlink"/>
            <w:rFonts w:ascii="Times New Roman" w:hAnsi="Times New Roman"/>
            <w:b w:val="false"/>
            <w:i w:val="false"/>
            <w:color w:val="000000"/>
            <w:sz w:val="22"/>
          </w:rPr>
          <w:t>641—subrule 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6">
        <w:r>
          <w:rPr>
            <w:rStyle w:val="Hyperlink"/>
            <w:rFonts w:ascii="Times New Roman" w:hAnsi="Times New Roman"/>
            <w:b w:val="false"/>
            <w:i w:val="false"/>
            <w:color w:val="000000"/>
            <w:sz w:val="22"/>
          </w:rPr>
          <w:t>641—subrule 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7">
        <w:r>
          <w:rPr>
            <w:rStyle w:val="Hyperlink"/>
            <w:rFonts w:ascii="Times New Roman" w:hAnsi="Times New Roman"/>
            <w:b w:val="false"/>
            <w:i w:val="false"/>
            <w:color w:val="000000"/>
            <w:sz w:val="22"/>
          </w:rPr>
          <w:t>641—subrule 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gas pipe certificate as defined in rule </w:t>
      </w:r>
      <w:hyperlink r:id="rId8">
        <w:r>
          <w:rPr>
            <w:rStyle w:val="Hyperlink"/>
            <w:rFonts w:ascii="Times New Roman" w:hAnsi="Times New Roman"/>
            <w:b w:val="false"/>
            <w:i w:val="false"/>
            <w:color w:val="000000"/>
            <w:sz w:val="22"/>
          </w:rPr>
          <w:t>641—29.3(105)</w:t>
        </w:r>
      </w:hyperlink>
      <w:r>
        <w:rPr>
          <w:rFonts w:ascii="Times New Roman" w:hAnsi="Times New Roman"/>
          <w:b w:val="false"/>
          <w:i w:val="false"/>
          <w:color w:val="000000"/>
          <w:sz w:val="22"/>
        </w:rPr>
        <w:t xml:space="preserv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as defined in </w:t>
      </w:r>
      <w:hyperlink r:id="rId9">
        <w:r>
          <w:rPr>
            <w:rStyle w:val="Hyperlink"/>
            <w:rFonts w:ascii="Times New Roman" w:hAnsi="Times New Roman"/>
            <w:b w:val="false"/>
            <w:i w:val="false"/>
            <w:color w:val="000000"/>
            <w:sz w:val="22"/>
          </w:rPr>
          <w:t>641—subrules 29.2(5)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29.2(6)</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 as defined in </w:t>
      </w:r>
      <w:hyperlink r:id="rId11">
        <w:r>
          <w:rPr>
            <w:rStyle w:val="Hyperlink"/>
            <w:rFonts w:ascii="Times New Roman" w:hAnsi="Times New Roman"/>
            <w:b w:val="false"/>
            <w:i w:val="false"/>
            <w:color w:val="000000"/>
            <w:sz w:val="22"/>
          </w:rPr>
          <w:t>641—subrule 29.2(4)</w:t>
        </w:r>
      </w:hyperlink>
      <w:r>
        <w:rPr>
          <w:rFonts w:ascii="Times New Roman" w:hAnsi="Times New Roman"/>
          <w:b w:val="false"/>
          <w:i w:val="false"/>
          <w:color w:val="000000"/>
          <w:sz w:val="22"/>
        </w:rPr>
        <w:t xml:space="preserve">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restricted license as defined in </w:t>
      </w:r>
      <w:hyperlink r:id="rId12">
        <w:r>
          <w:rPr>
            <w:rStyle w:val="Hyperlink"/>
            <w:rFonts w:ascii="Times New Roman" w:hAnsi="Times New Roman"/>
            <w:b w:val="false"/>
            <w:i w:val="false"/>
            <w:color w:val="000000"/>
            <w:sz w:val="22"/>
          </w:rPr>
          <w:t>641—subrules 29.2(8)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29.2(9)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29.2(10)</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Fees for all initial licenses issued for a period of less than three years will be prorated using a one-sixth deduction for each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28.1(2)</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three-year reciprocal licenses or three-year licenses obtained by verification in accordance with </w:t>
      </w:r>
      <w:hyperlink r:id="rId15">
        <w:r>
          <w:rPr>
            <w:rStyle w:val="Hyperlink"/>
            <w:rFonts w:ascii="Times New Roman" w:hAnsi="Times New Roman"/>
            <w:b w:val="false"/>
            <w:i w:val="false"/>
            <w:color w:val="000000"/>
            <w:sz w:val="22"/>
          </w:rPr>
          <w:t>641—Chapter 35</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16">
        <w:r>
          <w:rPr>
            <w:rStyle w:val="Hyperlink"/>
            <w:rFonts w:ascii="Times New Roman" w:hAnsi="Times New Roman"/>
            <w:b w:val="false"/>
            <w:i w:val="false"/>
            <w:color w:val="000000"/>
            <w:sz w:val="22"/>
          </w:rPr>
          <w:t>641—subrule 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17">
        <w:r>
          <w:rPr>
            <w:rStyle w:val="Hyperlink"/>
            <w:rFonts w:ascii="Times New Roman" w:hAnsi="Times New Roman"/>
            <w:b w:val="false"/>
            <w:i w:val="false"/>
            <w:color w:val="000000"/>
            <w:sz w:val="22"/>
          </w:rPr>
          <w:t>641—subrule 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18">
        <w:r>
          <w:rPr>
            <w:rStyle w:val="Hyperlink"/>
            <w:rFonts w:ascii="Times New Roman" w:hAnsi="Times New Roman"/>
            <w:b w:val="false"/>
            <w:i w:val="false"/>
            <w:color w:val="000000"/>
            <w:sz w:val="22"/>
          </w:rPr>
          <w:t>641—subrule 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all reciprocal licenses or three-year licenses obtained by verification in accordance with </w:t>
      </w:r>
      <w:hyperlink r:id="rId19">
        <w:r>
          <w:rPr>
            <w:rStyle w:val="Hyperlink"/>
            <w:rFonts w:ascii="Times New Roman" w:hAnsi="Times New Roman"/>
            <w:b w:val="false"/>
            <w:i w:val="false"/>
            <w:color w:val="000000"/>
            <w:sz w:val="22"/>
          </w:rPr>
          <w:t>641—Chapter 35</w:t>
        </w:r>
      </w:hyperlink>
      <w:r>
        <w:rPr>
          <w:rFonts w:ascii="Times New Roman" w:hAnsi="Times New Roman"/>
          <w:b w:val="false"/>
          <w:i w:val="false"/>
          <w:color w:val="000000"/>
          <w:sz w:val="22"/>
        </w:rPr>
        <w:t xml:space="preserve"> issued for a period of less than three years will be prorated using a one-sixth deduction for each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w:t>
      </w:r>
      <w:r>
        <w:rPr>
          <w:rFonts w:ascii="Times New Roman" w:hAnsi="Times New Roman"/>
          <w:b w:val="false"/>
          <w:i w:val="false"/>
          <w:color w:val="000000"/>
          <w:sz w:val="22"/>
        </w:rPr>
        <w:t> </w:t>
      </w:r>
      <w:r>
        <w:rPr>
          <w:rFonts w:ascii="Times New Roman" w:hAnsi="Times New Roman"/>
          <w:b w:val="false"/>
          <w:i w:val="false"/>
          <w:color w:val="000000"/>
          <w:sz w:val="22"/>
        </w:rPr>
        <w:t>Fees for renewal of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20">
        <w:r>
          <w:rPr>
            <w:rStyle w:val="Hyperlink"/>
            <w:rFonts w:ascii="Times New Roman" w:hAnsi="Times New Roman"/>
            <w:b w:val="false"/>
            <w:i w:val="false"/>
            <w:color w:val="000000"/>
            <w:sz w:val="22"/>
          </w:rPr>
          <w:t>641—subrule 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21">
        <w:r>
          <w:rPr>
            <w:rStyle w:val="Hyperlink"/>
            <w:rFonts w:ascii="Times New Roman" w:hAnsi="Times New Roman"/>
            <w:b w:val="false"/>
            <w:i w:val="false"/>
            <w:color w:val="000000"/>
            <w:sz w:val="22"/>
          </w:rPr>
          <w:t>641—subrule 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22">
        <w:r>
          <w:rPr>
            <w:rStyle w:val="Hyperlink"/>
            <w:rFonts w:ascii="Times New Roman" w:hAnsi="Times New Roman"/>
            <w:b w:val="false"/>
            <w:i w:val="false"/>
            <w:color w:val="000000"/>
            <w:sz w:val="22"/>
          </w:rPr>
          <w:t>641—subrule 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gas pipe certificate as defined in rule </w:t>
      </w:r>
      <w:hyperlink r:id="rId23">
        <w:r>
          <w:rPr>
            <w:rStyle w:val="Hyperlink"/>
            <w:rFonts w:ascii="Times New Roman" w:hAnsi="Times New Roman"/>
            <w:b w:val="false"/>
            <w:i w:val="false"/>
            <w:color w:val="000000"/>
            <w:sz w:val="22"/>
          </w:rPr>
          <w:t>641—29.3(105)</w:t>
        </w:r>
      </w:hyperlink>
      <w:r>
        <w:rPr>
          <w:rFonts w:ascii="Times New Roman" w:hAnsi="Times New Roman"/>
          <w:b w:val="false"/>
          <w:i w:val="false"/>
          <w:color w:val="000000"/>
          <w:sz w:val="22"/>
        </w:rPr>
        <w:t xml:space="preserv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as defined in </w:t>
      </w:r>
      <w:hyperlink r:id="rId24">
        <w:r>
          <w:rPr>
            <w:rStyle w:val="Hyperlink"/>
            <w:rFonts w:ascii="Times New Roman" w:hAnsi="Times New Roman"/>
            <w:b w:val="false"/>
            <w:i w:val="false"/>
            <w:color w:val="000000"/>
            <w:sz w:val="22"/>
          </w:rPr>
          <w:t>641—subrules 29.2(5)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29.2(6)</w:t>
        </w:r>
      </w:hyperlink>
      <w:r>
        <w:rPr>
          <w:rFonts w:ascii="Times New Roman" w:hAnsi="Times New Roman"/>
          <w:b w:val="false"/>
          <w:i w:val="false"/>
          <w:color w:val="000000"/>
          <w:sz w:val="22"/>
        </w:rPr>
        <w:t xml:space="preserve"> is $50. However, no fee is necessary for an inactive specialty license as defined in </w:t>
      </w:r>
      <w:hyperlink r:id="rId26">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 xml:space="preserve"> so long as the person possessing the inactive specialty license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 as defined in </w:t>
      </w:r>
      <w:hyperlink r:id="rId27">
        <w:r>
          <w:rPr>
            <w:rStyle w:val="Hyperlink"/>
            <w:rFonts w:ascii="Times New Roman" w:hAnsi="Times New Roman"/>
            <w:b w:val="false"/>
            <w:i w:val="false"/>
            <w:color w:val="000000"/>
            <w:sz w:val="22"/>
          </w:rPr>
          <w:t>641—subrule 29.2(4)</w:t>
        </w:r>
      </w:hyperlink>
      <w:r>
        <w:rPr>
          <w:rFonts w:ascii="Times New Roman" w:hAnsi="Times New Roman"/>
          <w:b w:val="false"/>
          <w:i w:val="false"/>
          <w:color w:val="000000"/>
          <w:sz w:val="22"/>
        </w:rPr>
        <w:t xml:space="preserve">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restricted license as defined in </w:t>
      </w:r>
      <w:hyperlink r:id="rId28">
        <w:r>
          <w:rPr>
            <w:rStyle w:val="Hyperlink"/>
            <w:rFonts w:ascii="Times New Roman" w:hAnsi="Times New Roman"/>
            <w:b w:val="false"/>
            <w:i w:val="false"/>
            <w:color w:val="000000"/>
            <w:sz w:val="22"/>
          </w:rPr>
          <w:t>641—subrules 29.2(8)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29.2(9)</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29.2(10)</w:t>
        </w:r>
      </w:hyperlink>
      <w:r>
        <w:rPr>
          <w:rFonts w:ascii="Times New Roman" w:hAnsi="Times New Roman"/>
          <w:b w:val="false"/>
          <w:i w:val="false"/>
          <w:color w:val="000000"/>
          <w:sz w:val="22"/>
        </w:rPr>
        <w:t xml:space="preserve"> is $50. However, no fee is necessary for an inactive specialty license as defined in </w:t>
      </w:r>
      <w:hyperlink r:id="rId31">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 xml:space="preserve"> so long as the person possessing the inactive specialty license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28.1(4)</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w:t>
      </w:r>
      <w:r>
        <w:rPr>
          <w:rFonts w:ascii="Times New Roman" w:hAnsi="Times New Roman"/>
          <w:b w:val="false"/>
          <w:i w:val="false"/>
          <w:color w:val="000000"/>
          <w:sz w:val="22"/>
        </w:rPr>
        <w:t> </w:t>
      </w:r>
      <w:r>
        <w:rPr>
          <w:rFonts w:ascii="Times New Roman" w:hAnsi="Times New Roman"/>
          <w:b w:val="false"/>
          <w:i w:val="false"/>
          <w:color w:val="000000"/>
          <w:sz w:val="22"/>
        </w:rPr>
        <w:t>A late fee for failure to renew before expiration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on or before the following July 31 may reinstate and renew the license upon payment of the appropriate renewal fee and without payment of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between the following August 1 and August 31 may reinstate and renew the license without examination upon payment of a $60 late fee and the appropriate renewal of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after the following August 31 and on or before the following June 30 may reinstate and renew the license without examination upon payment of a $100 late fee and the appropriate renewal of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28.1(7)</w:t>
      </w:r>
      <w:r>
        <w:rPr>
          <w:rFonts w:ascii="Times New Roman" w:hAnsi="Times New Roman"/>
          <w:b w:val="false"/>
          <w:i w:val="false"/>
          <w:color w:val="000000"/>
          <w:sz w:val="22"/>
        </w:rPr>
        <w:t> </w:t>
      </w:r>
      <w:r>
        <w:rPr>
          <w:rFonts w:ascii="Times New Roman" w:hAnsi="Times New Roman"/>
          <w:b w:val="false"/>
          <w:i w:val="false"/>
          <w:color w:val="000000"/>
          <w:sz w:val="22"/>
        </w:rPr>
        <w:t>The fee for written verification of licensee status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28.1(8)</w:t>
      </w:r>
      <w:r>
        <w:rPr>
          <w:rFonts w:ascii="Times New Roman" w:hAnsi="Times New Roman"/>
          <w:b w:val="false"/>
          <w:i w:val="false"/>
          <w:color w:val="000000"/>
          <w:sz w:val="22"/>
        </w:rPr>
        <w:t> </w:t>
      </w:r>
      <w:r>
        <w:rPr>
          <w:rFonts w:ascii="Times New Roman" w:hAnsi="Times New Roman"/>
          <w:b w:val="false"/>
          <w:i w:val="false"/>
          <w:color w:val="000000"/>
          <w:sz w:val="22"/>
        </w:rPr>
        <w:t>The 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28.1(9)</w:t>
      </w:r>
      <w:r>
        <w:rPr>
          <w:rFonts w:ascii="Times New Roman" w:hAnsi="Times New Roman"/>
          <w:b w:val="false"/>
          <w:i w:val="false"/>
          <w:color w:val="000000"/>
          <w:sz w:val="22"/>
        </w:rPr>
        <w:t> </w:t>
      </w:r>
      <w:r>
        <w:rPr>
          <w:rFonts w:ascii="Times New Roman" w:hAnsi="Times New Roman"/>
          <w:b w:val="false"/>
          <w:i w:val="false"/>
          <w:color w:val="000000"/>
          <w:sz w:val="22"/>
        </w:rPr>
        <w:t>The 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28.1(10)</w:t>
      </w:r>
      <w:r>
        <w:rPr>
          <w:rFonts w:ascii="Times New Roman" w:hAnsi="Times New Roman"/>
          <w:b w:val="false"/>
          <w:i w:val="false"/>
          <w:color w:val="000000"/>
          <w:sz w:val="22"/>
        </w:rPr>
        <w:t> </w:t>
      </w:r>
      <w:r>
        <w:rPr>
          <w:rFonts w:ascii="Times New Roman" w:hAnsi="Times New Roman"/>
          <w:b w:val="false"/>
          <w:i w:val="false"/>
          <w:color w:val="000000"/>
          <w:sz w:val="22"/>
        </w:rPr>
        <w:t>The paper application fee is $25 plus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28.1(11)</w:t>
      </w:r>
      <w:r>
        <w:rPr>
          <w:rFonts w:ascii="Times New Roman" w:hAnsi="Times New Roman"/>
          <w:b w:val="false"/>
          <w:i w:val="false"/>
          <w:color w:val="000000"/>
          <w:sz w:val="22"/>
        </w:rPr>
        <w:t> </w:t>
      </w:r>
      <w:r>
        <w:rPr>
          <w:rFonts w:ascii="Times New Roman" w:hAnsi="Times New Roman"/>
          <w:b w:val="false"/>
          <w:i w:val="false"/>
          <w:color w:val="000000"/>
          <w:sz w:val="22"/>
        </w:rPr>
        <w:t>Combined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“combined license” means more than one active master, contractor, or journeyperson license in one or multiple disciplines held by the same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fee for a combined license is the sum total of each of the separate license fees as set forth in subrules </w:t>
      </w:r>
      <w:hyperlink r:id="rId32">
        <w:r>
          <w:rPr>
            <w:rStyle w:val="Hyperlink"/>
            <w:rFonts w:ascii="Times New Roman" w:hAnsi="Times New Roman"/>
            <w:b w:val="false"/>
            <w:i w:val="false"/>
            <w:color w:val="000000"/>
            <w:sz w:val="22"/>
          </w:rPr>
          <w:t>28.1(1) through 28.1(3)</w:t>
        </w:r>
      </w:hyperlink>
      <w:r>
        <w:rPr>
          <w:rFonts w:ascii="Times New Roman" w:hAnsi="Times New Roman"/>
          <w:b w:val="false"/>
          <w:i w:val="false"/>
          <w:color w:val="000000"/>
          <w:sz w:val="22"/>
        </w:rPr>
        <w:t xml:space="preserve"> reduced by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individual licenses purchased in a single transaction are eligible for the combined licensee fee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28.1(12)</w:t>
      </w:r>
      <w:r>
        <w:rPr>
          <w:rFonts w:ascii="Times New Roman" w:hAnsi="Times New Roman"/>
          <w:b w:val="false"/>
          <w:i w:val="false"/>
          <w:color w:val="000000"/>
          <w:sz w:val="22"/>
        </w:rPr>
        <w:t> </w:t>
      </w:r>
      <w:r>
        <w:rPr>
          <w:rFonts w:ascii="Times New Roman" w:hAnsi="Times New Roman"/>
          <w:b w:val="false"/>
          <w:i w:val="false"/>
          <w:color w:val="000000"/>
          <w:sz w:val="22"/>
        </w:rPr>
        <w:t>The fee for combining an HVAC-refrigeration or hydronics license to a mechanical license is $50. This fee does not apply at the time of reissue.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w:t>
      </w:r>
      <w:hyperlink r:id="rId33">
        <w:r>
          <w:rPr>
            <w:rStyle w:val="Hyperlink"/>
            <w:rFonts w:ascii="Times New Roman" w:hAnsi="Times New Roman"/>
            <w:b w:val="false"/>
            <w:i w:val="false"/>
            <w:color w:val="000000"/>
            <w:sz w:val="22"/>
          </w:rPr>
          <w:t>641—subrule 29.13(2)</w:t>
        </w:r>
      </w:hyperlink>
      <w:r>
        <w:rPr>
          <w:rFonts w:ascii="Times New Roman" w:hAnsi="Times New Roman"/>
          <w:b w:val="false"/>
          <w:i w:val="false"/>
          <w:color w:val="000000"/>
          <w:sz w:val="22"/>
        </w:rPr>
        <w:t xml:space="preserve"> is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641—28.2</w:t>
      </w:r>
      <w:r>
        <w:rPr>
          <w:rFonts w:ascii="Times New Roman" w:hAnsi="Times New Roman"/>
          <w:b/>
          <w:i w:val="false"/>
          <w:color w:val="000000"/>
          <w:sz w:val="22"/>
        </w:rPr>
        <w:t xml:space="preserve">(105) </w:t>
      </w:r>
      <w:r>
        <w:rPr>
          <w:rFonts w:ascii="Times New Roman" w:hAnsi="Times New Roman"/>
          <w:b/>
          <w:i w:val="false"/>
          <w:color w:val="000000"/>
          <w:sz w:val="22"/>
        </w:rPr>
        <w:t xml:space="preserve">Annual review of fee schedule. </w:t>
      </w:r>
      <w:r>
        <w:rPr>
          <w:rFonts w:ascii="Times New Roman" w:hAnsi="Times New Roman"/>
          <w:b w:val="false"/>
          <w:i w:val="false"/>
          <w:color w:val="000000"/>
          <w:sz w:val="22"/>
        </w:rPr>
        <w:t xml:space="preserve">Within 60 days following the end of each fiscal year, the board will submit a report to the general assembly in accordance with Iowa Code section </w:t>
      </w:r>
      <w:hyperlink r:id="rId34">
        <w:r>
          <w:rPr>
            <w:rStyle w:val="Hyperlink"/>
            <w:rFonts w:ascii="Times New Roman" w:hAnsi="Times New Roman"/>
            <w:b w:val="false"/>
            <w:i w:val="false"/>
            <w:color w:val="000000"/>
            <w:sz w:val="22"/>
          </w:rPr>
          <w:t>105.9(5)</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641—28.3</w:t>
      </w:r>
      <w:r>
        <w:rPr>
          <w:rFonts w:ascii="Times New Roman" w:hAnsi="Times New Roman"/>
          <w:b/>
          <w:i w:val="false"/>
          <w:color w:val="000000"/>
          <w:sz w:val="22"/>
        </w:rPr>
        <w:t xml:space="preserve">(105) </w:t>
      </w:r>
      <w:r>
        <w:rPr>
          <w:rFonts w:ascii="Times New Roman" w:hAnsi="Times New Roman"/>
          <w:b/>
          <w:i w:val="false"/>
          <w:color w:val="000000"/>
          <w:sz w:val="22"/>
        </w:rPr>
        <w:t xml:space="preserve">Waiver of fees. </w:t>
      </w:r>
      <w:r>
        <w:rPr>
          <w:rFonts w:ascii="Times New Roman" w:hAnsi="Times New Roman"/>
          <w:b w:val="false"/>
          <w:i w:val="false"/>
          <w:color w:val="000000"/>
          <w:sz w:val="22"/>
        </w:rPr>
        <w:t xml:space="preserve">Fee waivers are available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val="false"/>
          <w:color w:val="000000"/>
          <w:sz w:val="22"/>
        </w:rPr>
        <w:t>For an applicant who has been honorably or generally discharged from federal active duty or national guard duty, the board will waive an initial application fee and one renewal fee if those fees would otherwise be charged within five years of the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105.9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Emergency After Notice ARC 8529B</w:t>
      </w:r>
      <w:r>
        <w:rPr>
          <w:rFonts w:ascii="Times New Roman" w:hAnsi="Times New Roman"/>
          <w:b w:val="false"/>
          <w:i w:val="false"/>
          <w:color w:val="000000"/>
          <w:sz w:val="21"/>
        </w:rPr>
        <w:t xml:space="preserve"> (Notice ARC 8361B,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Emergency ARC 9603B, IAB 7/13/11, effective 6/21/11]</w:t>
      </w:r>
    </w:p>
    <w:p>
      <w:pPr>
        <w:spacing w:before="0" w:after="0"/>
        <w:ind w:left="120"/>
        <w:jc w:val="center"/>
      </w:pPr>
      <w:r>
        <w:rPr>
          <w:rFonts w:ascii="Times New Roman" w:hAnsi="Times New Roman"/>
          <w:b w:val="false"/>
          <w:i w:val="false"/>
          <w:color w:val="000000"/>
          <w:sz w:val="21"/>
        </w:rPr>
        <w:t>[Filed ARC 9847B</w:t>
      </w:r>
      <w:r>
        <w:rPr>
          <w:rFonts w:ascii="Times New Roman" w:hAnsi="Times New Roman"/>
          <w:b w:val="false"/>
          <w:i w:val="false"/>
          <w:color w:val="000000"/>
          <w:sz w:val="21"/>
        </w:rPr>
        <w:t xml:space="preserve"> (Notice ARC 9610B,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0341C</w:t>
      </w:r>
      <w:r>
        <w:rPr>
          <w:rFonts w:ascii="Times New Roman" w:hAnsi="Times New Roman"/>
          <w:b w:val="false"/>
          <w:i w:val="false"/>
          <w:color w:val="000000"/>
          <w:sz w:val="21"/>
        </w:rPr>
        <w:t xml:space="preserve"> (Notice ARC 0042C, IAB 3/21/12)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1299C</w:t>
      </w:r>
      <w:r>
        <w:rPr>
          <w:rFonts w:ascii="Times New Roman" w:hAnsi="Times New Roman"/>
          <w:b w:val="false"/>
          <w:i w:val="false"/>
          <w:color w:val="000000"/>
          <w:sz w:val="21"/>
        </w:rPr>
        <w:t xml:space="preserve"> (Notice ARC 1128C, IAB 10/16/13)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6939C</w:t>
      </w:r>
      <w:r>
        <w:rPr>
          <w:rFonts w:ascii="Times New Roman" w:hAnsi="Times New Roman"/>
          <w:b w:val="false"/>
          <w:i w:val="false"/>
          <w:color w:val="000000"/>
          <w:sz w:val="21"/>
        </w:rPr>
        <w:t xml:space="preserve"> (Notice ARC 6646C, IAB 11/16/22)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7994C</w:t>
      </w:r>
      <w:r>
        <w:rPr>
          <w:rFonts w:ascii="Times New Roman" w:hAnsi="Times New Roman"/>
          <w:b w:val="false"/>
          <w:i w:val="false"/>
          <w:color w:val="000000"/>
          <w:sz w:val="21"/>
        </w:rPr>
        <w:t xml:space="preserve"> (Notice ARC 7318C,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29.2.pdf" Type="http://schemas.openxmlformats.org/officeDocument/2006/relationships/hyperlink" Id="rId5"/>
    <Relationship TargetMode="External" Target="https://www.legis.iowa.gov/docs/iac/rule/641.29.2.pdf" Type="http://schemas.openxmlformats.org/officeDocument/2006/relationships/hyperlink" Id="rId6"/>
    <Relationship TargetMode="External" Target="https://www.legis.iowa.gov/docs/iac/rule/641.29.2.pdf" Type="http://schemas.openxmlformats.org/officeDocument/2006/relationships/hyperlink" Id="rId7"/>
    <Relationship TargetMode="External" Target="https://www.legis.iowa.gov/docs/iac/rule/641.29.3.pdf" Type="http://schemas.openxmlformats.org/officeDocument/2006/relationships/hyperlink" Id="rId8"/>
    <Relationship TargetMode="External" Target="https://www.legis.iowa.gov/docs/iac/rule/641.29.2.pdf" Type="http://schemas.openxmlformats.org/officeDocument/2006/relationships/hyperlink" Id="rId9"/>
    <Relationship TargetMode="External" Target="https://www.legis.iowa.gov/docs/iac/rule/641.29.2.pdf" Type="http://schemas.openxmlformats.org/officeDocument/2006/relationships/hyperlink" Id="rId10"/>
    <Relationship TargetMode="External" Target="https://www.legis.iowa.gov/docs/iac/rule/641.29.2.pdf" Type="http://schemas.openxmlformats.org/officeDocument/2006/relationships/hyperlink" Id="rId11"/>
    <Relationship TargetMode="External" Target="https://www.legis.iowa.gov/docs/iac/rule/641.29.2.pdf" Type="http://schemas.openxmlformats.org/officeDocument/2006/relationships/hyperlink" Id="rId12"/>
    <Relationship TargetMode="External" Target="https://www.legis.iowa.gov/docs/iac/rule/641.29.2.pdf" Type="http://schemas.openxmlformats.org/officeDocument/2006/relationships/hyperlink" Id="rId13"/>
    <Relationship TargetMode="External" Target="https://www.legis.iowa.gov/docs/iac/rule/641.29.2.pdf" Type="http://schemas.openxmlformats.org/officeDocument/2006/relationships/hyperlink" Id="rId14"/>
    <Relationship TargetMode="External" Target="https://www.legis.iowa.gov/docs/iac/chapter/641.35.pdf" Type="http://schemas.openxmlformats.org/officeDocument/2006/relationships/hyperlink" Id="rId15"/>
    <Relationship TargetMode="External" Target="https://www.legis.iowa.gov/docs/iac/rule/641.29.2.pdf" Type="http://schemas.openxmlformats.org/officeDocument/2006/relationships/hyperlink" Id="rId16"/>
    <Relationship TargetMode="External" Target="https://www.legis.iowa.gov/docs/iac/rule/641.29.2.pdf" Type="http://schemas.openxmlformats.org/officeDocument/2006/relationships/hyperlink" Id="rId17"/>
    <Relationship TargetMode="External" Target="https://www.legis.iowa.gov/docs/iac/rule/641.29.2.pdf" Type="http://schemas.openxmlformats.org/officeDocument/2006/relationships/hyperlink" Id="rId18"/>
    <Relationship TargetMode="External" Target="https://www.legis.iowa.gov/docs/iac/chapter/641.35.pdf" Type="http://schemas.openxmlformats.org/officeDocument/2006/relationships/hyperlink" Id="rId19"/>
    <Relationship TargetMode="External" Target="https://www.legis.iowa.gov/docs/iac/rule/641.29.2.pdf" Type="http://schemas.openxmlformats.org/officeDocument/2006/relationships/hyperlink" Id="rId20"/>
    <Relationship TargetMode="External" Target="https://www.legis.iowa.gov/docs/iac/rule/641.29.2.pdf" Type="http://schemas.openxmlformats.org/officeDocument/2006/relationships/hyperlink" Id="rId21"/>
    <Relationship TargetMode="External" Target="https://www.legis.iowa.gov/docs/iac/rule/641.29.2.pdf" Type="http://schemas.openxmlformats.org/officeDocument/2006/relationships/hyperlink" Id="rId22"/>
    <Relationship TargetMode="External" Target="https://www.legis.iowa.gov/docs/iac/rule/641.29.3.pdf" Type="http://schemas.openxmlformats.org/officeDocument/2006/relationships/hyperlink" Id="rId23"/>
    <Relationship TargetMode="External" Target="https://www.legis.iowa.gov/docs/iac/rule/641.29.2.pdf" Type="http://schemas.openxmlformats.org/officeDocument/2006/relationships/hyperlink" Id="rId24"/>
    <Relationship TargetMode="External" Target="https://www.legis.iowa.gov/docs/iac/rule/641.29.2.pdf" Type="http://schemas.openxmlformats.org/officeDocument/2006/relationships/hyperlink" Id="rId25"/>
    <Relationship TargetMode="External" Target="https://www.legis.iowa.gov/docs/iac/rule/641.23.8.pdf" Type="http://schemas.openxmlformats.org/officeDocument/2006/relationships/hyperlink" Id="rId26"/>
    <Relationship TargetMode="External" Target="https://www.legis.iowa.gov/docs/iac/rule/641.29.2.pdf" Type="http://schemas.openxmlformats.org/officeDocument/2006/relationships/hyperlink" Id="rId27"/>
    <Relationship TargetMode="External" Target="https://www.legis.iowa.gov/docs/iac/rule/641.29.2.pdf" Type="http://schemas.openxmlformats.org/officeDocument/2006/relationships/hyperlink" Id="rId28"/>
    <Relationship TargetMode="External" Target="https://www.legis.iowa.gov/docs/iac/rule/641.29.2.pdf" Type="http://schemas.openxmlformats.org/officeDocument/2006/relationships/hyperlink" Id="rId29"/>
    <Relationship TargetMode="External" Target="https://www.legis.iowa.gov/docs/iac/rule/641.29.2.pdf" Type="http://schemas.openxmlformats.org/officeDocument/2006/relationships/hyperlink" Id="rId30"/>
    <Relationship TargetMode="External" Target="https://www.legis.iowa.gov/docs/iac/rule/641.23.8.pdf" Type="http://schemas.openxmlformats.org/officeDocument/2006/relationships/hyperlink" Id="rId31"/>
    <Relationship TargetMode="External" Target="https://www.legis.iowa.gov/docs/iac/rule/641.28.1.pdf" Type="http://schemas.openxmlformats.org/officeDocument/2006/relationships/hyperlink" Id="rId32"/>
    <Relationship TargetMode="External" Target="https://www.legis.iowa.gov/docs/iac/rule/641.29.13.pdf" Type="http://schemas.openxmlformats.org/officeDocument/2006/relationships/hyperlink" Id="rId33"/>
    <Relationship TargetMode="External" Target="https://www.legis.iowa.gov/docs/ico/chapter/105.9.pdf" Type="http://schemas.openxmlformats.org/officeDocument/2006/relationships/hyperlink" Id="rId34"/>
    <Relationship TargetMode="External" Target="https://www.legis.iowa.gov/docs/ico/chapter/105.9.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