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PLUMBING AND MECHANICAL SYSTEMS BOARD—ADMINISTRATIVE AND REGULATORY AUTHORITY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641—27.1</w:t>
      </w:r>
      <w:r>
        <w:rPr>
          <w:rFonts w:ascii="Times New Roman" w:hAnsi="Times New Roman"/>
          <w:b/>
          <w:i w:val="false"/>
          <w:color w:val="000000"/>
          <w:sz w:val="22"/>
        </w:rPr>
        <w:t xml:space="preserve">(17A,105)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 of the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“Disciplinary proceeding”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or entity licensed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641—27.2</w:t>
      </w:r>
      <w:r>
        <w:rPr>
          <w:rFonts w:ascii="Times New Roman" w:hAnsi="Times New Roman"/>
          <w:b/>
          <w:i w:val="false"/>
          <w:color w:val="000000"/>
          <w:sz w:val="22"/>
        </w:rPr>
        <w:t xml:space="preserve">(17A,105)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 regard to the licensing and regulation of plumbers, mechanical professionals, and contractors. The mission of the board is to protect the public health, safety and welfare by licensing qualified individuals who provide services to consumers and by fair and consistent enforcement of the statutes and regulations of the licensure board. Responsibilities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val="false"/>
          <w:color w:val="000000"/>
          <w:sz w:val="22"/>
        </w:rPr>
        <w:t>Licensing of qualified applicants to operate as a contractor or work in the plumbing, mechanical, HVAC-refrigeration, sheet metal, or hydronic disciplines or work as a certified medical gas system installer or work in the specialty license disciplines developed by the board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641—27.3</w:t>
      </w:r>
      <w:r>
        <w:rPr>
          <w:rFonts w:ascii="Times New Roman" w:hAnsi="Times New Roman"/>
          <w:b/>
          <w:i w:val="false"/>
          <w:color w:val="000000"/>
          <w:sz w:val="22"/>
        </w:rPr>
        <w:t xml:space="preserve">(17A,105)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Membership of the board is as provided in Iowa Code section </w:t>
      </w:r>
      <w:hyperlink r:id="rId8">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val="false"/>
          <w:color w:val="000000"/>
          <w:sz w:val="22"/>
        </w:rPr>
        <w:t>The board will elect a chairperson, vice chairperson, and secretary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val="false"/>
          <w:color w:val="000000"/>
          <w:sz w:val="22"/>
        </w:rPr>
        <w:t>The board will hold at least four meetings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governed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will be conducted in accordance with Robert’s Rules of Order,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w:t>
      </w:r>
      <w:r>
        <w:rPr>
          <w:rFonts w:ascii="Times New Roman" w:hAnsi="Times New Roman"/>
          <w:b w:val="false"/>
          <w:i w:val="false"/>
          <w:color w:val="000000"/>
          <w:sz w:val="22"/>
        </w:rPr>
        <w:t> </w:t>
      </w:r>
      <w:r>
        <w:rPr>
          <w:rFonts w:ascii="Times New Roman" w:hAnsi="Times New Roman"/>
          <w:b w:val="false"/>
          <w:i w:val="false"/>
          <w:color w:val="000000"/>
          <w:sz w:val="22"/>
        </w:rPr>
        <w:t>The department will furnish the board with the necessary facilities and employees to perform the duties mandated by this chapter but shall be reimbursed for all costs incurred from funds appropriated to the board and subsequent fees from licensing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27.3(7)</w:t>
      </w:r>
      <w:r>
        <w:rPr>
          <w:rFonts w:ascii="Times New Roman" w:hAnsi="Times New Roman"/>
          <w:b w:val="false"/>
          <w:i w:val="false"/>
          <w:color w:val="000000"/>
          <w:sz w:val="22"/>
        </w:rPr>
        <w:t> </w:t>
      </w:r>
      <w:r>
        <w:rPr>
          <w:rFonts w:ascii="Times New Roman" w:hAnsi="Times New Roman"/>
          <w:b w:val="false"/>
          <w:i w:val="false"/>
          <w:color w:val="000000"/>
          <w:sz w:val="22"/>
        </w:rPr>
        <w:t>The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committees of the board, the members of which are appointed by the board chairperson and do not constitute a quorum of the board. The board chairperson appoints committee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pursuant to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Investigate alleged violations of statutes or rules that relate to operation as a contractor; work in the plumbing, mechanical, HVAC-refrigeration, sheet metal, or hydronic disciplines; work as a certified medical gas system installer; or work in the specialty license disciplines developed by the board upon receipt of a complaint or upon the board’s own initiation. The investigation will be based on information or evidence received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licensees that are limited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641—27.4</w:t>
      </w:r>
      <w:r>
        <w:rPr>
          <w:rFonts w:ascii="Times New Roman" w:hAnsi="Times New Roman"/>
          <w:b/>
          <w:i w:val="false"/>
          <w:color w:val="000000"/>
          <w:sz w:val="22"/>
        </w:rPr>
        <w:t xml:space="preserve">(17A,105) </w:t>
      </w:r>
      <w:r>
        <w:rPr>
          <w:rFonts w:ascii="Times New Roman" w:hAnsi="Times New Roman"/>
          <w:b/>
          <w:i w:val="false"/>
          <w:color w:val="000000"/>
          <w:sz w:val="22"/>
        </w:rPr>
        <w:t xml:space="preserve">Official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val="false"/>
          <w:color w:val="000000"/>
          <w:sz w:val="22"/>
        </w:rPr>
        <w:t>All official communications, including submissions and requests, should be addressed to the Plumbing and Mechanical Systems Board at its current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or address. Each licensee and licensed entity shall notify the board in writing of a change of name or change of current mailing address within 30 days after the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641—27.5</w:t>
      </w:r>
      <w:r>
        <w:rPr>
          <w:rFonts w:ascii="Times New Roman" w:hAnsi="Times New Roman"/>
          <w:b/>
          <w:i w:val="false"/>
          <w:color w:val="000000"/>
          <w:sz w:val="22"/>
        </w:rPr>
        <w:t xml:space="preserve">(21) </w:t>
      </w:r>
      <w:r>
        <w:rPr>
          <w:rFonts w:ascii="Times New Roman" w:hAnsi="Times New Roman"/>
          <w:b/>
          <w:i w:val="false"/>
          <w:color w:val="000000"/>
          <w:sz w:val="22"/>
        </w:rPr>
        <w:t xml:space="preserve">Public meetings. </w:t>
      </w:r>
      <w:r>
        <w:rPr>
          <w:rFonts w:ascii="Times New Roman" w:hAnsi="Times New Roman"/>
          <w:b w:val="false"/>
          <w:i w:val="false"/>
          <w:color w:val="000000"/>
          <w:sz w:val="22"/>
        </w:rPr>
        <w:t>Members of the public may be present during board meetings unless the board votes to hold a closed session. Dates and location of board meetings may be obtained through the board’s website or directly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Any additional time allowances will be at the discretion of the chairperson or acting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val="false"/>
          <w:color w:val="000000"/>
          <w:sz w:val="22"/>
        </w:rPr>
        <w:t>Persons who have not asked to address the board during the public comment period may raise their hands to be recognized by the chairperson. Acknowledgment and an opportunity to speak will be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or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8528B</w:t>
      </w:r>
      <w:r>
        <w:rPr>
          <w:rFonts w:ascii="Times New Roman" w:hAnsi="Times New Roman"/>
          <w:b w:val="false"/>
          <w:i w:val="false"/>
          <w:color w:val="000000"/>
          <w:sz w:val="21"/>
        </w:rPr>
        <w:t xml:space="preserve"> (Notice ARC 8360B,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1219C</w:t>
      </w:r>
      <w:r>
        <w:rPr>
          <w:rFonts w:ascii="Times New Roman" w:hAnsi="Times New Roman"/>
          <w:b w:val="false"/>
          <w:i w:val="false"/>
          <w:color w:val="000000"/>
          <w:sz w:val="21"/>
        </w:rPr>
        <w:t xml:space="preserve"> (Notice ARC 0936C,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7993C</w:t>
      </w:r>
      <w:r>
        <w:rPr>
          <w:rFonts w:ascii="Times New Roman" w:hAnsi="Times New Roman"/>
          <w:b w:val="false"/>
          <w:i w:val="false"/>
          <w:color w:val="000000"/>
          <w:sz w:val="21"/>
        </w:rPr>
        <w:t xml:space="preserve"> (Notice ARC 7317C,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3.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10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