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23</w:t>
      </w:r>
    </w:p>
    <w:p>
      <w:pPr>
        <w:spacing w:before="0" w:after="0"/>
        <w:ind w:left="120"/>
        <w:jc w:val="center"/>
      </w:pPr>
      <w:r>
        <w:rPr>
          <w:rFonts w:ascii="Times New Roman" w:hAnsi="Times New Roman"/>
          <w:b w:val="false"/>
          <w:i w:val="false"/>
          <w:color w:val="000000"/>
          <w:sz w:val="21"/>
        </w:rPr>
        <w:t>PLUMBING AND MECHANICAL SYSTEMS BOARD—LICENSEE PRACTICE</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6/19/29</w:t>
      </w:r>
    </w:p>
    <w:p>
      <w:pPr>
        <w:spacing w:before="0" w:after="0"/>
        <w:ind w:left="120"/>
        <w:jc w:val="both"/>
      </w:pPr>
      <w:r>
        <w:rPr>
          <w:rFonts w:ascii="Times New Roman" w:hAnsi="Times New Roman"/>
          <w:b/>
          <w:i w:val="false"/>
          <w:color w:val="000000"/>
          <w:sz w:val="22"/>
        </w:rPr>
        <w:t>641—23.1</w:t>
      </w:r>
      <w:r>
        <w:rPr>
          <w:rFonts w:ascii="Times New Roman" w:hAnsi="Times New Roman"/>
          <w:b/>
          <w:i w:val="false"/>
          <w:color w:val="000000"/>
          <w:sz w:val="22"/>
        </w:rPr>
        <w:t xml:space="preserve">(105)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set forth in Iowa Code section </w:t>
      </w:r>
      <w:hyperlink r:id="rId5">
        <w:r>
          <w:rPr>
            <w:rStyle w:val="Hyperlink"/>
            <w:rFonts w:ascii="Times New Roman" w:hAnsi="Times New Roman"/>
            <w:b w:val="false"/>
            <w:i w:val="false"/>
            <w:color w:val="000000"/>
            <w:sz w:val="22"/>
          </w:rPr>
          <w:t>105.2</w:t>
        </w:r>
      </w:hyperlink>
      <w:r>
        <w:rPr>
          <w:rFonts w:ascii="Times New Roman" w:hAnsi="Times New Roman"/>
          <w:b w:val="false"/>
          <w:i w:val="false"/>
          <w:color w:val="000000"/>
          <w:sz w:val="22"/>
        </w:rPr>
        <w:t xml:space="preserve"> are incorporated herein by reference. For purposes of these rules, the following additional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“Inactive license” </w:t>
      </w:r>
      <w:r>
        <w:rPr>
          <w:rFonts w:ascii="Times New Roman" w:hAnsi="Times New Roman"/>
          <w:b w:val="false"/>
          <w:i w:val="false"/>
          <w:color w:val="000000"/>
          <w:sz w:val="22"/>
        </w:rPr>
        <w:t>means a license that is available for a plumbing, mechanical, HVAC-refrigeration, sheet metal, or hydronic professional who is not actively engaged in running a business or working in the business in the corresponding discipline at that license level. An inactive license must be renewed prior to its expiration date. An inactive license is not valid for practice until the license is reactivated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“Lapsed license” </w:t>
      </w:r>
      <w:r>
        <w:rPr>
          <w:rFonts w:ascii="Times New Roman" w:hAnsi="Times New Roman"/>
          <w:b w:val="false"/>
          <w:i w:val="false"/>
          <w:color w:val="000000"/>
          <w:sz w:val="22"/>
        </w:rPr>
        <w:t>means a license that has expired. A lapsed license is no longer valid for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means a person holding a license issued by the board, including an apprentice, journeyperson, or master license in the plumbing, mechanical, HVAC-refrigeration, sheet metal, or hydronics trades; a combined license; a special, restricted sublicense; or a medical gas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“Master of record” </w:t>
      </w:r>
      <w:r>
        <w:rPr>
          <w:rFonts w:ascii="Times New Roman" w:hAnsi="Times New Roman"/>
          <w:b w:val="false"/>
          <w:i w:val="false"/>
          <w:color w:val="000000"/>
          <w:sz w:val="22"/>
        </w:rPr>
        <w:t xml:space="preserve">means an individual possessing an active master license under Iowa Code chapter </w:t>
      </w:r>
      <w:hyperlink r:id="rId6">
        <w:r>
          <w:rPr>
            <w:rStyle w:val="Hyperlink"/>
            <w:rFonts w:ascii="Times New Roman" w:hAnsi="Times New Roman"/>
            <w:b w:val="false"/>
            <w:i w:val="false"/>
            <w:color w:val="000000"/>
            <w:sz w:val="22"/>
          </w:rPr>
          <w:t>105</w:t>
        </w:r>
      </w:hyperlink>
      <w:r>
        <w:rPr>
          <w:rFonts w:ascii="Times New Roman" w:hAnsi="Times New Roman"/>
          <w:b w:val="false"/>
          <w:i w:val="false"/>
          <w:color w:val="000000"/>
          <w:sz w:val="22"/>
        </w:rPr>
        <w:t xml:space="preserve"> who shall be responsible for the proper designing, installing, and repairing of plumbing, mechanical, HVAC-refrigeration, sheet metal, or hydronic systems and who is actively in charge of the plumbing, mechanical, HVAC-refrigeration, sheet metal, or hydronic work of a contractor.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7992C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641—23.2</w:t>
      </w:r>
      <w:r>
        <w:rPr>
          <w:rFonts w:ascii="Times New Roman" w:hAnsi="Times New Roman"/>
          <w:b/>
          <w:i w:val="false"/>
          <w:color w:val="000000"/>
          <w:sz w:val="22"/>
        </w:rPr>
        <w:t xml:space="preserve">(105) </w:t>
      </w:r>
      <w:r>
        <w:rPr>
          <w:rFonts w:ascii="Times New Roman" w:hAnsi="Times New Roman"/>
          <w:b/>
          <w:i w:val="false"/>
          <w:color w:val="000000"/>
          <w:sz w:val="22"/>
        </w:rPr>
        <w:t xml:space="preserve">Duties of all licensees, specialty licensees, and certificate holders.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23.2(1)</w:t>
      </w:r>
      <w:r>
        <w:rPr>
          <w:rFonts w:ascii="Times New Roman" w:hAnsi="Times New Roman"/>
          <w:b w:val="false"/>
          <w:i w:val="false"/>
          <w:color w:val="000000"/>
          <w:sz w:val="22"/>
        </w:rPr>
        <w:t> </w:t>
      </w:r>
      <w:r>
        <w:rPr>
          <w:rFonts w:ascii="Times New Roman" w:hAnsi="Times New Roman"/>
          <w:b w:val="false"/>
          <w:i w:val="false"/>
          <w:color w:val="000000"/>
          <w:sz w:val="22"/>
        </w:rPr>
        <w:t xml:space="preserve">While conducting business or performing work covered under Iowa Code chapter </w:t>
      </w:r>
      <w:hyperlink r:id="rId7">
        <w:r>
          <w:rPr>
            <w:rStyle w:val="Hyperlink"/>
            <w:rFonts w:ascii="Times New Roman" w:hAnsi="Times New Roman"/>
            <w:b w:val="false"/>
            <w:i w:val="false"/>
            <w:color w:val="000000"/>
            <w:sz w:val="22"/>
          </w:rPr>
          <w:t>105</w:t>
        </w:r>
      </w:hyperlink>
      <w:r>
        <w:rPr>
          <w:rFonts w:ascii="Times New Roman" w:hAnsi="Times New Roman"/>
          <w:b w:val="false"/>
          <w:i w:val="false"/>
          <w:color w:val="000000"/>
          <w:sz w:val="22"/>
        </w:rPr>
        <w:t>, each licensee will keep a copy of the licensee’s board-issued license on the licensee’s person or in an easily retrievable area at the work 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23.2(2)</w:t>
      </w:r>
      <w:r>
        <w:rPr>
          <w:rFonts w:ascii="Times New Roman" w:hAnsi="Times New Roman"/>
          <w:b w:val="false"/>
          <w:i w:val="false"/>
          <w:color w:val="000000"/>
          <w:sz w:val="22"/>
        </w:rPr>
        <w:t> </w:t>
      </w:r>
      <w:r>
        <w:rPr>
          <w:rFonts w:ascii="Times New Roman" w:hAnsi="Times New Roman"/>
          <w:b w:val="false"/>
          <w:i w:val="false"/>
          <w:color w:val="000000"/>
          <w:sz w:val="22"/>
        </w:rPr>
        <w:t>Each licensee will maintain a residential or business address on record with the board. In the event the licensee’s residential or business address changes, the licensee will so notify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23.2(3)</w:t>
      </w:r>
      <w:r>
        <w:rPr>
          <w:rFonts w:ascii="Times New Roman" w:hAnsi="Times New Roman"/>
          <w:b w:val="false"/>
          <w:i w:val="false"/>
          <w:color w:val="000000"/>
          <w:sz w:val="22"/>
        </w:rPr>
        <w:t> </w:t>
      </w:r>
      <w:r>
        <w:rPr>
          <w:rFonts w:ascii="Times New Roman" w:hAnsi="Times New Roman"/>
          <w:b w:val="false"/>
          <w:i w:val="false"/>
          <w:color w:val="000000"/>
          <w:sz w:val="22"/>
        </w:rPr>
        <w:t xml:space="preserve">Each licensee will apply for and obtain all applicable permits prior to performing any work covered under Iowa Code chapter </w:t>
      </w:r>
      <w:hyperlink r:id="rId8">
        <w:r>
          <w:rPr>
            <w:rStyle w:val="Hyperlink"/>
            <w:rFonts w:ascii="Times New Roman" w:hAnsi="Times New Roman"/>
            <w:b w:val="false"/>
            <w:i w:val="false"/>
            <w:color w:val="000000"/>
            <w:sz w:val="22"/>
          </w:rPr>
          <w:t>105</w:t>
        </w:r>
      </w:hyperlink>
      <w:r>
        <w:rPr>
          <w:rFonts w:ascii="Times New Roman" w:hAnsi="Times New Roman"/>
          <w:b w:val="false"/>
          <w:i w:val="false"/>
          <w:color w:val="000000"/>
          <w:sz w:val="22"/>
        </w:rPr>
        <w:t xml:space="preserve"> as may be mandated by any law, ordinance, or regulation of this state, or a political subdivision therein.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23.2(4)</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will present upon request a copy of the licensee’s board-issued license issued under Iowa Code section </w:t>
      </w:r>
      <w:hyperlink r:id="rId9">
        <w:r>
          <w:rPr>
            <w:rStyle w:val="Hyperlink"/>
            <w:rFonts w:ascii="Times New Roman" w:hAnsi="Times New Roman"/>
            <w:b w:val="false"/>
            <w:i w:val="false"/>
            <w:color w:val="000000"/>
            <w:sz w:val="22"/>
          </w:rPr>
          <w:t>105.12(2)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23.2(5)</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possessing a lapsed license cannot operate as a contractor or work in the plumbing, mechanical, HVAC-refrigeration, sheet metal, or hydronic disciplines or work as a medical gas system installer or work in a specialty license discipline until the license is reinstated and renewed.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23.2(6)</w:t>
      </w:r>
      <w:r>
        <w:rPr>
          <w:rFonts w:ascii="Times New Roman" w:hAnsi="Times New Roman"/>
          <w:b w:val="false"/>
          <w:i w:val="false"/>
          <w:color w:val="000000"/>
          <w:sz w:val="22"/>
        </w:rPr>
        <w:t> </w:t>
      </w:r>
      <w:r>
        <w:rPr>
          <w:rFonts w:ascii="Times New Roman" w:hAnsi="Times New Roman"/>
          <w:b w:val="false"/>
          <w:i w:val="false"/>
          <w:color w:val="000000"/>
          <w:sz w:val="22"/>
        </w:rPr>
        <w:t xml:space="preserve">Each licensee will perform all Iowa Code chapter </w:t>
      </w:r>
      <w:hyperlink r:id="rId10">
        <w:r>
          <w:rPr>
            <w:rStyle w:val="Hyperlink"/>
            <w:rFonts w:ascii="Times New Roman" w:hAnsi="Times New Roman"/>
            <w:b w:val="false"/>
            <w:i w:val="false"/>
            <w:color w:val="000000"/>
            <w:sz w:val="22"/>
          </w:rPr>
          <w:t>105</w:t>
        </w:r>
      </w:hyperlink>
      <w:r>
        <w:rPr>
          <w:rFonts w:ascii="Times New Roman" w:hAnsi="Times New Roman"/>
          <w:b w:val="false"/>
          <w:i w:val="false"/>
          <w:color w:val="000000"/>
          <w:sz w:val="22"/>
        </w:rPr>
        <w:t>-covered work in conformity with the applicable professional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23.2(7)</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will not perform any Iowa Code chapter </w:t>
      </w:r>
      <w:hyperlink r:id="rId11">
        <w:r>
          <w:rPr>
            <w:rStyle w:val="Hyperlink"/>
            <w:rFonts w:ascii="Times New Roman" w:hAnsi="Times New Roman"/>
            <w:b w:val="false"/>
            <w:i w:val="false"/>
            <w:color w:val="000000"/>
            <w:sz w:val="22"/>
          </w:rPr>
          <w:t>105</w:t>
        </w:r>
      </w:hyperlink>
      <w:r>
        <w:rPr>
          <w:rFonts w:ascii="Times New Roman" w:hAnsi="Times New Roman"/>
          <w:b w:val="false"/>
          <w:i w:val="false"/>
          <w:color w:val="000000"/>
          <w:sz w:val="22"/>
        </w:rPr>
        <w:t>-covered work for which the licensee does not possess the requisite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23.2(8)</w:t>
      </w:r>
      <w:r>
        <w:rPr>
          <w:rFonts w:ascii="Times New Roman" w:hAnsi="Times New Roman"/>
          <w:b w:val="false"/>
          <w:i w:val="false"/>
          <w:color w:val="000000"/>
          <w:sz w:val="22"/>
        </w:rPr>
        <w:t> </w:t>
      </w:r>
      <w:r>
        <w:rPr>
          <w:rFonts w:ascii="Times New Roman" w:hAnsi="Times New Roman"/>
          <w:b w:val="false"/>
          <w:i w:val="false"/>
          <w:color w:val="000000"/>
          <w:sz w:val="22"/>
        </w:rPr>
        <w:t>A licensee will conform to the minimum standard of acceptable and prevailing practice and will exercise the degree of workmanlike care that is ordinarily exercised by the average licensee in the applicable trade acting in the same or similar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23.2(9)</w:t>
      </w:r>
      <w:r>
        <w:rPr>
          <w:rFonts w:ascii="Times New Roman" w:hAnsi="Times New Roman"/>
          <w:b w:val="false"/>
          <w:i w:val="false"/>
          <w:color w:val="000000"/>
          <w:sz w:val="22"/>
        </w:rPr>
        <w:t> </w:t>
      </w:r>
      <w:r>
        <w:rPr>
          <w:rFonts w:ascii="Times New Roman" w:hAnsi="Times New Roman"/>
          <w:b w:val="false"/>
          <w:i w:val="false"/>
          <w:color w:val="000000"/>
          <w:sz w:val="22"/>
        </w:rPr>
        <w:t>A licensee who utilizes the services of an unlicensed person as a helper will be responsible for the work performed by the helper and shall ensure that such work conforms to the minimum standard of acceptable and prevailing practice.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7992C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641—23.3</w:t>
      </w:r>
      <w:r>
        <w:rPr>
          <w:rFonts w:ascii="Times New Roman" w:hAnsi="Times New Roman"/>
          <w:b/>
          <w:i w:val="false"/>
          <w:color w:val="000000"/>
          <w:sz w:val="22"/>
        </w:rPr>
        <w:t xml:space="preserve">(105) </w:t>
      </w:r>
      <w:r>
        <w:rPr>
          <w:rFonts w:ascii="Times New Roman" w:hAnsi="Times New Roman"/>
          <w:b/>
          <w:i w:val="false"/>
          <w:color w:val="000000"/>
          <w:sz w:val="22"/>
        </w:rPr>
        <w:t xml:space="preserve">Contractor license. </w:t>
      </w:r>
      <w:r>
        <w:rPr>
          <w:rFonts w:ascii="Times New Roman" w:hAnsi="Times New Roman"/>
          <w:b w:val="false"/>
          <w:i w:val="false"/>
          <w:color w:val="000000"/>
          <w:sz w:val="22"/>
        </w:rPr>
        <w:t xml:space="preserve">A contractor licensed under Iowa Code chapter </w:t>
      </w:r>
      <w:hyperlink r:id="rId12">
        <w:r>
          <w:rPr>
            <w:rStyle w:val="Hyperlink"/>
            <w:rFonts w:ascii="Times New Roman" w:hAnsi="Times New Roman"/>
            <w:b w:val="false"/>
            <w:i w:val="false"/>
            <w:color w:val="000000"/>
            <w:sz w:val="22"/>
          </w:rPr>
          <w:t>105</w:t>
        </w:r>
      </w:hyperlink>
      <w:r>
        <w:rPr>
          <w:rFonts w:ascii="Times New Roman" w:hAnsi="Times New Roman"/>
          <w:b w:val="false"/>
          <w:i w:val="false"/>
          <w:color w:val="000000"/>
          <w:sz w:val="22"/>
        </w:rPr>
        <w:t xml:space="preserve"> will adhere to the following, the violation of which may give rise to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23.3(1)</w:t>
      </w:r>
      <w:r>
        <w:rPr>
          <w:rFonts w:ascii="Times New Roman" w:hAnsi="Times New Roman"/>
          <w:b w:val="false"/>
          <w:i w:val="false"/>
          <w:color w:val="000000"/>
          <w:sz w:val="22"/>
        </w:rPr>
        <w:t> </w:t>
      </w:r>
      <w:r>
        <w:rPr>
          <w:rFonts w:ascii="Times New Roman" w:hAnsi="Times New Roman"/>
          <w:b w:val="false"/>
          <w:i/>
          <w:color w:val="000000"/>
          <w:sz w:val="22"/>
        </w:rPr>
        <w:t xml:space="preserve">Master license. </w:t>
      </w:r>
      <w:r>
        <w:rPr>
          <w:rFonts w:ascii="Times New Roman" w:hAnsi="Times New Roman"/>
          <w:b w:val="false"/>
          <w:i w:val="false"/>
          <w:color w:val="000000"/>
          <w:sz w:val="22"/>
        </w:rPr>
        <w:t>A contractor will not engage in the business of designing, installing, or repairing plumbing, mechanical, HVAC-refrigeration, or hydronic systems unless at all times the contractor holds or employs at least one person holding an active master license issued by the board for each discipline in which the contractor conducts business. Without prior board approval, a contractor will not knowingly utilize a master licensee to meet this requirement if the master licensee is simultaneously associated with another contractor in that discipline.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subrule </w:t>
      </w:r>
      <w:hyperlink r:id="rId13">
        <w:r>
          <w:rPr>
            <w:rStyle w:val="Hyperlink"/>
            <w:rFonts w:ascii="Times New Roman" w:hAnsi="Times New Roman"/>
            <w:b w:val="false"/>
            <w:i w:val="false"/>
            <w:color w:val="000000"/>
            <w:sz w:val="22"/>
          </w:rPr>
          <w:t>23.3(1)</w:t>
        </w:r>
      </w:hyperlink>
      <w:r>
        <w:rPr>
          <w:rFonts w:ascii="Times New Roman" w:hAnsi="Times New Roman"/>
          <w:b w:val="false"/>
          <w:i w:val="false"/>
          <w:color w:val="000000"/>
          <w:sz w:val="22"/>
        </w:rPr>
        <w:t>, in the event a licensed master of record’s employment with the contractor is terminated, or the master of record otherwise discontinues the master of record’s relationship with the contractor, or the master of record’s master license is lapsed, suspended, revoked, expired, or otherwise invalidated, the contractor may continue to provide plumbing, mechanical, HVAC-refrigeration, or hydronic systems services for a period of up to six months without identifying a new master of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To utilize the six-month grace period set forth in paragraph </w:t>
      </w:r>
      <w:hyperlink r:id="rId14">
        <w:r>
          <w:rPr>
            <w:rStyle w:val="Hyperlink"/>
            <w:rFonts w:ascii="Times New Roman" w:hAnsi="Times New Roman"/>
            <w:b w:val="false"/>
            <w:i w:val="false"/>
            <w:color w:val="000000"/>
            <w:sz w:val="22"/>
          </w:rPr>
          <w:t>23.3(1)</w:t>
        </w:r>
        <w:r>
          <w:rPr>
            <w:rFonts w:ascii="Times New Roman" w:hAnsi="Times New Roman"/>
            <w:b w:val="false"/>
            <w:i/>
            <w:color w:val="000000"/>
            <w:sz w:val="22"/>
          </w:rPr>
          <w:t>“a,”</w:t>
        </w:r>
      </w:hyperlink>
      <w:r>
        <w:rPr>
          <w:rFonts w:ascii="Times New Roman" w:hAnsi="Times New Roman"/>
          <w:b w:val="false"/>
          <w:i w:val="false"/>
          <w:color w:val="000000"/>
          <w:sz w:val="22"/>
        </w:rPr>
        <w:t xml:space="preserve"> a contractor will notify the board of the contractor’s loss of the master of record within 30 days from the date the master of record is no longer associated with the contractor, absent exigent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23.3(2)</w:t>
      </w:r>
      <w:r>
        <w:rPr>
          <w:rFonts w:ascii="Times New Roman" w:hAnsi="Times New Roman"/>
          <w:b w:val="false"/>
          <w:i w:val="false"/>
          <w:color w:val="000000"/>
          <w:sz w:val="22"/>
        </w:rPr>
        <w:t> </w:t>
      </w:r>
      <w:r>
        <w:rPr>
          <w:rFonts w:ascii="Times New Roman" w:hAnsi="Times New Roman"/>
          <w:b w:val="false"/>
          <w:i/>
          <w:color w:val="000000"/>
          <w:sz w:val="22"/>
        </w:rPr>
        <w:t xml:space="preserve">Display of license. </w:t>
      </w:r>
      <w:r>
        <w:rPr>
          <w:rFonts w:ascii="Times New Roman" w:hAnsi="Times New Roman"/>
          <w:b w:val="false"/>
          <w:i w:val="false"/>
          <w:color w:val="000000"/>
          <w:sz w:val="22"/>
        </w:rPr>
        <w:t>A person holding a contractor license will keep the current license certificate publicly displayed in the primary place in which the person practices.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23.3(3)</w:t>
      </w:r>
      <w:r>
        <w:rPr>
          <w:rFonts w:ascii="Times New Roman" w:hAnsi="Times New Roman"/>
          <w:b w:val="false"/>
          <w:i w:val="false"/>
          <w:color w:val="000000"/>
          <w:sz w:val="22"/>
        </w:rPr>
        <w:t> </w:t>
      </w:r>
      <w:r>
        <w:rPr>
          <w:rFonts w:ascii="Times New Roman" w:hAnsi="Times New Roman"/>
          <w:b w:val="false"/>
          <w:i/>
          <w:color w:val="000000"/>
          <w:sz w:val="22"/>
        </w:rPr>
        <w:t xml:space="preserve">Surety bond. </w:t>
      </w:r>
      <w:r>
        <w:rPr>
          <w:rFonts w:ascii="Times New Roman" w:hAnsi="Times New Roman"/>
          <w:b w:val="false"/>
          <w:i w:val="false"/>
          <w:color w:val="000000"/>
          <w:sz w:val="22"/>
        </w:rPr>
        <w:t>A person or entity holding a contractor license must maintain during the licensing period a surety bond issued by an entity licensed to do business in Iowa in a minimum amount of $5,000. If a person operates the contractor business as a sole proprietorship, the person must personally obtain and maintain the surety bond. If a person operates the contractor business as an employee or owner of a legal entity, the legal entity must obtain and maintain the surety bond, and the surety bond must cover all plumbing or mechanical work performed by the legal entity. The surety bond mandated under this subrule must contain a provision that requires the issuing entity to provide the board ten days’ written notice before the surety bond can be canceled.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23.3(4)</w:t>
      </w:r>
      <w:r>
        <w:rPr>
          <w:rFonts w:ascii="Times New Roman" w:hAnsi="Times New Roman"/>
          <w:b w:val="false"/>
          <w:i w:val="false"/>
          <w:color w:val="000000"/>
          <w:sz w:val="22"/>
        </w:rPr>
        <w:t> </w:t>
      </w:r>
      <w:r>
        <w:rPr>
          <w:rFonts w:ascii="Times New Roman" w:hAnsi="Times New Roman"/>
          <w:b w:val="false"/>
          <w:i/>
          <w:color w:val="000000"/>
          <w:sz w:val="22"/>
        </w:rPr>
        <w:t xml:space="preserve">Public liability insurance. </w:t>
      </w:r>
      <w:r>
        <w:rPr>
          <w:rFonts w:ascii="Times New Roman" w:hAnsi="Times New Roman"/>
          <w:b w:val="false"/>
          <w:i w:val="false"/>
          <w:color w:val="000000"/>
          <w:sz w:val="22"/>
        </w:rPr>
        <w:t>A person or entity holding a contractor license must maintain during the licensing period public liability insurance issued by an entity licensed to do business in Iowa in a minimum amount of $500,000. If a person operates the contractor business as a sole proprietorship, the person must personally obtain and maintain the public liability insurance. If a person operates the contractor business as an employee or owner of a legal entity, the legal entity must obtain and maintain the public liability insurance, and the public liability insurance must cover all plumbing and mechanical work performed by the legal entity. The public liability insurance mandated under this subrule must contain a provision that requires the issuing entity to provide the board ten days’ written notice before the public liability insurance can be canceled.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23.3(5)</w:t>
      </w:r>
      <w:r>
        <w:rPr>
          <w:rFonts w:ascii="Times New Roman" w:hAnsi="Times New Roman"/>
          <w:b w:val="false"/>
          <w:i w:val="false"/>
          <w:color w:val="000000"/>
          <w:sz w:val="22"/>
        </w:rPr>
        <w:t> </w:t>
      </w:r>
      <w:r>
        <w:rPr>
          <w:rFonts w:ascii="Times New Roman" w:hAnsi="Times New Roman"/>
          <w:b w:val="false"/>
          <w:i/>
          <w:color w:val="000000"/>
          <w:sz w:val="22"/>
        </w:rPr>
        <w:t xml:space="preserve">Contractor registration with the department. </w:t>
      </w:r>
      <w:r>
        <w:rPr>
          <w:rFonts w:ascii="Times New Roman" w:hAnsi="Times New Roman"/>
          <w:b w:val="false"/>
          <w:i w:val="false"/>
          <w:color w:val="000000"/>
          <w:sz w:val="22"/>
        </w:rPr>
        <w:t xml:space="preserve">A contractor will maintain registration as a contractor with the director pursuant to Iowa Code chapter </w:t>
      </w:r>
      <w:hyperlink r:id="rId15">
        <w:r>
          <w:rPr>
            <w:rStyle w:val="Hyperlink"/>
            <w:rFonts w:ascii="Times New Roman" w:hAnsi="Times New Roman"/>
            <w:b w:val="false"/>
            <w:i w:val="false"/>
            <w:color w:val="000000"/>
            <w:sz w:val="22"/>
          </w:rPr>
          <w:t>91C</w:t>
        </w:r>
      </w:hyperlink>
      <w:r>
        <w:rPr>
          <w:rFonts w:ascii="Times New Roman" w:hAnsi="Times New Roman"/>
          <w:b w:val="false"/>
          <w:i w:val="false"/>
          <w:color w:val="000000"/>
          <w:sz w:val="22"/>
        </w:rPr>
        <w:t xml:space="preserve"> by providing the board with the necessary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23.3(6)</w:t>
      </w:r>
      <w:r>
        <w:rPr>
          <w:rFonts w:ascii="Times New Roman" w:hAnsi="Times New Roman"/>
          <w:b w:val="false"/>
          <w:i w:val="false"/>
          <w:color w:val="000000"/>
          <w:sz w:val="22"/>
        </w:rPr>
        <w:t> </w:t>
      </w:r>
      <w:r>
        <w:rPr>
          <w:rFonts w:ascii="Times New Roman" w:hAnsi="Times New Roman"/>
          <w:b w:val="false"/>
          <w:i/>
          <w:color w:val="000000"/>
          <w:sz w:val="22"/>
        </w:rPr>
        <w:t xml:space="preserve">Permanent place of business. </w:t>
      </w:r>
      <w:r>
        <w:rPr>
          <w:rFonts w:ascii="Times New Roman" w:hAnsi="Times New Roman"/>
          <w:b w:val="false"/>
          <w:i w:val="false"/>
          <w:color w:val="000000"/>
          <w:sz w:val="22"/>
        </w:rPr>
        <w:t>A contractor will maintain a permanent place of business, the address of which will be provided to the board. If a contractor changes the permanent place of business, the contractor will provide the board the new address within 30 days of the change.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23.3(7)</w:t>
      </w:r>
      <w:r>
        <w:rPr>
          <w:rFonts w:ascii="Times New Roman" w:hAnsi="Times New Roman"/>
          <w:b w:val="false"/>
          <w:i w:val="false"/>
          <w:color w:val="000000"/>
          <w:sz w:val="22"/>
        </w:rPr>
        <w:t> </w:t>
      </w:r>
      <w:r>
        <w:rPr>
          <w:rFonts w:ascii="Times New Roman" w:hAnsi="Times New Roman"/>
          <w:b w:val="false"/>
          <w:i/>
          <w:color w:val="000000"/>
          <w:sz w:val="22"/>
        </w:rPr>
        <w:t xml:space="preserve">Licensure. </w:t>
      </w:r>
      <w:r>
        <w:rPr>
          <w:rFonts w:ascii="Times New Roman" w:hAnsi="Times New Roman"/>
          <w:b w:val="false"/>
          <w:i w:val="false"/>
          <w:color w:val="000000"/>
          <w:sz w:val="22"/>
        </w:rPr>
        <w:t xml:space="preserve">A contractor will not knowingly allow an employee to perform work covered under Iowa Code chapter </w:t>
      </w:r>
      <w:hyperlink r:id="rId16">
        <w:r>
          <w:rPr>
            <w:rStyle w:val="Hyperlink"/>
            <w:rFonts w:ascii="Times New Roman" w:hAnsi="Times New Roman"/>
            <w:b w:val="false"/>
            <w:i w:val="false"/>
            <w:color w:val="000000"/>
            <w:sz w:val="22"/>
          </w:rPr>
          <w:t>105</w:t>
        </w:r>
      </w:hyperlink>
      <w:r>
        <w:rPr>
          <w:rFonts w:ascii="Times New Roman" w:hAnsi="Times New Roman"/>
          <w:b w:val="false"/>
          <w:i w:val="false"/>
          <w:color w:val="000000"/>
          <w:sz w:val="22"/>
        </w:rPr>
        <w:t xml:space="preserve"> without the applicable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23.3(8)</w:t>
      </w:r>
      <w:r>
        <w:rPr>
          <w:rFonts w:ascii="Times New Roman" w:hAnsi="Times New Roman"/>
          <w:b w:val="false"/>
          <w:i w:val="false"/>
          <w:color w:val="000000"/>
          <w:sz w:val="22"/>
        </w:rPr>
        <w:t> </w:t>
      </w:r>
      <w:r>
        <w:rPr>
          <w:rFonts w:ascii="Times New Roman" w:hAnsi="Times New Roman"/>
          <w:b w:val="false"/>
          <w:i/>
          <w:color w:val="000000"/>
          <w:sz w:val="22"/>
        </w:rPr>
        <w:t xml:space="preserve">Supervision. </w:t>
      </w:r>
      <w:r>
        <w:rPr>
          <w:rFonts w:ascii="Times New Roman" w:hAnsi="Times New Roman"/>
          <w:b w:val="false"/>
          <w:i w:val="false"/>
          <w:color w:val="000000"/>
          <w:sz w:val="22"/>
        </w:rPr>
        <w:t xml:space="preserve">A contractor will not knowingly allow an apprentice employed by the contractor to perform work covered under Iowa Code chapter </w:t>
      </w:r>
      <w:hyperlink r:id="rId17">
        <w:r>
          <w:rPr>
            <w:rStyle w:val="Hyperlink"/>
            <w:rFonts w:ascii="Times New Roman" w:hAnsi="Times New Roman"/>
            <w:b w:val="false"/>
            <w:i w:val="false"/>
            <w:color w:val="000000"/>
            <w:sz w:val="22"/>
          </w:rPr>
          <w:t>105</w:t>
        </w:r>
      </w:hyperlink>
      <w:r>
        <w:rPr>
          <w:rFonts w:ascii="Times New Roman" w:hAnsi="Times New Roman"/>
          <w:b w:val="false"/>
          <w:i w:val="false"/>
          <w:color w:val="000000"/>
          <w:sz w:val="22"/>
        </w:rPr>
        <w:t xml:space="preserve"> without supervision of the apprentice by a master or journeyperson who is also employed by the contractor and who is licensed in the discipline in which the apprentice is performing such work.</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7992C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641—23.4</w:t>
      </w:r>
      <w:r>
        <w:rPr>
          <w:rFonts w:ascii="Times New Roman" w:hAnsi="Times New Roman"/>
          <w:b/>
          <w:i w:val="false"/>
          <w:color w:val="000000"/>
          <w:sz w:val="22"/>
        </w:rPr>
        <w:t xml:space="preserve">(105) </w:t>
      </w:r>
      <w:r>
        <w:rPr>
          <w:rFonts w:ascii="Times New Roman" w:hAnsi="Times New Roman"/>
          <w:b/>
          <w:i w:val="false"/>
          <w:color w:val="000000"/>
          <w:sz w:val="22"/>
        </w:rPr>
        <w:t xml:space="preserve">Master license. </w:t>
      </w:r>
      <w:r>
        <w:rPr>
          <w:rFonts w:ascii="Times New Roman" w:hAnsi="Times New Roman"/>
          <w:b w:val="false"/>
          <w:i w:val="false"/>
          <w:color w:val="000000"/>
          <w:sz w:val="22"/>
        </w:rPr>
        <w:t xml:space="preserve">A master licensed under Iowa Code chapter </w:t>
      </w:r>
      <w:hyperlink r:id="rId18">
        <w:r>
          <w:rPr>
            <w:rStyle w:val="Hyperlink"/>
            <w:rFonts w:ascii="Times New Roman" w:hAnsi="Times New Roman"/>
            <w:b w:val="false"/>
            <w:i w:val="false"/>
            <w:color w:val="000000"/>
            <w:sz w:val="22"/>
          </w:rPr>
          <w:t>105</w:t>
        </w:r>
      </w:hyperlink>
      <w:r>
        <w:rPr>
          <w:rFonts w:ascii="Times New Roman" w:hAnsi="Times New Roman"/>
          <w:b w:val="false"/>
          <w:i w:val="false"/>
          <w:color w:val="000000"/>
          <w:sz w:val="22"/>
        </w:rPr>
        <w:t xml:space="preserve"> will adhere to the following, the violation of which may give rise to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23.4(1)</w:t>
      </w:r>
      <w:r>
        <w:rPr>
          <w:rFonts w:ascii="Times New Roman" w:hAnsi="Times New Roman"/>
          <w:b w:val="false"/>
          <w:i w:val="false"/>
          <w:color w:val="000000"/>
          <w:sz w:val="22"/>
        </w:rPr>
        <w:t> </w:t>
      </w:r>
      <w:r>
        <w:rPr>
          <w:rFonts w:ascii="Times New Roman" w:hAnsi="Times New Roman"/>
          <w:b w:val="false"/>
          <w:i/>
          <w:color w:val="000000"/>
          <w:sz w:val="22"/>
        </w:rPr>
        <w:t xml:space="preserve">Contractor relationship. </w:t>
      </w:r>
      <w:r>
        <w:rPr>
          <w:rFonts w:ascii="Times New Roman" w:hAnsi="Times New Roman"/>
          <w:b w:val="false"/>
          <w:i w:val="false"/>
          <w:color w:val="000000"/>
          <w:sz w:val="22"/>
        </w:rPr>
        <w:t>A master may only be a master of record for one contractor in any particular discipline at any one time, except that a contractor or a master may seek prior board approval to serve as the master of record for more than one contractor in a particular discipline. An individual who possesses master licenses in multiple disciplines may be a master of record for multiple contractors so long as the individual is only a master of record for one contractor in any particular discipline at one 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23.4(2)</w:t>
      </w:r>
      <w:r>
        <w:rPr>
          <w:rFonts w:ascii="Times New Roman" w:hAnsi="Times New Roman"/>
          <w:b w:val="false"/>
          <w:i w:val="false"/>
          <w:color w:val="000000"/>
          <w:sz w:val="22"/>
        </w:rPr>
        <w:t> </w:t>
      </w:r>
      <w:r>
        <w:rPr>
          <w:rFonts w:ascii="Times New Roman" w:hAnsi="Times New Roman"/>
          <w:b w:val="false"/>
          <w:i/>
          <w:color w:val="000000"/>
          <w:sz w:val="22"/>
        </w:rPr>
        <w:t xml:space="preserve">Contractor. </w:t>
      </w:r>
      <w:r>
        <w:rPr>
          <w:rFonts w:ascii="Times New Roman" w:hAnsi="Times New Roman"/>
          <w:b w:val="false"/>
          <w:i w:val="false"/>
          <w:color w:val="000000"/>
          <w:sz w:val="22"/>
        </w:rPr>
        <w:t xml:space="preserve">A master will not knowingly perform work covered under Iowa Code chapter </w:t>
      </w:r>
      <w:hyperlink r:id="rId19">
        <w:r>
          <w:rPr>
            <w:rStyle w:val="Hyperlink"/>
            <w:rFonts w:ascii="Times New Roman" w:hAnsi="Times New Roman"/>
            <w:b w:val="false"/>
            <w:i w:val="false"/>
            <w:color w:val="000000"/>
            <w:sz w:val="22"/>
          </w:rPr>
          <w:t>105</w:t>
        </w:r>
      </w:hyperlink>
      <w:r>
        <w:rPr>
          <w:rFonts w:ascii="Times New Roman" w:hAnsi="Times New Roman"/>
          <w:b w:val="false"/>
          <w:i w:val="false"/>
          <w:color w:val="000000"/>
          <w:sz w:val="22"/>
        </w:rPr>
        <w:t xml:space="preserve"> for an unlicensed contractor.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23.4(3)</w:t>
      </w:r>
      <w:r>
        <w:rPr>
          <w:rFonts w:ascii="Times New Roman" w:hAnsi="Times New Roman"/>
          <w:b w:val="false"/>
          <w:i w:val="false"/>
          <w:color w:val="000000"/>
          <w:sz w:val="22"/>
        </w:rPr>
        <w:t> </w:t>
      </w:r>
      <w:r>
        <w:rPr>
          <w:rFonts w:ascii="Times New Roman" w:hAnsi="Times New Roman"/>
          <w:b w:val="false"/>
          <w:i/>
          <w:color w:val="000000"/>
          <w:sz w:val="22"/>
        </w:rPr>
        <w:t xml:space="preserve">Supervision. </w:t>
      </w:r>
      <w:r>
        <w:rPr>
          <w:rFonts w:ascii="Times New Roman" w:hAnsi="Times New Roman"/>
          <w:b w:val="false"/>
          <w:i w:val="false"/>
          <w:color w:val="000000"/>
          <w:sz w:val="22"/>
        </w:rPr>
        <w:t xml:space="preserve">A master who superintends the design, installation, or repair of plumbing, mechanical, HVAC-refrigeration, or hydronic systems will be available to supervise journeypersons or apprentices as needed and may only provide such supervision in the discipline or disciplines in which the master is licensed. A master will not knowingly supervise unlicensed persons who perform work covered under Iowa Code chapter </w:t>
      </w:r>
      <w:hyperlink r:id="rId20">
        <w:r>
          <w:rPr>
            <w:rStyle w:val="Hyperlink"/>
            <w:rFonts w:ascii="Times New Roman" w:hAnsi="Times New Roman"/>
            <w:b w:val="false"/>
            <w:i w:val="false"/>
            <w:color w:val="000000"/>
            <w:sz w:val="22"/>
          </w:rPr>
          <w:t>105</w:t>
        </w:r>
      </w:hyperlink>
      <w:r>
        <w:rPr>
          <w:rFonts w:ascii="Times New Roman" w:hAnsi="Times New Roman"/>
          <w:b w:val="false"/>
          <w:i w:val="false"/>
          <w:color w:val="000000"/>
          <w:sz w:val="22"/>
        </w:rPr>
        <w:t xml:space="preserve"> for which a board-issued license is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23.4(4)</w:t>
      </w:r>
      <w:r>
        <w:rPr>
          <w:rFonts w:ascii="Times New Roman" w:hAnsi="Times New Roman"/>
          <w:b w:val="false"/>
          <w:i w:val="false"/>
          <w:color w:val="000000"/>
          <w:sz w:val="22"/>
        </w:rPr>
        <w:t> </w:t>
      </w:r>
      <w:r>
        <w:rPr>
          <w:rFonts w:ascii="Times New Roman" w:hAnsi="Times New Roman"/>
          <w:b w:val="false"/>
          <w:i/>
          <w:color w:val="000000"/>
          <w:sz w:val="22"/>
        </w:rPr>
        <w:t xml:space="preserve">Master of record. </w:t>
      </w:r>
      <w:r>
        <w:rPr>
          <w:rFonts w:ascii="Times New Roman" w:hAnsi="Times New Roman"/>
          <w:b w:val="false"/>
          <w:i w:val="false"/>
          <w:color w:val="000000"/>
          <w:sz w:val="22"/>
        </w:rPr>
        <w:t>A master who serves as a master of record for a contractor and who disassociates from the contractor will notify the board and the contractor of the disassociation, if notice was not previously provided, within 30 days from the date of disassociation, absent exigent circumstances.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7992C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641—23.5</w:t>
      </w:r>
      <w:r>
        <w:rPr>
          <w:rFonts w:ascii="Times New Roman" w:hAnsi="Times New Roman"/>
          <w:b/>
          <w:i w:val="false"/>
          <w:color w:val="000000"/>
          <w:sz w:val="22"/>
        </w:rPr>
        <w:t xml:space="preserve">(105) </w:t>
      </w:r>
      <w:r>
        <w:rPr>
          <w:rFonts w:ascii="Times New Roman" w:hAnsi="Times New Roman"/>
          <w:b/>
          <w:i w:val="false"/>
          <w:color w:val="000000"/>
          <w:sz w:val="22"/>
        </w:rPr>
        <w:t xml:space="preserve">Journeyperson license. </w:t>
      </w:r>
      <w:r>
        <w:rPr>
          <w:rFonts w:ascii="Times New Roman" w:hAnsi="Times New Roman"/>
          <w:b w:val="false"/>
          <w:i w:val="false"/>
          <w:color w:val="000000"/>
          <w:sz w:val="22"/>
        </w:rPr>
        <w:t xml:space="preserve">A journeyperson licensed under Iowa Code chapter </w:t>
      </w:r>
      <w:hyperlink r:id="rId21">
        <w:r>
          <w:rPr>
            <w:rStyle w:val="Hyperlink"/>
            <w:rFonts w:ascii="Times New Roman" w:hAnsi="Times New Roman"/>
            <w:b w:val="false"/>
            <w:i w:val="false"/>
            <w:color w:val="000000"/>
            <w:sz w:val="22"/>
          </w:rPr>
          <w:t>105</w:t>
        </w:r>
      </w:hyperlink>
      <w:r>
        <w:rPr>
          <w:rFonts w:ascii="Times New Roman" w:hAnsi="Times New Roman"/>
          <w:b w:val="false"/>
          <w:i w:val="false"/>
          <w:color w:val="000000"/>
          <w:sz w:val="22"/>
        </w:rPr>
        <w:t xml:space="preserve"> will adhere to the following, the violation of which may give rise to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23.5(1)</w:t>
      </w:r>
      <w:r>
        <w:rPr>
          <w:rFonts w:ascii="Times New Roman" w:hAnsi="Times New Roman"/>
          <w:b w:val="false"/>
          <w:i w:val="false"/>
          <w:color w:val="000000"/>
          <w:sz w:val="22"/>
        </w:rPr>
        <w:t> </w:t>
      </w:r>
      <w:r>
        <w:rPr>
          <w:rFonts w:ascii="Times New Roman" w:hAnsi="Times New Roman"/>
          <w:b w:val="false"/>
          <w:i/>
          <w:color w:val="000000"/>
          <w:sz w:val="22"/>
        </w:rPr>
        <w:t xml:space="preserve">Working under supervision. </w:t>
      </w:r>
      <w:r>
        <w:rPr>
          <w:rFonts w:ascii="Times New Roman" w:hAnsi="Times New Roman"/>
          <w:b w:val="false"/>
          <w:i w:val="false"/>
          <w:color w:val="000000"/>
          <w:sz w:val="22"/>
        </w:rPr>
        <w:t>A journeyperson will work under the supervision of a master licensed in the discipline of the work being performed in the design, installation, and repair of plumbing, mechanical, HVAC-refrigeration, or hydronic systems.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23.5(2)</w:t>
      </w:r>
      <w:r>
        <w:rPr>
          <w:rFonts w:ascii="Times New Roman" w:hAnsi="Times New Roman"/>
          <w:b w:val="false"/>
          <w:i w:val="false"/>
          <w:color w:val="000000"/>
          <w:sz w:val="22"/>
        </w:rPr>
        <w:t> </w:t>
      </w:r>
      <w:r>
        <w:rPr>
          <w:rFonts w:ascii="Times New Roman" w:hAnsi="Times New Roman"/>
          <w:b w:val="false"/>
          <w:i/>
          <w:color w:val="000000"/>
          <w:sz w:val="22"/>
        </w:rPr>
        <w:t xml:space="preserve">Contractor. </w:t>
      </w:r>
      <w:r>
        <w:rPr>
          <w:rFonts w:ascii="Times New Roman" w:hAnsi="Times New Roman"/>
          <w:b w:val="false"/>
          <w:i w:val="false"/>
          <w:color w:val="000000"/>
          <w:sz w:val="22"/>
        </w:rPr>
        <w:t xml:space="preserve">A journeyperson will not knowingly perform work covered under Iowa Code chapter </w:t>
      </w:r>
      <w:hyperlink r:id="rId22">
        <w:r>
          <w:rPr>
            <w:rStyle w:val="Hyperlink"/>
            <w:rFonts w:ascii="Times New Roman" w:hAnsi="Times New Roman"/>
            <w:b w:val="false"/>
            <w:i w:val="false"/>
            <w:color w:val="000000"/>
            <w:sz w:val="22"/>
          </w:rPr>
          <w:t>105</w:t>
        </w:r>
      </w:hyperlink>
      <w:r>
        <w:rPr>
          <w:rFonts w:ascii="Times New Roman" w:hAnsi="Times New Roman"/>
          <w:b w:val="false"/>
          <w:i w:val="false"/>
          <w:color w:val="000000"/>
          <w:sz w:val="22"/>
        </w:rPr>
        <w:t xml:space="preserve"> for an unlicensed contractor.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23.5(3)</w:t>
      </w:r>
      <w:r>
        <w:rPr>
          <w:rFonts w:ascii="Times New Roman" w:hAnsi="Times New Roman"/>
          <w:b w:val="false"/>
          <w:i w:val="false"/>
          <w:color w:val="000000"/>
          <w:sz w:val="22"/>
        </w:rPr>
        <w:t> </w:t>
      </w:r>
      <w:r>
        <w:rPr>
          <w:rFonts w:ascii="Times New Roman" w:hAnsi="Times New Roman"/>
          <w:b w:val="false"/>
          <w:i/>
          <w:color w:val="000000"/>
          <w:sz w:val="22"/>
        </w:rPr>
        <w:t xml:space="preserve">Supervision. </w:t>
      </w:r>
      <w:r>
        <w:rPr>
          <w:rFonts w:ascii="Times New Roman" w:hAnsi="Times New Roman"/>
          <w:b w:val="false"/>
          <w:i w:val="false"/>
          <w:color w:val="000000"/>
          <w:sz w:val="22"/>
        </w:rPr>
        <w:t xml:space="preserve">A journeyperson who superintends one or more apprentices may only provide such supervision in the discipline(s) in which the journeyperson is licensed and only while performing work for the same contractor licensed under Iowa Code chapter </w:t>
      </w:r>
      <w:hyperlink r:id="rId23">
        <w:r>
          <w:rPr>
            <w:rStyle w:val="Hyperlink"/>
            <w:rFonts w:ascii="Times New Roman" w:hAnsi="Times New Roman"/>
            <w:b w:val="false"/>
            <w:i w:val="false"/>
            <w:color w:val="000000"/>
            <w:sz w:val="22"/>
          </w:rPr>
          <w:t>105</w:t>
        </w:r>
      </w:hyperlink>
      <w:r>
        <w:rPr>
          <w:rFonts w:ascii="Times New Roman" w:hAnsi="Times New Roman"/>
          <w:b w:val="false"/>
          <w:i w:val="false"/>
          <w:color w:val="000000"/>
          <w:sz w:val="22"/>
        </w:rPr>
        <w:t xml:space="preserve">. A journeyperson shall not knowingly supervise unlicensed persons who perform work covered under Iowa Code chapter </w:t>
      </w:r>
      <w:hyperlink r:id="rId24">
        <w:r>
          <w:rPr>
            <w:rStyle w:val="Hyperlink"/>
            <w:rFonts w:ascii="Times New Roman" w:hAnsi="Times New Roman"/>
            <w:b w:val="false"/>
            <w:i w:val="false"/>
            <w:color w:val="000000"/>
            <w:sz w:val="22"/>
          </w:rPr>
          <w:t>105</w:t>
        </w:r>
      </w:hyperlink>
      <w:r>
        <w:rPr>
          <w:rFonts w:ascii="Times New Roman" w:hAnsi="Times New Roman"/>
          <w:b w:val="false"/>
          <w:i w:val="false"/>
          <w:color w:val="000000"/>
          <w:sz w:val="22"/>
        </w:rPr>
        <w:t xml:space="preserve"> for which a board-issued license is required.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7992C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641—23.6</w:t>
      </w:r>
      <w:r>
        <w:rPr>
          <w:rFonts w:ascii="Times New Roman" w:hAnsi="Times New Roman"/>
          <w:b/>
          <w:i w:val="false"/>
          <w:color w:val="000000"/>
          <w:sz w:val="22"/>
        </w:rPr>
        <w:t xml:space="preserve">(105) </w:t>
      </w:r>
      <w:r>
        <w:rPr>
          <w:rFonts w:ascii="Times New Roman" w:hAnsi="Times New Roman"/>
          <w:b/>
          <w:i w:val="false"/>
          <w:color w:val="000000"/>
          <w:sz w:val="22"/>
        </w:rPr>
        <w:t xml:space="preserve">Apprentice license. </w:t>
      </w:r>
      <w:r>
        <w:rPr>
          <w:rFonts w:ascii="Times New Roman" w:hAnsi="Times New Roman"/>
          <w:b w:val="false"/>
          <w:i w:val="false"/>
          <w:color w:val="000000"/>
          <w:sz w:val="22"/>
        </w:rPr>
        <w:t xml:space="preserve">An apprentice licensed under Iowa Code chapter </w:t>
      </w:r>
      <w:hyperlink r:id="rId25">
        <w:r>
          <w:rPr>
            <w:rStyle w:val="Hyperlink"/>
            <w:rFonts w:ascii="Times New Roman" w:hAnsi="Times New Roman"/>
            <w:b w:val="false"/>
            <w:i w:val="false"/>
            <w:color w:val="000000"/>
            <w:sz w:val="22"/>
          </w:rPr>
          <w:t>105</w:t>
        </w:r>
      </w:hyperlink>
      <w:r>
        <w:rPr>
          <w:rFonts w:ascii="Times New Roman" w:hAnsi="Times New Roman"/>
          <w:b w:val="false"/>
          <w:i w:val="false"/>
          <w:color w:val="000000"/>
          <w:sz w:val="22"/>
        </w:rPr>
        <w:t xml:space="preserve"> will adhere to the following mandates, the violation of which may give rise to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23.6(1)</w:t>
      </w:r>
      <w:r>
        <w:rPr>
          <w:rFonts w:ascii="Times New Roman" w:hAnsi="Times New Roman"/>
          <w:b w:val="false"/>
          <w:i w:val="false"/>
          <w:color w:val="000000"/>
          <w:sz w:val="22"/>
        </w:rPr>
        <w:t> </w:t>
      </w:r>
      <w:r>
        <w:rPr>
          <w:rFonts w:ascii="Times New Roman" w:hAnsi="Times New Roman"/>
          <w:b w:val="false"/>
          <w:i/>
          <w:color w:val="000000"/>
          <w:sz w:val="22"/>
        </w:rPr>
        <w:t xml:space="preserve">Working under supervision. </w:t>
      </w:r>
      <w:r>
        <w:rPr>
          <w:rFonts w:ascii="Times New Roman" w:hAnsi="Times New Roman"/>
          <w:b w:val="false"/>
          <w:i w:val="false"/>
          <w:color w:val="000000"/>
          <w:sz w:val="22"/>
        </w:rPr>
        <w:t xml:space="preserve">An apprentice may only perform work covered under Iowa Code chapter </w:t>
      </w:r>
      <w:hyperlink r:id="rId26">
        <w:r>
          <w:rPr>
            <w:rStyle w:val="Hyperlink"/>
            <w:rFonts w:ascii="Times New Roman" w:hAnsi="Times New Roman"/>
            <w:b w:val="false"/>
            <w:i w:val="false"/>
            <w:color w:val="000000"/>
            <w:sz w:val="22"/>
          </w:rPr>
          <w:t>105</w:t>
        </w:r>
      </w:hyperlink>
      <w:r>
        <w:rPr>
          <w:rFonts w:ascii="Times New Roman" w:hAnsi="Times New Roman"/>
          <w:b w:val="false"/>
          <w:i w:val="false"/>
          <w:color w:val="000000"/>
          <w:sz w:val="22"/>
        </w:rPr>
        <w:t xml:space="preserve"> under the supervision of a master or journeyperson.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23.6(2)</w:t>
      </w:r>
      <w:r>
        <w:rPr>
          <w:rFonts w:ascii="Times New Roman" w:hAnsi="Times New Roman"/>
          <w:b w:val="false"/>
          <w:i w:val="false"/>
          <w:color w:val="000000"/>
          <w:sz w:val="22"/>
        </w:rPr>
        <w:t> </w:t>
      </w:r>
      <w:r>
        <w:rPr>
          <w:rFonts w:ascii="Times New Roman" w:hAnsi="Times New Roman"/>
          <w:b w:val="false"/>
          <w:i/>
          <w:color w:val="000000"/>
          <w:sz w:val="22"/>
        </w:rPr>
        <w:t xml:space="preserve">Contractor. </w:t>
      </w:r>
      <w:r>
        <w:rPr>
          <w:rFonts w:ascii="Times New Roman" w:hAnsi="Times New Roman"/>
          <w:b w:val="false"/>
          <w:i w:val="false"/>
          <w:color w:val="000000"/>
          <w:sz w:val="22"/>
        </w:rPr>
        <w:t xml:space="preserve">An apprentice will not knowingly perform work covered under Iowa Code chapter </w:t>
      </w:r>
      <w:hyperlink r:id="rId27">
        <w:r>
          <w:rPr>
            <w:rStyle w:val="Hyperlink"/>
            <w:rFonts w:ascii="Times New Roman" w:hAnsi="Times New Roman"/>
            <w:b w:val="false"/>
            <w:i w:val="false"/>
            <w:color w:val="000000"/>
            <w:sz w:val="22"/>
          </w:rPr>
          <w:t>105</w:t>
        </w:r>
      </w:hyperlink>
      <w:r>
        <w:rPr>
          <w:rFonts w:ascii="Times New Roman" w:hAnsi="Times New Roman"/>
          <w:b w:val="false"/>
          <w:i w:val="false"/>
          <w:color w:val="000000"/>
          <w:sz w:val="22"/>
        </w:rPr>
        <w:t xml:space="preserve"> for an unlicensed contractor.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23.6(3)</w:t>
      </w:r>
      <w:r>
        <w:rPr>
          <w:rFonts w:ascii="Times New Roman" w:hAnsi="Times New Roman"/>
          <w:b w:val="false"/>
          <w:i w:val="false"/>
          <w:color w:val="000000"/>
          <w:sz w:val="22"/>
        </w:rPr>
        <w:t> </w:t>
      </w:r>
      <w:r>
        <w:rPr>
          <w:rFonts w:ascii="Times New Roman" w:hAnsi="Times New Roman"/>
          <w:b w:val="false"/>
          <w:i/>
          <w:color w:val="000000"/>
          <w:sz w:val="22"/>
        </w:rPr>
        <w:t xml:space="preserve">Dual licensure as an apprentice barred. </w:t>
      </w:r>
      <w:r>
        <w:rPr>
          <w:rFonts w:ascii="Times New Roman" w:hAnsi="Times New Roman"/>
          <w:b w:val="false"/>
          <w:i w:val="false"/>
          <w:color w:val="000000"/>
          <w:sz w:val="22"/>
        </w:rPr>
        <w:t>A licensee cannot simultaneously possess both an active apprentice license and an active specialty license.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7992C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641—23.7</w:t>
      </w:r>
      <w:r>
        <w:rPr>
          <w:rFonts w:ascii="Times New Roman" w:hAnsi="Times New Roman"/>
          <w:b/>
          <w:i w:val="false"/>
          <w:color w:val="000000"/>
          <w:sz w:val="22"/>
        </w:rPr>
        <w:t xml:space="preserve">(105) </w:t>
      </w:r>
      <w:r>
        <w:rPr>
          <w:rFonts w:ascii="Times New Roman" w:hAnsi="Times New Roman"/>
          <w:b/>
          <w:i w:val="false"/>
          <w:color w:val="000000"/>
          <w:sz w:val="22"/>
        </w:rPr>
        <w:t xml:space="preserve">Specialty licenses and certifications.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23.7(1)</w:t>
      </w:r>
      <w:r>
        <w:rPr>
          <w:rFonts w:ascii="Times New Roman" w:hAnsi="Times New Roman"/>
          <w:b w:val="false"/>
          <w:i w:val="false"/>
          <w:color w:val="000000"/>
          <w:sz w:val="22"/>
        </w:rPr>
        <w:t> </w:t>
      </w:r>
      <w:r>
        <w:rPr>
          <w:rFonts w:ascii="Times New Roman" w:hAnsi="Times New Roman"/>
          <w:b w:val="false"/>
          <w:i/>
          <w:color w:val="000000"/>
          <w:sz w:val="22"/>
        </w:rPr>
        <w:t xml:space="preserve">Medical gas certification.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person who possesses a medical gas certification and who performs medical gas brazing will maintain the person’s brazing continuity.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person who possesses a medical gas certification will maintain the person’s valid certification issued from the National Inspection Testing Certification Corporation (NITC) or an equivalent authority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23.7(2)</w:t>
      </w:r>
      <w:r>
        <w:rPr>
          <w:rFonts w:ascii="Times New Roman" w:hAnsi="Times New Roman"/>
          <w:b w:val="false"/>
          <w:i w:val="false"/>
          <w:color w:val="000000"/>
          <w:sz w:val="22"/>
        </w:rPr>
        <w:t> </w:t>
      </w:r>
      <w:r>
        <w:rPr>
          <w:rFonts w:ascii="Times New Roman" w:hAnsi="Times New Roman"/>
          <w:b w:val="false"/>
          <w:i/>
          <w:color w:val="000000"/>
          <w:sz w:val="22"/>
        </w:rPr>
        <w:t xml:space="preserve">Hearth systems specialty license.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person who possesses a hearth systems specialty license will maintain the person’s valid certification issued from the National Fireplace Institute or equivalent authority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hearth systems specialty license allows a licensee to perform work in the installation of gas burning and solid fuel appliances that offer a decorative view of the flames, from the connector pipe to the shutoff valve located within three feet of the appliance. A hearth systems specialty license further allows for work in the venting systems associated with a hearth appliance, log lighters, gas log sets, fireplace inserts, and freestanding stoves. A hearth systems specialty license does not allow a licensee to install a shutoff valve or perform any other mechanical or HVAC-refrigeration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possessing a hearth systems specialty license will not perform Iowa Code chapter </w:t>
      </w:r>
      <w:hyperlink r:id="rId28">
        <w:r>
          <w:rPr>
            <w:rStyle w:val="Hyperlink"/>
            <w:rFonts w:ascii="Times New Roman" w:hAnsi="Times New Roman"/>
            <w:b w:val="false"/>
            <w:i w:val="false"/>
            <w:color w:val="000000"/>
            <w:sz w:val="22"/>
          </w:rPr>
          <w:t>105</w:t>
        </w:r>
      </w:hyperlink>
      <w:r>
        <w:rPr>
          <w:rFonts w:ascii="Times New Roman" w:hAnsi="Times New Roman"/>
          <w:b w:val="false"/>
          <w:i w:val="false"/>
          <w:color w:val="000000"/>
          <w:sz w:val="22"/>
        </w:rPr>
        <w:t>-covered work beyond the limited scope of the person’s specialty license, and will not perform work within the limited scope of the person’s specialty license unless the person can conform to the minimum standard of acceptable and prevailing practice of a licensee performing such 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23.7(3)</w:t>
      </w:r>
      <w:r>
        <w:rPr>
          <w:rFonts w:ascii="Times New Roman" w:hAnsi="Times New Roman"/>
          <w:b w:val="false"/>
          <w:i w:val="false"/>
          <w:color w:val="000000"/>
          <w:sz w:val="22"/>
        </w:rPr>
        <w:t> </w:t>
      </w:r>
      <w:r>
        <w:rPr>
          <w:rFonts w:ascii="Times New Roman" w:hAnsi="Times New Roman"/>
          <w:b w:val="false"/>
          <w:i/>
          <w:color w:val="000000"/>
          <w:sz w:val="22"/>
        </w:rPr>
        <w:t xml:space="preserve">Service technician HVAC specialty license.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licensee who holds a service technician HVAC specialty license by demonstrating the licensee possesses a valid certification from North American Technician Excellence, Inc.</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or an equivalent authority approved by the board will maintain valid certification from North American Technician Excellence, Inc.</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or an equivalent authority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service technician HVAC specialty license allows a licensee to perform work from the appliance shutoff valve to the appliance and any part and component of the appliance, including the disconnection and reconnection of the existing appliance to the gas piping and the installation of a shutoff valve no more than three feet from the appliance. A service technician HVAC specialty license does not allow a licensee to perform any other mechanical or HVAC-refrigeration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possessing a service technician HVAC specialty license will not perform Iowa Code chapter </w:t>
      </w:r>
      <w:hyperlink r:id="rId29">
        <w:r>
          <w:rPr>
            <w:rStyle w:val="Hyperlink"/>
            <w:rFonts w:ascii="Times New Roman" w:hAnsi="Times New Roman"/>
            <w:b w:val="false"/>
            <w:i w:val="false"/>
            <w:color w:val="000000"/>
            <w:sz w:val="22"/>
          </w:rPr>
          <w:t>105</w:t>
        </w:r>
      </w:hyperlink>
      <w:r>
        <w:rPr>
          <w:rFonts w:ascii="Times New Roman" w:hAnsi="Times New Roman"/>
          <w:b w:val="false"/>
          <w:i w:val="false"/>
          <w:color w:val="000000"/>
          <w:sz w:val="22"/>
        </w:rPr>
        <w:t>-covered work beyond the limited scope of the person’s specialty license, and will not perform work within the limited scope of the person’s specialty license unless the person can conform to the minimum standard of acceptable and prevailing practice of a licensee performing such 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23.7(4)</w:t>
      </w:r>
      <w:r>
        <w:rPr>
          <w:rFonts w:ascii="Times New Roman" w:hAnsi="Times New Roman"/>
          <w:b w:val="false"/>
          <w:i w:val="false"/>
          <w:color w:val="000000"/>
          <w:sz w:val="22"/>
        </w:rPr>
        <w:t> </w:t>
      </w:r>
      <w:r>
        <w:rPr>
          <w:rFonts w:ascii="Times New Roman" w:hAnsi="Times New Roman"/>
          <w:b w:val="false"/>
          <w:i/>
          <w:color w:val="000000"/>
          <w:sz w:val="22"/>
        </w:rPr>
        <w:t xml:space="preserve">Disconnect/reconnect plumbing technician specialty license.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disconnect/reconnect plumbing technician specialty license allows a licensee to perform work from the appliance shutoff valve or the fixture shutoff valve to the appliance or fixture and any part or component of the appliance or fixture, including the disconnection and reconnection of the existing appliance or fixture to the water or sewer piping and the installation of a shutoff valve no more than three feet from the appliance or fixture. A disconnect/reconnect plumbing technician specialty license does not allow a licensee to perform any other plumbing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possessing a disconnect/reconnect plumbing technician specialty license will not perform Iowa Code chapter </w:t>
      </w:r>
      <w:hyperlink r:id="rId30">
        <w:r>
          <w:rPr>
            <w:rStyle w:val="Hyperlink"/>
            <w:rFonts w:ascii="Times New Roman" w:hAnsi="Times New Roman"/>
            <w:b w:val="false"/>
            <w:i w:val="false"/>
            <w:color w:val="000000"/>
            <w:sz w:val="22"/>
          </w:rPr>
          <w:t>105</w:t>
        </w:r>
      </w:hyperlink>
      <w:r>
        <w:rPr>
          <w:rFonts w:ascii="Times New Roman" w:hAnsi="Times New Roman"/>
          <w:b w:val="false"/>
          <w:i w:val="false"/>
          <w:color w:val="000000"/>
          <w:sz w:val="22"/>
        </w:rPr>
        <w:t>-covered work beyond the limited scope of the person’s specialty license, and will not perform work within the limited scope of the person’s specialty license unless the person can conform to the minimum standard of acceptable and prevailing practice of a licensee performing such 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23.7(5)</w:t>
      </w:r>
      <w:r>
        <w:rPr>
          <w:rFonts w:ascii="Times New Roman" w:hAnsi="Times New Roman"/>
          <w:b w:val="false"/>
          <w:i w:val="false"/>
          <w:color w:val="000000"/>
          <w:sz w:val="22"/>
        </w:rPr>
        <w:t> </w:t>
      </w:r>
      <w:r>
        <w:rPr>
          <w:rFonts w:ascii="Times New Roman" w:hAnsi="Times New Roman"/>
          <w:b w:val="false"/>
          <w:i/>
          <w:color w:val="000000"/>
          <w:sz w:val="22"/>
        </w:rPr>
        <w:t xml:space="preserve">Private school or college routine maintenance specialty license.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private school or college routine maintenance specialty license allows a licensee to perform routine maintenance within the scope of the licensee’s employment with a private school or college. For purposes of this subrule, “routine maintenance” means the maintenance, repair, or replacement of existing fixtures or parts of plumbing, mechanical, HVAC-refrigeration, sheet metal, or hydronic systems in which no changes in original design are made. Fixtures or parts do not include smoke and fire dampers or water, gas, or steam piping permanent repairs except for traps and strainers. Routine maintenance includes emergency repairs. Routine maintenance does not include the replacement of furnaces, boilers, cooling appliances, or water heaters more than 100 gallons in size.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possessing a private school or college routine maintenance specialty license will not perform Iowa Code chapter </w:t>
      </w:r>
      <w:hyperlink r:id="rId31">
        <w:r>
          <w:rPr>
            <w:rStyle w:val="Hyperlink"/>
            <w:rFonts w:ascii="Times New Roman" w:hAnsi="Times New Roman"/>
            <w:b w:val="false"/>
            <w:i w:val="false"/>
            <w:color w:val="000000"/>
            <w:sz w:val="22"/>
          </w:rPr>
          <w:t>105</w:t>
        </w:r>
      </w:hyperlink>
      <w:r>
        <w:rPr>
          <w:rFonts w:ascii="Times New Roman" w:hAnsi="Times New Roman"/>
          <w:b w:val="false"/>
          <w:i w:val="false"/>
          <w:color w:val="000000"/>
          <w:sz w:val="22"/>
        </w:rPr>
        <w:t>-covered work beyond the limited scope of the person’s specialty license, and will not perform work within the limited scope of the person’s specialty license unless the person can conform to the minimum standard of acceptable and prevailing practice of a licensee performing such 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23.7(6)</w:t>
      </w:r>
      <w:r>
        <w:rPr>
          <w:rFonts w:ascii="Times New Roman" w:hAnsi="Times New Roman"/>
          <w:b w:val="false"/>
          <w:i w:val="false"/>
          <w:color w:val="000000"/>
          <w:sz w:val="22"/>
        </w:rPr>
        <w:t> </w:t>
      </w:r>
      <w:r>
        <w:rPr>
          <w:rFonts w:ascii="Times New Roman" w:hAnsi="Times New Roman"/>
          <w:b w:val="false"/>
          <w:i/>
          <w:color w:val="000000"/>
          <w:sz w:val="22"/>
        </w:rPr>
        <w:t xml:space="preserve">Dual licensure as an apprentice prohibited. </w:t>
      </w:r>
      <w:r>
        <w:rPr>
          <w:rFonts w:ascii="Times New Roman" w:hAnsi="Times New Roman"/>
          <w:b w:val="false"/>
          <w:i w:val="false"/>
          <w:color w:val="000000"/>
          <w:sz w:val="22"/>
        </w:rPr>
        <w:t>A licensee cannot simultaneously possess both an active apprentice license and an active specialty license.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7992C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641—23.8</w:t>
      </w:r>
      <w:r>
        <w:rPr>
          <w:rFonts w:ascii="Times New Roman" w:hAnsi="Times New Roman"/>
          <w:b/>
          <w:i w:val="false"/>
          <w:color w:val="000000"/>
          <w:sz w:val="22"/>
        </w:rPr>
        <w:t xml:space="preserve">(105) </w:t>
      </w:r>
      <w:r>
        <w:rPr>
          <w:rFonts w:ascii="Times New Roman" w:hAnsi="Times New Roman"/>
          <w:b/>
          <w:i w:val="false"/>
          <w:color w:val="000000"/>
          <w:sz w:val="22"/>
        </w:rPr>
        <w:t xml:space="preserve">Inactive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23.8(1)</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possessing an inactive license under </w:t>
      </w:r>
      <w:hyperlink r:id="rId32">
        <w:r>
          <w:rPr>
            <w:rStyle w:val="Hyperlink"/>
            <w:rFonts w:ascii="Times New Roman" w:hAnsi="Times New Roman"/>
            <w:b w:val="false"/>
            <w:i w:val="false"/>
            <w:color w:val="000000"/>
            <w:sz w:val="22"/>
          </w:rPr>
          <w:t>641—subrule 29.2(6)</w:t>
        </w:r>
      </w:hyperlink>
      <w:r>
        <w:rPr>
          <w:rFonts w:ascii="Times New Roman" w:hAnsi="Times New Roman"/>
          <w:b w:val="false"/>
          <w:i w:val="false"/>
          <w:color w:val="000000"/>
          <w:sz w:val="22"/>
        </w:rPr>
        <w:t xml:space="preserve"> will not perform any plumbing, mechanical, HVAC-refrigeration, sheet metal, or hydronic work for which licensure is mandated so long as the person’s license is held in inactive status.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23.8(2)</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possessing an active journeyperson/inactive master license under </w:t>
      </w:r>
      <w:hyperlink r:id="rId33">
        <w:r>
          <w:rPr>
            <w:rStyle w:val="Hyperlink"/>
            <w:rFonts w:ascii="Times New Roman" w:hAnsi="Times New Roman"/>
            <w:b w:val="false"/>
            <w:i w:val="false"/>
            <w:color w:val="000000"/>
            <w:sz w:val="22"/>
          </w:rPr>
          <w:t>641—subrule 29.2(5)</w:t>
        </w:r>
      </w:hyperlink>
      <w:r>
        <w:rPr>
          <w:rFonts w:ascii="Times New Roman" w:hAnsi="Times New Roman"/>
          <w:b w:val="false"/>
          <w:i w:val="false"/>
          <w:color w:val="000000"/>
          <w:sz w:val="22"/>
        </w:rPr>
        <w:t xml:space="preserve"> will not perform any plumbing, mechanical, HVAC-refrigeration, or hydronic work for which a master license is mandated so long as the person’s master license is held in inactive status.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23.8(3)</w:t>
      </w:r>
      <w:r>
        <w:rPr>
          <w:rFonts w:ascii="Times New Roman" w:hAnsi="Times New Roman"/>
          <w:b w:val="false"/>
          <w:i w:val="false"/>
          <w:color w:val="000000"/>
          <w:sz w:val="22"/>
        </w:rPr>
        <w:t> </w:t>
      </w:r>
      <w:r>
        <w:rPr>
          <w:rFonts w:ascii="Times New Roman" w:hAnsi="Times New Roman"/>
          <w:b w:val="false"/>
          <w:i w:val="false"/>
          <w:color w:val="000000"/>
          <w:sz w:val="22"/>
        </w:rPr>
        <w:t>Inactive specialty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possessing an active specialty license under rule </w:t>
      </w:r>
      <w:hyperlink r:id="rId34">
        <w:r>
          <w:rPr>
            <w:rStyle w:val="Hyperlink"/>
            <w:rFonts w:ascii="Times New Roman" w:hAnsi="Times New Roman"/>
            <w:b w:val="false"/>
            <w:i w:val="false"/>
            <w:color w:val="000000"/>
            <w:sz w:val="22"/>
          </w:rPr>
          <w:t>641—23.7</w:t>
        </w:r>
      </w:hyperlink>
      <w:r>
        <w:rPr>
          <w:rFonts w:ascii="Times New Roman" w:hAnsi="Times New Roman"/>
          <w:b w:val="false"/>
          <w:i w:val="false"/>
          <w:color w:val="000000"/>
          <w:sz w:val="22"/>
        </w:rPr>
        <w:t xml:space="preserve">(105) will submit a written request to place the specialty license on inactive status in order to obtain an active apprentice license. The licensee will acknowledge that the licensee is unable to perform any work covered under Iowa Code chapter </w:t>
      </w:r>
      <w:hyperlink r:id="rId35">
        <w:r>
          <w:rPr>
            <w:rStyle w:val="Hyperlink"/>
            <w:rFonts w:ascii="Times New Roman" w:hAnsi="Times New Roman"/>
            <w:b w:val="false"/>
            <w:i w:val="false"/>
            <w:color w:val="000000"/>
            <w:sz w:val="22"/>
          </w:rPr>
          <w:t>105</w:t>
        </w:r>
      </w:hyperlink>
      <w:r>
        <w:rPr>
          <w:rFonts w:ascii="Times New Roman" w:hAnsi="Times New Roman"/>
          <w:b w:val="false"/>
          <w:i w:val="false"/>
          <w:color w:val="000000"/>
          <w:sz w:val="22"/>
        </w:rPr>
        <w:t xml:space="preserve"> outside of the apprenticeship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w:t>
      </w:r>
      <w:hyperlink r:id="rId36">
        <w:r>
          <w:rPr>
            <w:rStyle w:val="Hyperlink"/>
            <w:rFonts w:ascii="Times New Roman" w:hAnsi="Times New Roman"/>
            <w:b w:val="false"/>
            <w:i w:val="false"/>
            <w:color w:val="000000"/>
            <w:sz w:val="22"/>
          </w:rPr>
          <w:t>641—subrule 28.1(3)</w:t>
        </w:r>
      </w:hyperlink>
      <w:r>
        <w:rPr>
          <w:rFonts w:ascii="Times New Roman" w:hAnsi="Times New Roman"/>
          <w:b w:val="false"/>
          <w:i w:val="false"/>
          <w:color w:val="000000"/>
          <w:sz w:val="22"/>
        </w:rPr>
        <w:t>, a person possessing both an inactive specialty license and an active apprentice license need not pay a renewal fee for the inactive specialty license so long as the person remains actively licensed as an apprentice.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w:t>
      </w:r>
      <w:hyperlink r:id="rId37">
        <w:r>
          <w:rPr>
            <w:rStyle w:val="Hyperlink"/>
            <w:rFonts w:ascii="Times New Roman" w:hAnsi="Times New Roman"/>
            <w:b w:val="false"/>
            <w:i w:val="false"/>
            <w:color w:val="000000"/>
            <w:sz w:val="22"/>
          </w:rPr>
          <w:t>641—subrule 30.2(2)</w:t>
        </w:r>
      </w:hyperlink>
      <w:r>
        <w:rPr>
          <w:rFonts w:ascii="Times New Roman" w:hAnsi="Times New Roman"/>
          <w:b w:val="false"/>
          <w:i w:val="false"/>
          <w:color w:val="000000"/>
          <w:sz w:val="22"/>
        </w:rPr>
        <w:t>, a person possessing an inactive specialty license and an active apprentice license need not obtain any continuing education hours for renewal so long as the person remains actively licensed as an apprentice.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possessing both an inactive specialty license and an active apprentice license may surrender the apprentice license and reactivate the specialty license upon written request and payment of the fee for an active specialty license in the amount specified in </w:t>
      </w:r>
      <w:hyperlink r:id="rId38">
        <w:r>
          <w:rPr>
            <w:rStyle w:val="Hyperlink"/>
            <w:rFonts w:ascii="Times New Roman" w:hAnsi="Times New Roman"/>
            <w:b w:val="false"/>
            <w:i w:val="false"/>
            <w:color w:val="000000"/>
            <w:sz w:val="22"/>
          </w:rPr>
          <w:t>641—Chapter 28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7992C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39">
        <w:r>
          <w:rPr>
            <w:rStyle w:val="Hyperlink"/>
            <w:rFonts w:ascii="Times New Roman" w:hAnsi="Times New Roman"/>
            <w:b w:val="false"/>
            <w:i w:val="false"/>
            <w:color w:val="000000"/>
            <w:sz w:val="22"/>
          </w:rPr>
          <w:t>105</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1218C</w:t>
      </w:r>
      <w:r>
        <w:rPr>
          <w:rFonts w:ascii="Times New Roman" w:hAnsi="Times New Roman"/>
          <w:b w:val="false"/>
          <w:i w:val="false"/>
          <w:color w:val="000000"/>
          <w:sz w:val="21"/>
        </w:rPr>
        <w:t xml:space="preserve"> (Notice ARC 0937C, IAB 8/7/13)</w:t>
      </w:r>
      <w:r>
        <w:rPr>
          <w:rFonts w:ascii="Times New Roman" w:hAnsi="Times New Roman"/>
          <w:b w:val="false"/>
          <w:i w:val="false"/>
          <w:color w:val="000000"/>
          <w:sz w:val="21"/>
        </w:rPr>
        <w:t>, IAB 12/11/13, effective 5/1/14]</w:t>
      </w:r>
    </w:p>
    <w:p>
      <w:pPr>
        <w:spacing w:before="0" w:after="0"/>
        <w:ind w:left="120"/>
        <w:jc w:val="center"/>
      </w:pPr>
      <w:r>
        <w:rPr>
          <w:rFonts w:ascii="Times New Roman" w:hAnsi="Times New Roman"/>
          <w:b w:val="false"/>
          <w:i w:val="false"/>
          <w:color w:val="000000"/>
          <w:sz w:val="21"/>
        </w:rPr>
        <w:t>[Filed ARC 3061C</w:t>
      </w:r>
      <w:r>
        <w:rPr>
          <w:rFonts w:ascii="Times New Roman" w:hAnsi="Times New Roman"/>
          <w:b w:val="false"/>
          <w:i w:val="false"/>
          <w:color w:val="000000"/>
          <w:sz w:val="21"/>
        </w:rPr>
        <w:t xml:space="preserve"> (Notice ARC 2903C, IAB 1/18/17)</w:t>
      </w:r>
      <w:r>
        <w:rPr>
          <w:rFonts w:ascii="Times New Roman" w:hAnsi="Times New Roman"/>
          <w:b w:val="false"/>
          <w:i w:val="false"/>
          <w:color w:val="000000"/>
          <w:sz w:val="21"/>
        </w:rPr>
        <w:t>, IAB 5/10/17, effective 6/14/17]</w:t>
      </w:r>
    </w:p>
    <w:p>
      <w:pPr>
        <w:spacing w:before="0" w:after="0"/>
        <w:ind w:left="120"/>
        <w:jc w:val="center"/>
      </w:pPr>
      <w:r>
        <w:rPr>
          <w:rFonts w:ascii="Times New Roman" w:hAnsi="Times New Roman"/>
          <w:b w:val="false"/>
          <w:i w:val="false"/>
          <w:color w:val="000000"/>
          <w:sz w:val="21"/>
        </w:rPr>
        <w:t>[Filed ARC 7992C</w:t>
      </w:r>
      <w:r>
        <w:rPr>
          <w:rFonts w:ascii="Times New Roman" w:hAnsi="Times New Roman"/>
          <w:b w:val="false"/>
          <w:i w:val="false"/>
          <w:color w:val="000000"/>
          <w:sz w:val="21"/>
        </w:rPr>
        <w:t xml:space="preserve"> (Notice ARC 7316C, IAB 1/10/24)</w:t>
      </w:r>
      <w:r>
        <w:rPr>
          <w:rFonts w:ascii="Times New Roman" w:hAnsi="Times New Roman"/>
          <w:b w:val="false"/>
          <w:i w:val="false"/>
          <w:color w:val="000000"/>
          <w:sz w:val="21"/>
        </w:rPr>
        <w:t>, IAB 5/15/24, effective 6/19/24]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05.2.pdf" Type="http://schemas.openxmlformats.org/officeDocument/2006/relationships/hyperlink" Id="rId5"/>
    <Relationship TargetMode="External" Target="https://www.legis.iowa.gov/docs/ico/chapter/105.pdf" Type="http://schemas.openxmlformats.org/officeDocument/2006/relationships/hyperlink" Id="rId6"/>
    <Relationship TargetMode="External" Target="https://www.legis.iowa.gov/docs/ico/chapter/105.pdf" Type="http://schemas.openxmlformats.org/officeDocument/2006/relationships/hyperlink" Id="rId7"/>
    <Relationship TargetMode="External" Target="https://www.legis.iowa.gov/docs/ico/chapter/105.pdf" Type="http://schemas.openxmlformats.org/officeDocument/2006/relationships/hyperlink" Id="rId8"/>
    <Relationship TargetMode="External" Target="https://www.legis.iowa.gov/docs/ico/chapter/105.12.pdf" Type="http://schemas.openxmlformats.org/officeDocument/2006/relationships/hyperlink" Id="rId9"/>
    <Relationship TargetMode="External" Target="https://www.legis.iowa.gov/docs/ico/chapter/105.pdf" Type="http://schemas.openxmlformats.org/officeDocument/2006/relationships/hyperlink" Id="rId10"/>
    <Relationship TargetMode="External" Target="https://www.legis.iowa.gov/docs/ico/chapter/105.pdf" Type="http://schemas.openxmlformats.org/officeDocument/2006/relationships/hyperlink" Id="rId11"/>
    <Relationship TargetMode="External" Target="https://www.legis.iowa.gov/docs/ico/chapter/105.pdf" Type="http://schemas.openxmlformats.org/officeDocument/2006/relationships/hyperlink" Id="rId12"/>
    <Relationship TargetMode="External" Target="https://www.legis.iowa.gov/docs/iac/rule/641.23.3.pdf" Type="http://schemas.openxmlformats.org/officeDocument/2006/relationships/hyperlink" Id="rId13"/>
    <Relationship TargetMode="External" Target="https://www.legis.iowa.gov/docs/iac/rule/641.23.3.pdf" Type="http://schemas.openxmlformats.org/officeDocument/2006/relationships/hyperlink" Id="rId14"/>
    <Relationship TargetMode="External" Target="https://www.legis.iowa.gov/docs/ico/chapter/91C.pdf" Type="http://schemas.openxmlformats.org/officeDocument/2006/relationships/hyperlink" Id="rId15"/>
    <Relationship TargetMode="External" Target="https://www.legis.iowa.gov/docs/ico/chapter/105.pdf" Type="http://schemas.openxmlformats.org/officeDocument/2006/relationships/hyperlink" Id="rId16"/>
    <Relationship TargetMode="External" Target="https://www.legis.iowa.gov/docs/ico/chapter/105.pdf" Type="http://schemas.openxmlformats.org/officeDocument/2006/relationships/hyperlink" Id="rId17"/>
    <Relationship TargetMode="External" Target="https://www.legis.iowa.gov/docs/ico/chapter/105.pdf" Type="http://schemas.openxmlformats.org/officeDocument/2006/relationships/hyperlink" Id="rId18"/>
    <Relationship TargetMode="External" Target="https://www.legis.iowa.gov/docs/ico/chapter/105.pdf" Type="http://schemas.openxmlformats.org/officeDocument/2006/relationships/hyperlink" Id="rId19"/>
    <Relationship TargetMode="External" Target="https://www.legis.iowa.gov/docs/ico/chapter/105.pdf" Type="http://schemas.openxmlformats.org/officeDocument/2006/relationships/hyperlink" Id="rId20"/>
    <Relationship TargetMode="External" Target="https://www.legis.iowa.gov/docs/ico/chapter/105.pdf" Type="http://schemas.openxmlformats.org/officeDocument/2006/relationships/hyperlink" Id="rId21"/>
    <Relationship TargetMode="External" Target="https://www.legis.iowa.gov/docs/ico/chapter/105.pdf" Type="http://schemas.openxmlformats.org/officeDocument/2006/relationships/hyperlink" Id="rId22"/>
    <Relationship TargetMode="External" Target="https://www.legis.iowa.gov/docs/ico/chapter/105.pdf" Type="http://schemas.openxmlformats.org/officeDocument/2006/relationships/hyperlink" Id="rId23"/>
    <Relationship TargetMode="External" Target="https://www.legis.iowa.gov/docs/ico/chapter/105.pdf" Type="http://schemas.openxmlformats.org/officeDocument/2006/relationships/hyperlink" Id="rId24"/>
    <Relationship TargetMode="External" Target="https://www.legis.iowa.gov/docs/ico/chapter/105.pdf" Type="http://schemas.openxmlformats.org/officeDocument/2006/relationships/hyperlink" Id="rId25"/>
    <Relationship TargetMode="External" Target="https://www.legis.iowa.gov/docs/ico/chapter/105.pdf" Type="http://schemas.openxmlformats.org/officeDocument/2006/relationships/hyperlink" Id="rId26"/>
    <Relationship TargetMode="External" Target="https://www.legis.iowa.gov/docs/ico/chapter/105.pdf" Type="http://schemas.openxmlformats.org/officeDocument/2006/relationships/hyperlink" Id="rId27"/>
    <Relationship TargetMode="External" Target="https://www.legis.iowa.gov/docs/ico/chapter/105.pdf" Type="http://schemas.openxmlformats.org/officeDocument/2006/relationships/hyperlink" Id="rId28"/>
    <Relationship TargetMode="External" Target="https://www.legis.iowa.gov/docs/ico/chapter/105.pdf" Type="http://schemas.openxmlformats.org/officeDocument/2006/relationships/hyperlink" Id="rId29"/>
    <Relationship TargetMode="External" Target="https://www.legis.iowa.gov/docs/ico/chapter/105.pdf" Type="http://schemas.openxmlformats.org/officeDocument/2006/relationships/hyperlink" Id="rId30"/>
    <Relationship TargetMode="External" Target="https://www.legis.iowa.gov/docs/ico/chapter/105.pdf" Type="http://schemas.openxmlformats.org/officeDocument/2006/relationships/hyperlink" Id="rId31"/>
    <Relationship TargetMode="External" Target="https://www.legis.iowa.gov/docs/iac/rule/641.29.2.pdf" Type="http://schemas.openxmlformats.org/officeDocument/2006/relationships/hyperlink" Id="rId32"/>
    <Relationship TargetMode="External" Target="https://www.legis.iowa.gov/docs/iac/rule/641.29.2.pdf" Type="http://schemas.openxmlformats.org/officeDocument/2006/relationships/hyperlink" Id="rId33"/>
    <Relationship TargetMode="External" Target="https://www.legis.iowa.gov/docs/iac/rule/641.23.7.pdf" Type="http://schemas.openxmlformats.org/officeDocument/2006/relationships/hyperlink" Id="rId34"/>
    <Relationship TargetMode="External" Target="https://www.legis.iowa.gov/docs/ico/chapter/105.pdf" Type="http://schemas.openxmlformats.org/officeDocument/2006/relationships/hyperlink" Id="rId35"/>
    <Relationship TargetMode="External" Target="https://www.legis.iowa.gov/docs/iac/rule/641.28.1.pdf" Type="http://schemas.openxmlformats.org/officeDocument/2006/relationships/hyperlink" Id="rId36"/>
    <Relationship TargetMode="External" Target="https://www.legis.iowa.gov/docs/iac/rule/641.30.2.pdf" Type="http://schemas.openxmlformats.org/officeDocument/2006/relationships/hyperlink" Id="rId37"/>
    <Relationship TargetMode="External" Target="https://www.legis.iowa.gov/docs/iac/chapter/641.28.pdf" Type="http://schemas.openxmlformats.org/officeDocument/2006/relationships/hyperlink" Id="rId38"/>
    <Relationship TargetMode="External" Target="https://www.legis.iowa.gov/docs/ico/chapter/105.pdf" Type="http://schemas.openxmlformats.org/officeDocument/2006/relationships/hyperlink" Id="rId3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