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PRACTICE OF TATTOOING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210" w:after="0"/>
        <w:ind w:left="120"/>
        <w:jc w:val="both"/>
      </w:pPr>
      <w:r>
        <w:rPr>
          <w:rFonts w:ascii="Times New Roman" w:hAnsi="Times New Roman"/>
          <w:b/>
          <w:i w:val="false"/>
          <w:color w:val="000000"/>
          <w:sz w:val="22"/>
        </w:rPr>
        <w:t>641—22.1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641—22.2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“Aftercare” </w:t>
      </w:r>
      <w:r>
        <w:rPr>
          <w:rFonts w:ascii="Times New Roman" w:hAnsi="Times New Roman"/>
          <w:b w:val="false"/>
          <w:i w:val="false"/>
          <w:color w:val="000000"/>
          <w:sz w:val="22"/>
        </w:rPr>
        <w:t>means written instructions given to a client, specific to the procedures rendered, on care for the tattoo and surrounding area and guidance on when to seek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10A.101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10A.101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“Disinfectant” </w:t>
      </w:r>
      <w:r>
        <w:rPr>
          <w:rFonts w:ascii="Times New Roman" w:hAnsi="Times New Roman"/>
          <w:b w:val="false"/>
          <w:i w:val="false"/>
          <w:color w:val="000000"/>
          <w:sz w:val="22"/>
        </w:rPr>
        <w:t>means a U.S. Environmental Protection Agency (EPA)-registered antimicrobial product that is applied to surfaces to destroy microorganisms that are living on the surface but not necessarily bacterial spores.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“Imminent health threat” </w:t>
      </w:r>
      <w:r>
        <w:rPr>
          <w:rFonts w:ascii="Times New Roman" w:hAnsi="Times New Roman"/>
          <w:b w:val="false"/>
          <w:i w:val="false"/>
          <w:color w:val="000000"/>
          <w:sz w:val="22"/>
        </w:rPr>
        <w:t>means a condition or conditions that exist in a tattoo establishment and need immediate action to prevent endangering the health of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“Impervious” </w:t>
      </w:r>
      <w:r>
        <w:rPr>
          <w:rFonts w:ascii="Times New Roman" w:hAnsi="Times New Roman"/>
          <w:b w:val="false"/>
          <w:i w:val="false"/>
          <w:color w:val="000000"/>
          <w:sz w:val="22"/>
        </w:rPr>
        <w:t>means nonporous, impenetrable, smooth, and washable.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agency” </w:t>
      </w:r>
      <w:r>
        <w:rPr>
          <w:rFonts w:ascii="Times New Roman" w:hAnsi="Times New Roman"/>
          <w:b w:val="false"/>
          <w:i w:val="false"/>
          <w:color w:val="000000"/>
          <w:sz w:val="22"/>
        </w:rPr>
        <w:t>means the department or a city, county or district board of health that has executed an agreement with the department to inspect tattoo establishments and enforce these rules. The authority of a city, county or district board of health is limited to the geographic area defined in the agreement executed with the department. Within the defined geographic area, the city, county or district board of health is the “local inspection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tattoo unit” </w:t>
      </w:r>
      <w:r>
        <w:rPr>
          <w:rFonts w:ascii="Times New Roman" w:hAnsi="Times New Roman"/>
          <w:b w:val="false"/>
          <w:i w:val="false"/>
          <w:color w:val="000000"/>
          <w:sz w:val="22"/>
        </w:rPr>
        <w:t>means a mobile establishment or unit that is self-propelled or otherwise movable from place to place; is self-sufficient for utilities such as gas, water, electricity and liquid waste disposal; and operates at a fixed location where a permitted artist performs tattooing procedures for no more than 14 days in conjunction with a single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dwelling” </w:t>
      </w:r>
      <w:r>
        <w:rPr>
          <w:rFonts w:ascii="Times New Roman" w:hAnsi="Times New Roman"/>
          <w:b w:val="false"/>
          <w:i w:val="false"/>
          <w:color w:val="000000"/>
          <w:sz w:val="22"/>
        </w:rPr>
        <w:t>is a place or structure intended to be occupied as a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 use” </w:t>
      </w:r>
      <w:r>
        <w:rPr>
          <w:rFonts w:ascii="Times New Roman" w:hAnsi="Times New Roman"/>
          <w:b w:val="false"/>
          <w:i w:val="false"/>
          <w:color w:val="000000"/>
          <w:sz w:val="22"/>
        </w:rPr>
        <w:t>means intended for one-time use and disposed of after use on a client. Single-use products or items include cotton swabs or balls, tissues or paper products, paper or plastic cups, gauze and sanitary coverings, disposable razors, tattoo needles, scalpel blades, stencils, ink cups, and protective gloves. Cloth towels and linens are not “single use” and are barred.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“Sterilization” </w:t>
      </w:r>
      <w:r>
        <w:rPr>
          <w:rFonts w:ascii="Times New Roman" w:hAnsi="Times New Roman"/>
          <w:b w:val="false"/>
          <w:i w:val="false"/>
          <w:color w:val="000000"/>
          <w:sz w:val="22"/>
        </w:rPr>
        <w:t>means a process resulting in the destruction of all forms of microbial life, including highly resistant bacterial spores that demonstrate tuberculocidal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“Tattoo artist” </w:t>
      </w:r>
      <w:r>
        <w:rPr>
          <w:rFonts w:ascii="Times New Roman" w:hAnsi="Times New Roman"/>
          <w:b w:val="false"/>
          <w:i w:val="false"/>
          <w:color w:val="000000"/>
          <w:sz w:val="22"/>
        </w:rPr>
        <w:t>means any person, including a permanent color technologist, engaged in the practice of tattooing.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“Tattoo establishment” </w:t>
      </w:r>
      <w:r>
        <w:rPr>
          <w:rFonts w:ascii="Times New Roman" w:hAnsi="Times New Roman"/>
          <w:b w:val="false"/>
          <w:i w:val="false"/>
          <w:color w:val="000000"/>
          <w:sz w:val="22"/>
        </w:rPr>
        <w:t>means the building or portion of the building designated by the owner where tattooing is practiced.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“Tattooing” </w:t>
      </w:r>
      <w:r>
        <w:rPr>
          <w:rFonts w:ascii="Times New Roman" w:hAnsi="Times New Roman"/>
          <w:b w:val="false"/>
          <w:i w:val="false"/>
          <w:color w:val="000000"/>
          <w:sz w:val="22"/>
        </w:rPr>
        <w:t>means to puncture the skin of a person with a needle and insert indelible permanent colors through the puncture to leave permanent marks or designs. “Tattooing” includes permanent color technology that is the process by which the skin is marked or colored by insertion of nontoxic dyes or pigments into the dermis portion of the skin so as to form indelible marks for cosmetic purposes. “Tattooing” does not include applying a tattoo for radiological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establishment permit” </w:t>
      </w:r>
      <w:r>
        <w:rPr>
          <w:rFonts w:ascii="Times New Roman" w:hAnsi="Times New Roman"/>
          <w:b w:val="false"/>
          <w:i w:val="false"/>
          <w:color w:val="000000"/>
          <w:sz w:val="22"/>
        </w:rPr>
        <w:t>means a permit issued by the department to perform tattoo procedures at a temporary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event” </w:t>
      </w:r>
      <w:r>
        <w:rPr>
          <w:rFonts w:ascii="Times New Roman" w:hAnsi="Times New Roman"/>
          <w:b w:val="false"/>
          <w:i w:val="false"/>
          <w:color w:val="000000"/>
          <w:sz w:val="22"/>
        </w:rPr>
        <w:t>means any place or premises operating at a fixed location where a tattoo artist performs tattooing procedures for no more than 14 days consecutively in conjunction with a single event or celebration to which the general public is invited.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641—22.3</w:t>
      </w:r>
      <w:r>
        <w:rPr>
          <w:rFonts w:ascii="Times New Roman" w:hAnsi="Times New Roman"/>
          <w:b/>
          <w:i w:val="false"/>
          <w:color w:val="000000"/>
          <w:sz w:val="22"/>
        </w:rPr>
        <w:t xml:space="preserve">(10A)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 xml:space="preserve">Tattoo artists and tattoo establishments that fail to meet the criteria of Iowa Code section </w:t>
      </w:r>
      <w:hyperlink r:id="rId7">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 xml:space="preserve"> or these rules are guilty of a serious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Iowa Code section </w:t>
      </w:r>
      <w:hyperlink r:id="rId8">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 xml:space="preserve"> and these rules does not exempt tattoo artists and tattoo establishments from other applicable state or local laws.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val="false"/>
          <w:color w:val="000000"/>
          <w:sz w:val="22"/>
        </w:rPr>
        <w:t xml:space="preserve">Tattooing may only be practiced in facilities that have applied for and received a tattoo establishment permit pursuant to Iowa Code section </w:t>
      </w:r>
      <w:hyperlink r:id="rId9">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 xml:space="preserve">. Tattooing performed in the practice of medicine by a physician, surgeon, osteopathic physician or surgeon, or other qualified licensed or certified nonphysician persons to whom a physician, surgeon, osteopathic physician or surgeon has appropriately delegated pursuant to </w:t>
      </w:r>
      <w:hyperlink r:id="rId10">
        <w:r>
          <w:rPr>
            <w:rStyle w:val="Hyperlink"/>
            <w:rFonts w:ascii="Times New Roman" w:hAnsi="Times New Roman"/>
            <w:b w:val="false"/>
            <w:i w:val="false"/>
            <w:color w:val="000000"/>
            <w:sz w:val="22"/>
          </w:rPr>
          <w:t>653—Chapter 13</w:t>
        </w:r>
      </w:hyperlink>
      <w:r>
        <w:rPr>
          <w:rFonts w:ascii="Times New Roman" w:hAnsi="Times New Roman"/>
          <w:b w:val="false"/>
          <w:i w:val="false"/>
          <w:color w:val="000000"/>
          <w:sz w:val="22"/>
        </w:rPr>
        <w:t xml:space="preserve"> does not require a permit pursuant to Iowa Code section </w:t>
      </w:r>
      <w:hyperlink r:id="rId11">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w:t>
      </w:r>
      <w:r>
        <w:rPr>
          <w:rFonts w:ascii="Times New Roman" w:hAnsi="Times New Roman"/>
          <w:b w:val="false"/>
          <w:i w:val="false"/>
          <w:color w:val="000000"/>
          <w:sz w:val="22"/>
        </w:rPr>
        <w:t> </w:t>
      </w:r>
      <w:r>
        <w:rPr>
          <w:rFonts w:ascii="Times New Roman" w:hAnsi="Times New Roman"/>
          <w:b w:val="false"/>
          <w:i w:val="false"/>
          <w:color w:val="000000"/>
          <w:sz w:val="22"/>
        </w:rPr>
        <w:t>Notwithstanding local zoning codes, where zoning codes exist, tattooing shall not be practiced in a residential dwelling, inclusive of an attached garage. New tattoo establishments must be in commercial buildings where zoning ordinances exist. A waiver will be granted to any tattoo establishment in a residential dwelling if it has been operating continuously since being granted a permit prior to January 1,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22.3(5)</w:t>
      </w:r>
      <w:r>
        <w:rPr>
          <w:rFonts w:ascii="Times New Roman" w:hAnsi="Times New Roman"/>
          <w:b w:val="false"/>
          <w:i w:val="false"/>
          <w:color w:val="000000"/>
          <w:sz w:val="22"/>
        </w:rPr>
        <w:t> </w:t>
      </w:r>
      <w:r>
        <w:rPr>
          <w:rFonts w:ascii="Times New Roman" w:hAnsi="Times New Roman"/>
          <w:b w:val="false"/>
          <w:i w:val="false"/>
          <w:color w:val="000000"/>
          <w:sz w:val="22"/>
        </w:rPr>
        <w:t>Tattoo establishments are inspected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641—22.4</w:t>
      </w:r>
      <w:r>
        <w:rPr>
          <w:rFonts w:ascii="Times New Roman" w:hAnsi="Times New Roman"/>
          <w:b/>
          <w:i w:val="false"/>
          <w:color w:val="000000"/>
          <w:sz w:val="22"/>
        </w:rPr>
        <w:t xml:space="preserve">(10A) </w:t>
      </w:r>
      <w:r>
        <w:rPr>
          <w:rFonts w:ascii="Times New Roman" w:hAnsi="Times New Roman"/>
          <w:b/>
          <w:i w:val="false"/>
          <w:color w:val="000000"/>
          <w:sz w:val="22"/>
        </w:rPr>
        <w:t xml:space="preserve">Sanitation and infection control. </w:t>
      </w:r>
      <w:r>
        <w:rPr>
          <w:rFonts w:ascii="Times New Roman" w:hAnsi="Times New Roman"/>
          <w:b w:val="false"/>
          <w:i w:val="false"/>
          <w:color w:val="000000"/>
          <w:sz w:val="22"/>
        </w:rPr>
        <w:t>Tattoo establishments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Tables, chairs, and other general-use equipment in the tattoo area are constructed of impervious and easily cleanable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A sink for hand washing supplied with potable hot and cold running water under pressure to a mixing-type faucet is easily accessible in the tattooing area. Hand-washing facilities are supplied with liquid soap and single-use towels or hand dryer.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val="false"/>
          <w:color w:val="000000"/>
          <w:sz w:val="22"/>
        </w:rPr>
        <w:t>Easily accessible toilet facilities with a sink for hand washing are available for employee use and patron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w:t>
      </w:r>
      <w:r>
        <w:rPr>
          <w:rFonts w:ascii="Times New Roman" w:hAnsi="Times New Roman"/>
          <w:b w:val="false"/>
          <w:i w:val="false"/>
          <w:color w:val="000000"/>
          <w:sz w:val="22"/>
        </w:rPr>
        <w:t> </w:t>
      </w:r>
      <w:r>
        <w:rPr>
          <w:rFonts w:ascii="Times New Roman" w:hAnsi="Times New Roman"/>
          <w:b w:val="false"/>
          <w:i w:val="false"/>
          <w:color w:val="000000"/>
          <w:sz w:val="22"/>
        </w:rPr>
        <w:t>The tattoo establishment has an area of at least 300 square feet and is adequately lighted and ventilated.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22.4(5)</w:t>
      </w:r>
      <w:r>
        <w:rPr>
          <w:rFonts w:ascii="Times New Roman" w:hAnsi="Times New Roman"/>
          <w:b w:val="false"/>
          <w:i w:val="false"/>
          <w:color w:val="000000"/>
          <w:sz w:val="22"/>
        </w:rPr>
        <w:t> </w:t>
      </w:r>
      <w:r>
        <w:rPr>
          <w:rFonts w:ascii="Times New Roman" w:hAnsi="Times New Roman"/>
          <w:b w:val="false"/>
          <w:i w:val="false"/>
          <w:color w:val="000000"/>
          <w:sz w:val="22"/>
        </w:rPr>
        <w:t>Floors in the tattoo area are finished with an impervious, washable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22.4(6)</w:t>
      </w:r>
      <w:r>
        <w:rPr>
          <w:rFonts w:ascii="Times New Roman" w:hAnsi="Times New Roman"/>
          <w:b w:val="false"/>
          <w:i w:val="false"/>
          <w:color w:val="000000"/>
          <w:sz w:val="22"/>
        </w:rPr>
        <w:t> </w:t>
      </w:r>
      <w:r>
        <w:rPr>
          <w:rFonts w:ascii="Times New Roman" w:hAnsi="Times New Roman"/>
          <w:b w:val="false"/>
          <w:i w:val="false"/>
          <w:color w:val="000000"/>
          <w:sz w:val="22"/>
        </w:rPr>
        <w:t>The entire premises and all facilities used in connection therewith are maintained in a clean, sanitary, vermin-free condition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22.4(7)</w:t>
      </w:r>
      <w:r>
        <w:rPr>
          <w:rFonts w:ascii="Times New Roman" w:hAnsi="Times New Roman"/>
          <w:b w:val="false"/>
          <w:i w:val="false"/>
          <w:color w:val="000000"/>
          <w:sz w:val="22"/>
        </w:rPr>
        <w:t> </w:t>
      </w:r>
      <w:r>
        <w:rPr>
          <w:rFonts w:ascii="Times New Roman" w:hAnsi="Times New Roman"/>
          <w:b w:val="false"/>
          <w:i w:val="false"/>
          <w:color w:val="000000"/>
          <w:sz w:val="22"/>
        </w:rPr>
        <w:t>All refuse is stored in rigid containers with plastic liners that are emptied at least once each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22.4(8)</w:t>
      </w:r>
      <w:r>
        <w:rPr>
          <w:rFonts w:ascii="Times New Roman" w:hAnsi="Times New Roman"/>
          <w:b w:val="false"/>
          <w:i w:val="false"/>
          <w:color w:val="000000"/>
          <w:sz w:val="22"/>
        </w:rPr>
        <w:t> </w:t>
      </w:r>
      <w:r>
        <w:rPr>
          <w:rFonts w:ascii="Times New Roman" w:hAnsi="Times New Roman"/>
          <w:b w:val="false"/>
          <w:i w:val="false"/>
          <w:color w:val="000000"/>
          <w:sz w:val="22"/>
        </w:rPr>
        <w:t>Closed cabinets or containers are exclusively used for the storage of instruments, dyes, pigments, stencils, tattoo machines, and other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22.4(9)</w:t>
      </w:r>
      <w:r>
        <w:rPr>
          <w:rFonts w:ascii="Times New Roman" w:hAnsi="Times New Roman"/>
          <w:b w:val="false"/>
          <w:i w:val="false"/>
          <w:color w:val="000000"/>
          <w:sz w:val="22"/>
        </w:rPr>
        <w:t> </w:t>
      </w:r>
      <w:r>
        <w:rPr>
          <w:rFonts w:ascii="Times New Roman" w:hAnsi="Times New Roman"/>
          <w:b w:val="false"/>
          <w:i w:val="false"/>
          <w:color w:val="000000"/>
          <w:sz w:val="22"/>
        </w:rPr>
        <w:t xml:space="preserve">Smoking is not allowed pursuant to Iowa Code chapter </w:t>
      </w:r>
      <w:hyperlink r:id="rId12">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22.4(10)</w:t>
      </w:r>
      <w:r>
        <w:rPr>
          <w:rFonts w:ascii="Times New Roman" w:hAnsi="Times New Roman"/>
          <w:b w:val="false"/>
          <w:i w:val="false"/>
          <w:color w:val="000000"/>
          <w:sz w:val="22"/>
        </w:rPr>
        <w:t> </w:t>
      </w:r>
      <w:r>
        <w:rPr>
          <w:rFonts w:ascii="Times New Roman" w:hAnsi="Times New Roman"/>
          <w:b w:val="false"/>
          <w:i w:val="false"/>
          <w:color w:val="000000"/>
          <w:sz w:val="22"/>
        </w:rPr>
        <w:t>Consumption of food or drink is not allowed in the tattoo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22.4(11)</w:t>
      </w:r>
      <w:r>
        <w:rPr>
          <w:rFonts w:ascii="Times New Roman" w:hAnsi="Times New Roman"/>
          <w:b w:val="false"/>
          <w:i w:val="false"/>
          <w:color w:val="000000"/>
          <w:sz w:val="22"/>
        </w:rPr>
        <w:t> </w:t>
      </w:r>
      <w:r>
        <w:rPr>
          <w:rFonts w:ascii="Times New Roman" w:hAnsi="Times New Roman"/>
          <w:b w:val="false"/>
          <w:i w:val="false"/>
          <w:color w:val="000000"/>
          <w:sz w:val="22"/>
        </w:rPr>
        <w:t>Intoxicating beverages or controlled substances will not be used, consumed, served, possessed, or distributed on the establishment’s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22.4(12)</w:t>
      </w:r>
      <w:r>
        <w:rPr>
          <w:rFonts w:ascii="Times New Roman" w:hAnsi="Times New Roman"/>
          <w:b w:val="false"/>
          <w:i w:val="false"/>
          <w:color w:val="000000"/>
          <w:sz w:val="22"/>
        </w:rPr>
        <w:t> </w:t>
      </w:r>
      <w:r>
        <w:rPr>
          <w:rFonts w:ascii="Times New Roman" w:hAnsi="Times New Roman"/>
          <w:b w:val="false"/>
          <w:i w:val="false"/>
          <w:color w:val="000000"/>
          <w:sz w:val="22"/>
        </w:rPr>
        <w:t>Tattoo artists not currently permitted in the state of Iowa will not tattoo in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22.4(13)</w:t>
      </w:r>
      <w:r>
        <w:rPr>
          <w:rFonts w:ascii="Times New Roman" w:hAnsi="Times New Roman"/>
          <w:b w:val="false"/>
          <w:i w:val="false"/>
          <w:color w:val="000000"/>
          <w:sz w:val="22"/>
        </w:rPr>
        <w:t> </w:t>
      </w:r>
      <w:r>
        <w:rPr>
          <w:rFonts w:ascii="Times New Roman" w:hAnsi="Times New Roman"/>
          <w:b w:val="false"/>
          <w:i w:val="false"/>
          <w:color w:val="000000"/>
          <w:sz w:val="22"/>
        </w:rPr>
        <w:t>No animals, except service animals, are permitted in a tattoo establishment. Aquariums containing fish are allowed in waiting rooms and non-tattoo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641—22.5</w:t>
      </w:r>
      <w:r>
        <w:rPr>
          <w:rFonts w:ascii="Times New Roman" w:hAnsi="Times New Roman"/>
          <w:b/>
          <w:i w:val="false"/>
          <w:color w:val="000000"/>
          <w:sz w:val="22"/>
        </w:rPr>
        <w:t xml:space="preserve">(10A) </w:t>
      </w:r>
      <w:r>
        <w:rPr>
          <w:rFonts w:ascii="Times New Roman" w:hAnsi="Times New Roman"/>
          <w:b/>
          <w:i w:val="false"/>
          <w:color w:val="000000"/>
          <w:sz w:val="22"/>
        </w:rPr>
        <w:t xml:space="preserve">Equipment. </w:t>
      </w:r>
      <w:r>
        <w:rPr>
          <w:rFonts w:ascii="Times New Roman" w:hAnsi="Times New Roman"/>
          <w:b w:val="false"/>
          <w:i w:val="false"/>
          <w:color w:val="000000"/>
          <w:sz w:val="22"/>
        </w:rPr>
        <w:t>Tattoo establishments shall maintain equipment in a clean and sanitary condition and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val="false"/>
          <w:color w:val="000000"/>
          <w:sz w:val="22"/>
        </w:rPr>
        <w:t>Cups to hold ink or dye are for single-patron use. Any ink or dye, once dispensed into an ink cup, is disposed of immediately following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val="false"/>
          <w:color w:val="000000"/>
          <w:sz w:val="22"/>
        </w:rPr>
        <w:t>Any dye or ink in which needles were dipped is not used on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w:t>
      </w:r>
      <w:r>
        <w:rPr>
          <w:rFonts w:ascii="Times New Roman" w:hAnsi="Times New Roman"/>
          <w:b w:val="false"/>
          <w:i w:val="false"/>
          <w:color w:val="000000"/>
          <w:sz w:val="22"/>
        </w:rPr>
        <w:t> </w:t>
      </w:r>
      <w:r>
        <w:rPr>
          <w:rFonts w:ascii="Times New Roman" w:hAnsi="Times New Roman"/>
          <w:b w:val="false"/>
          <w:i w:val="false"/>
          <w:color w:val="000000"/>
          <w:sz w:val="22"/>
        </w:rPr>
        <w:t>All tubes, tips and grips used for the tattoo procedure that are not sterile, not for single-patron use, and not disposable are physically cleaned with a detergent according to manufacturers’ recommendations and then steam-sterilized or dry-heat sterilized before use on another person. Steam sterilization is at 250 degrees Fahrenheit (121 degrees Celsius) for 15 minutes at a minimum pressure of 15 pounds per square inch. Dry-heat sterilization is at 350 degrees Fahrenheit (170 degrees Celsius) for one hour. Steam sterilization is preferred.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w:t>
      </w:r>
      <w:r>
        <w:rPr>
          <w:rFonts w:ascii="Times New Roman" w:hAnsi="Times New Roman"/>
          <w:b w:val="false"/>
          <w:i w:val="false"/>
          <w:color w:val="000000"/>
          <w:sz w:val="22"/>
        </w:rPr>
        <w:t> </w:t>
      </w:r>
      <w:r>
        <w:rPr>
          <w:rFonts w:ascii="Times New Roman" w:hAnsi="Times New Roman"/>
          <w:b w:val="false"/>
          <w:i w:val="false"/>
          <w:color w:val="000000"/>
          <w:sz w:val="22"/>
        </w:rPr>
        <w:t>All instruments needing sterilization are sterilized on site. All instruments to be sterilized are placed in closed pouches after sterilization is complete. The pouches are dated effective for 30 days, after which the instruments are resterilized and the pouches redated.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w:t>
      </w:r>
      <w:r>
        <w:rPr>
          <w:rFonts w:ascii="Times New Roman" w:hAnsi="Times New Roman"/>
          <w:b w:val="false"/>
          <w:i w:val="false"/>
          <w:color w:val="000000"/>
          <w:sz w:val="22"/>
        </w:rPr>
        <w:t> </w:t>
      </w:r>
      <w:r>
        <w:rPr>
          <w:rFonts w:ascii="Times New Roman" w:hAnsi="Times New Roman"/>
          <w:b w:val="false"/>
          <w:i w:val="false"/>
          <w:color w:val="000000"/>
          <w:sz w:val="22"/>
        </w:rPr>
        <w:t>Sterilizers are monitored monthly for spores of Bacillus subtilis, and records of results are maintained for three years. Written procedures to follow in the event of positive spore tests are maintained and implemented,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event of a positive spore test, materials processed in that sterilizer, dating from the sterilization cycle having the positive biological indicator to the next cycle showing satisfactory biologic indicator challenge results, are considered nonsterile and are reprocessed before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sterilizer that has received a positive spore test is immediately removed from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putting a sterilizer that has received a positive spore test back into service, the owner ensures that there is evidence of one negative spore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notifies the inspection agency of a positive spore test within 24 hours of receiving the test result.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22.5(6)</w:t>
      </w:r>
      <w:r>
        <w:rPr>
          <w:rFonts w:ascii="Times New Roman" w:hAnsi="Times New Roman"/>
          <w:b w:val="false"/>
          <w:i w:val="false"/>
          <w:color w:val="000000"/>
          <w:sz w:val="22"/>
        </w:rPr>
        <w:t> </w:t>
      </w:r>
      <w:r>
        <w:rPr>
          <w:rFonts w:ascii="Times New Roman" w:hAnsi="Times New Roman"/>
          <w:b w:val="false"/>
          <w:i w:val="false"/>
          <w:color w:val="000000"/>
          <w:sz w:val="22"/>
        </w:rPr>
        <w:t>Establishments are equipped with a puncture-resistant, leakproof container designated for disposal of used needles and other sharps. The container is red and labeled with the “biohazard” symbol and is closeable for handling, storage, transportation, and disposal. A written plan for disposal is maintained in the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22.5(7)</w:t>
      </w:r>
      <w:r>
        <w:rPr>
          <w:rFonts w:ascii="Times New Roman" w:hAnsi="Times New Roman"/>
          <w:b w:val="false"/>
          <w:i w:val="false"/>
          <w:color w:val="000000"/>
          <w:sz w:val="22"/>
        </w:rPr>
        <w:t> </w:t>
      </w:r>
      <w:r>
        <w:rPr>
          <w:rFonts w:ascii="Times New Roman" w:hAnsi="Times New Roman"/>
          <w:b w:val="false"/>
          <w:i w:val="false"/>
          <w:color w:val="000000"/>
          <w:sz w:val="22"/>
        </w:rPr>
        <w:t>Any bottles of solution are labeled as to contents and used according to manufacturers’ directions.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22.5(8)</w:t>
      </w:r>
      <w:r>
        <w:rPr>
          <w:rFonts w:ascii="Times New Roman" w:hAnsi="Times New Roman"/>
          <w:b w:val="false"/>
          <w:i w:val="false"/>
          <w:color w:val="000000"/>
          <w:sz w:val="22"/>
        </w:rPr>
        <w:t> </w:t>
      </w:r>
      <w:r>
        <w:rPr>
          <w:rFonts w:ascii="Times New Roman" w:hAnsi="Times New Roman"/>
          <w:b w:val="false"/>
          <w:i w:val="false"/>
          <w:color w:val="000000"/>
          <w:sz w:val="22"/>
        </w:rPr>
        <w:t>Single-use razors for removal of unwanted hair are disposed of after use on one patron. Electric razors used to remove unwanted hair of a patron are cleaned with a brush and fungicidal/tuberculocidal disinfectant spray.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22.5(9)</w:t>
      </w:r>
      <w:r>
        <w:rPr>
          <w:rFonts w:ascii="Times New Roman" w:hAnsi="Times New Roman"/>
          <w:b w:val="false"/>
          <w:i w:val="false"/>
          <w:color w:val="000000"/>
          <w:sz w:val="22"/>
        </w:rPr>
        <w:t> </w:t>
      </w:r>
      <w:r>
        <w:rPr>
          <w:rFonts w:ascii="Times New Roman" w:hAnsi="Times New Roman"/>
          <w:b w:val="false"/>
          <w:i w:val="false"/>
          <w:color w:val="000000"/>
          <w:sz w:val="22"/>
        </w:rPr>
        <w:t>Topical ointments are prepared for single-patron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641—22.6</w:t>
      </w:r>
      <w:r>
        <w:rPr>
          <w:rFonts w:ascii="Times New Roman" w:hAnsi="Times New Roman"/>
          <w:b/>
          <w:i w:val="false"/>
          <w:color w:val="000000"/>
          <w:sz w:val="22"/>
        </w:rPr>
        <w:t xml:space="preserve">(10A) </w:t>
      </w:r>
      <w:r>
        <w:rPr>
          <w:rFonts w:ascii="Times New Roman" w:hAnsi="Times New Roman"/>
          <w:b/>
          <w:i w:val="false"/>
          <w:color w:val="000000"/>
          <w:sz w:val="22"/>
        </w:rPr>
        <w:t xml:space="preserve">Procedures. </w:t>
      </w:r>
      <w:r>
        <w:rPr>
          <w:rFonts w:ascii="Times New Roman" w:hAnsi="Times New Roman"/>
          <w:b w:val="false"/>
          <w:i w:val="false"/>
          <w:color w:val="000000"/>
          <w:sz w:val="22"/>
        </w:rPr>
        <w:t>Tattoo establishments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val="false"/>
          <w:color w:val="000000"/>
          <w:sz w:val="22"/>
        </w:rPr>
        <w:t>Tattoo establishments will establish a written standard operating procedure (SOP) that includes the process for setup and tear down of tattoo procedures. The SOP focuses on procedures of hygiene and cross-contamination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privacy purposes and at the patron’s request, establishments have in place or readily available a nontransparent panel or other barrier of sufficient height and width to effectively separate the patron from any unwanted observers or waiting patrons.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22.6(3)</w:t>
      </w:r>
      <w:r>
        <w:rPr>
          <w:rFonts w:ascii="Times New Roman" w:hAnsi="Times New Roman"/>
          <w:b w:val="false"/>
          <w:i w:val="false"/>
          <w:color w:val="000000"/>
          <w:sz w:val="22"/>
        </w:rPr>
        <w:t> </w:t>
      </w:r>
      <w:r>
        <w:rPr>
          <w:rFonts w:ascii="Times New Roman" w:hAnsi="Times New Roman"/>
          <w:b w:val="false"/>
          <w:i w:val="false"/>
          <w:color w:val="000000"/>
          <w:sz w:val="22"/>
        </w:rPr>
        <w:t>Tattoo artists scrub their hands thoroughly before beginning the tattoo procedure. Tattoo artists dry their hands with individual single-use towels or hand dryer.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w:t>
      </w:r>
      <w:r>
        <w:rPr>
          <w:rFonts w:ascii="Times New Roman" w:hAnsi="Times New Roman"/>
          <w:b w:val="false"/>
          <w:i w:val="false"/>
          <w:color w:val="000000"/>
          <w:sz w:val="22"/>
        </w:rPr>
        <w:t> </w:t>
      </w:r>
      <w:r>
        <w:rPr>
          <w:rFonts w:ascii="Times New Roman" w:hAnsi="Times New Roman"/>
          <w:b w:val="false"/>
          <w:i w:val="false"/>
          <w:color w:val="000000"/>
          <w:sz w:val="22"/>
        </w:rPr>
        <w:t>Tattoo artists wear clean garments and disposable latex, nitrile, chloroprene, or vinyl gloves during the tattoo procedure. Gloves are changed after each tattoo. Tattoo artists wash their hands before and after each tattoo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w:t>
      </w:r>
      <w:r>
        <w:rPr>
          <w:rFonts w:ascii="Times New Roman" w:hAnsi="Times New Roman"/>
          <w:b w:val="false"/>
          <w:i w:val="false"/>
          <w:color w:val="000000"/>
          <w:sz w:val="22"/>
        </w:rPr>
        <w:t> </w:t>
      </w:r>
      <w:r>
        <w:rPr>
          <w:rFonts w:ascii="Times New Roman" w:hAnsi="Times New Roman"/>
          <w:b w:val="false"/>
          <w:i w:val="false"/>
          <w:color w:val="000000"/>
          <w:sz w:val="22"/>
        </w:rPr>
        <w:t>All items with which the gloved hands of the tattoo artist would normally come into contact during the tattooing procedure have appropriate barrier films covering them, including clip cords, squeeze bottles, seat adjustment controls, power control dials or buttons, and work lamps.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22.6(6)</w:t>
      </w:r>
      <w:r>
        <w:rPr>
          <w:rFonts w:ascii="Times New Roman" w:hAnsi="Times New Roman"/>
          <w:b w:val="false"/>
          <w:i w:val="false"/>
          <w:color w:val="000000"/>
          <w:sz w:val="22"/>
        </w:rPr>
        <w:t> </w:t>
      </w:r>
      <w:r>
        <w:rPr>
          <w:rFonts w:ascii="Times New Roman" w:hAnsi="Times New Roman"/>
          <w:b w:val="false"/>
          <w:i w:val="false"/>
          <w:color w:val="000000"/>
          <w:sz w:val="22"/>
        </w:rPr>
        <w:t>The skin area to be tattooed is first cleansed with soap and water. Single-use towels or sponges (gauze) are used during the cleansing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22.6(7)</w:t>
      </w:r>
      <w:r>
        <w:rPr>
          <w:rFonts w:ascii="Times New Roman" w:hAnsi="Times New Roman"/>
          <w:b w:val="false"/>
          <w:i w:val="false"/>
          <w:color w:val="000000"/>
          <w:sz w:val="22"/>
        </w:rPr>
        <w:t> </w:t>
      </w:r>
      <w:r>
        <w:rPr>
          <w:rFonts w:ascii="Times New Roman" w:hAnsi="Times New Roman"/>
          <w:b w:val="false"/>
          <w:i w:val="false"/>
          <w:color w:val="000000"/>
          <w:sz w:val="22"/>
        </w:rPr>
        <w:t>Before placing the tattoo design on the patron’s skin, the tattoo artist prepares the skin with 70 percent ethyl or isopropyl alcohol solution or an equally effective antiseptic or antimicrobial.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22.6(8)</w:t>
      </w:r>
      <w:r>
        <w:rPr>
          <w:rFonts w:ascii="Times New Roman" w:hAnsi="Times New Roman"/>
          <w:b w:val="false"/>
          <w:i w:val="false"/>
          <w:color w:val="000000"/>
          <w:sz w:val="22"/>
        </w:rPr>
        <w:t> </w:t>
      </w:r>
      <w:r>
        <w:rPr>
          <w:rFonts w:ascii="Times New Roman" w:hAnsi="Times New Roman"/>
          <w:b w:val="false"/>
          <w:i w:val="false"/>
          <w:color w:val="000000"/>
          <w:sz w:val="22"/>
        </w:rPr>
        <w:t>Tattooing is not performed on any area where there is evidence of skin infection, irritation, or abnormalities.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22.6(9)</w:t>
      </w:r>
      <w:r>
        <w:rPr>
          <w:rFonts w:ascii="Times New Roman" w:hAnsi="Times New Roman"/>
          <w:b w:val="false"/>
          <w:i w:val="false"/>
          <w:color w:val="000000"/>
          <w:sz w:val="22"/>
        </w:rPr>
        <w:t> </w:t>
      </w:r>
      <w:r>
        <w:rPr>
          <w:rFonts w:ascii="Times New Roman" w:hAnsi="Times New Roman"/>
          <w:b w:val="false"/>
          <w:i w:val="false"/>
          <w:color w:val="000000"/>
          <w:sz w:val="22"/>
        </w:rPr>
        <w:t>After the tattooing is completed, the tattoo artist: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Applies an adequate dressing or bandage to the tattoo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Provides to the persons tattooed printed aftercare instructions regarding tattoo care during the healing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Thoroughly cleans the machine head with an acceptable disinfectant and sprays an acceptable surface disinfectant over the work area during the clean-up procedures before the area is set up for the next tattoo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641—22.7</w:t>
      </w:r>
      <w:r>
        <w:rPr>
          <w:rFonts w:ascii="Times New Roman" w:hAnsi="Times New Roman"/>
          <w:b/>
          <w:i w:val="false"/>
          <w:color w:val="000000"/>
          <w:sz w:val="22"/>
        </w:rPr>
        <w:t xml:space="preserve">(10A) </w:t>
      </w:r>
      <w:r>
        <w:rPr>
          <w:rFonts w:ascii="Times New Roman" w:hAnsi="Times New Roman"/>
          <w:b/>
          <w:i w:val="false"/>
          <w:color w:val="000000"/>
          <w:sz w:val="22"/>
        </w:rPr>
        <w:t xml:space="preserve">Permit issuance and renewal. </w:t>
      </w:r>
      <w:r>
        <w:rPr>
          <w:rFonts w:ascii="Times New Roman" w:hAnsi="Times New Roman"/>
          <w:b w:val="false"/>
          <w:i w:val="false"/>
          <w:color w:val="000000"/>
          <w:sz w:val="22"/>
        </w:rPr>
        <w:t>The following apply to applications for a permit to practice as a tattoo artist or as a tattoo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will complete either an online application or a paper application according to the instructions contained in the application. Paper applications are available to download at the department’s website. Each application must be accompanied by the appropriate fee as set forth in subrule </w:t>
      </w:r>
      <w:hyperlink r:id="rId13">
        <w:r>
          <w:rPr>
            <w:rStyle w:val="Hyperlink"/>
            <w:rFonts w:ascii="Times New Roman" w:hAnsi="Times New Roman"/>
            <w:b w:val="false"/>
            <w:i w:val="false"/>
            <w:color w:val="000000"/>
            <w:sz w:val="22"/>
          </w:rPr>
          <w:t>22.8(2)</w:t>
        </w:r>
      </w:hyperlink>
      <w:r>
        <w:rPr>
          <w:rFonts w:ascii="Times New Roman" w:hAnsi="Times New Roman"/>
          <w:b w:val="false"/>
          <w:i w:val="false"/>
          <w:color w:val="000000"/>
          <w:sz w:val="22"/>
        </w:rPr>
        <w:t xml:space="preserve"> to be processed. A paper application is accompanied by the appropriate fee payable by check or money order to the department. Online application fees are paid by credit card only. An application that includes insufficient or incorrect fees is considered incomplete. If the applicant is notified that the application is incomplete, the applicant should contact the department within 90 days. Incomplete applications are considered invalid and destroyed after 90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val="false"/>
          <w:color w:val="000000"/>
          <w:sz w:val="22"/>
        </w:rPr>
        <w:t>Documentation of medical conditions and criminal convictions related to the practice of the profession shall include a full explanation from the applicant. No application is considered complete until the applicant responds to any program requests for additional information regarding the applicant’s medical condition or criminal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w:t>
      </w:r>
      <w:r>
        <w:rPr>
          <w:rFonts w:ascii="Times New Roman" w:hAnsi="Times New Roman"/>
          <w:b w:val="false"/>
          <w:i w:val="false"/>
          <w:color w:val="000000"/>
          <w:sz w:val="22"/>
        </w:rPr>
        <w:t> </w:t>
      </w:r>
      <w:r>
        <w:rPr>
          <w:rFonts w:ascii="Times New Roman" w:hAnsi="Times New Roman"/>
          <w:b w:val="false"/>
          <w:i w:val="false"/>
          <w:color w:val="000000"/>
          <w:sz w:val="22"/>
        </w:rPr>
        <w:t>All permits expire on December 31 for the year issued. An applicant will submit a completed application, supporting documentation, and renewal fee annually by December 1 for renewal. The permit holder has a current permit in possession before performing tattooing. An applicant who submits a renewal application after December 1 will be obligated to pay an additional $25 for each month delinquent.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22.7(4)</w:t>
      </w:r>
      <w:r>
        <w:rPr>
          <w:rFonts w:ascii="Times New Roman" w:hAnsi="Times New Roman"/>
          <w:b w:val="false"/>
          <w:i w:val="false"/>
          <w:color w:val="000000"/>
          <w:sz w:val="22"/>
        </w:rPr>
        <w:t> </w:t>
      </w:r>
      <w:r>
        <w:rPr>
          <w:rFonts w:ascii="Times New Roman" w:hAnsi="Times New Roman"/>
          <w:b w:val="false"/>
          <w:i w:val="false"/>
          <w:color w:val="000000"/>
          <w:sz w:val="22"/>
        </w:rPr>
        <w:t>The permit holder is responsible for renewing the permit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22.7(5)</w:t>
      </w:r>
      <w:r>
        <w:rPr>
          <w:rFonts w:ascii="Times New Roman" w:hAnsi="Times New Roman"/>
          <w:b w:val="false"/>
          <w:i w:val="false"/>
          <w:color w:val="000000"/>
          <w:sz w:val="22"/>
        </w:rPr>
        <w:t> </w:t>
      </w:r>
      <w:r>
        <w:rPr>
          <w:rFonts w:ascii="Times New Roman" w:hAnsi="Times New Roman"/>
          <w:b w:val="false"/>
          <w:i w:val="false"/>
          <w:color w:val="000000"/>
          <w:sz w:val="22"/>
        </w:rPr>
        <w:t>A permit that has not been renewed within 90 days of the permit expiration date will automatically be deactivated. There will be a $25 reinstatement fee charged for reactivating a permit in addition to the renewal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641—22.8</w:t>
      </w:r>
      <w:r>
        <w:rPr>
          <w:rFonts w:ascii="Times New Roman" w:hAnsi="Times New Roman"/>
          <w:b/>
          <w:i w:val="false"/>
          <w:color w:val="000000"/>
          <w:sz w:val="22"/>
        </w:rPr>
        <w:t xml:space="preserve">(10A)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val="false"/>
          <w:color w:val="000000"/>
          <w:sz w:val="22"/>
        </w:rPr>
        <w:t>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val="false"/>
          <w:color w:val="000000"/>
          <w:sz w:val="22"/>
        </w:rPr>
        <w:t>Fees for all initial and renewal applications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Tattoo artist: $75.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Tattoo establishment: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Temporary tattoo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0 to 10 participating artists: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11 to 100 participating artists: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101 or more participating artists: $300.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Mobile tattoo unit: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Mobile tattoo event: $25 per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Tattoo establishment change of ownership: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Tattoo establishment change of location: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Mobile tattoo unit change of location: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641—22.9</w:t>
      </w:r>
      <w:r>
        <w:rPr>
          <w:rFonts w:ascii="Times New Roman" w:hAnsi="Times New Roman"/>
          <w:b/>
          <w:i w:val="false"/>
          <w:color w:val="000000"/>
          <w:sz w:val="22"/>
        </w:rPr>
        <w:t xml:space="preserve">(10A) </w:t>
      </w:r>
      <w:r>
        <w:rPr>
          <w:rFonts w:ascii="Times New Roman" w:hAnsi="Times New Roman"/>
          <w:b/>
          <w:i w:val="false"/>
          <w:color w:val="000000"/>
          <w:sz w:val="22"/>
        </w:rPr>
        <w:t xml:space="preserve">Tattoo establishment permit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val="false"/>
          <w:color w:val="000000"/>
          <w:sz w:val="22"/>
        </w:rPr>
        <w:t>No tattoo establishment may operate in the state without having a permit to operate issued by the department. Permits shall be posted in a conspicuous location in the tattoo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 tattoo establishment permit will submit a floor plan of the establishment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22.9(3)</w:t>
      </w:r>
      <w:r>
        <w:rPr>
          <w:rFonts w:ascii="Times New Roman" w:hAnsi="Times New Roman"/>
          <w:b w:val="false"/>
          <w:i w:val="false"/>
          <w:color w:val="000000"/>
          <w:sz w:val="22"/>
        </w:rPr>
        <w:t> </w:t>
      </w:r>
      <w:r>
        <w:rPr>
          <w:rFonts w:ascii="Times New Roman" w:hAnsi="Times New Roman"/>
          <w:b w:val="false"/>
          <w:i w:val="false"/>
          <w:color w:val="000000"/>
          <w:sz w:val="22"/>
        </w:rPr>
        <w:t>A permit to operate is issued to a new establishment when the department or its representative has successfully completed an on-site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22.9(4)</w:t>
      </w:r>
      <w:r>
        <w:rPr>
          <w:rFonts w:ascii="Times New Roman" w:hAnsi="Times New Roman"/>
          <w:b w:val="false"/>
          <w:i w:val="false"/>
          <w:color w:val="000000"/>
          <w:sz w:val="22"/>
        </w:rPr>
        <w:t> </w:t>
      </w:r>
      <w:r>
        <w:rPr>
          <w:rFonts w:ascii="Times New Roman" w:hAnsi="Times New Roman"/>
          <w:b w:val="false"/>
          <w:i w:val="false"/>
          <w:color w:val="000000"/>
          <w:sz w:val="22"/>
        </w:rPr>
        <w:t>Tattoo establishment permits are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22.9(5)</w:t>
      </w:r>
      <w:r>
        <w:rPr>
          <w:rFonts w:ascii="Times New Roman" w:hAnsi="Times New Roman"/>
          <w:b w:val="false"/>
          <w:i w:val="false"/>
          <w:color w:val="000000"/>
          <w:sz w:val="22"/>
        </w:rPr>
        <w:t> </w:t>
      </w:r>
      <w:r>
        <w:rPr>
          <w:rFonts w:ascii="Times New Roman" w:hAnsi="Times New Roman"/>
          <w:b w:val="false"/>
          <w:i w:val="false"/>
          <w:color w:val="000000"/>
          <w:sz w:val="22"/>
        </w:rPr>
        <w:t>A tattoo establishment shall retain a record of all persons who have had tattoo procedures performed at the establishment. Records include the client’s name and date of birth, copy of client’s identification, date of the procedure, name of the tattoo artist who performed the procedure(s), and signature of client. Records shall be retained in a confidential manner for a minimum of three years and made available to the department or inspection agency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22.9(6)</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in ownership. Within 30 days of a change in ownership of a tattoo establishment, the new owner shall submit a change in ownership application and fee for a new permit. An on-site inspection will be completed before a permit to operate will be issued.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22.9(7)</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change of location of a tattoo establishment, the owner shall submit a change of location application and a fee for a new permit. An on-site inspection will be completed by the inspection agency before a permit to operate will be issued.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641—22.10</w:t>
      </w:r>
      <w:r>
        <w:rPr>
          <w:rFonts w:ascii="Times New Roman" w:hAnsi="Times New Roman"/>
          <w:b/>
          <w:i w:val="false"/>
          <w:color w:val="000000"/>
          <w:sz w:val="22"/>
        </w:rPr>
        <w:t xml:space="preserve">(10A) </w:t>
      </w:r>
      <w:r>
        <w:rPr>
          <w:rFonts w:ascii="Times New Roman" w:hAnsi="Times New Roman"/>
          <w:b/>
          <w:i w:val="false"/>
          <w:color w:val="000000"/>
          <w:sz w:val="22"/>
        </w:rPr>
        <w:t xml:space="preserve">Tattoo artist permit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may perform tattooing without a current permit to operate issued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val="false"/>
          <w:color w:val="000000"/>
          <w:sz w:val="22"/>
        </w:rPr>
        <w:t>Each permit issued is in effect solely for the tattoo artist named thereon and remains with the tattoo artist upon any change of employment. Tattoo artist permits are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22.10(3)</w:t>
      </w:r>
      <w:r>
        <w:rPr>
          <w:rFonts w:ascii="Times New Roman" w:hAnsi="Times New Roman"/>
          <w:b w:val="false"/>
          <w:i w:val="false"/>
          <w:color w:val="000000"/>
          <w:sz w:val="22"/>
        </w:rPr>
        <w:t> </w:t>
      </w:r>
      <w:r>
        <w:rPr>
          <w:rFonts w:ascii="Times New Roman" w:hAnsi="Times New Roman"/>
          <w:b w:val="false"/>
          <w:i w:val="false"/>
          <w:color w:val="000000"/>
          <w:sz w:val="22"/>
        </w:rPr>
        <w:t>An applicant for a tattoo artist permit must be at least 18 years of age and submit government-issued documentation to show proof of attaining the age of 18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22.10(4)</w:t>
      </w:r>
      <w:r>
        <w:rPr>
          <w:rFonts w:ascii="Times New Roman" w:hAnsi="Times New Roman"/>
          <w:b w:val="false"/>
          <w:i w:val="false"/>
          <w:color w:val="000000"/>
          <w:sz w:val="22"/>
        </w:rPr>
        <w:t> </w:t>
      </w:r>
      <w:r>
        <w:rPr>
          <w:rFonts w:ascii="Times New Roman" w:hAnsi="Times New Roman"/>
          <w:b w:val="false"/>
          <w:i w:val="false"/>
          <w:color w:val="000000"/>
          <w:sz w:val="22"/>
        </w:rPr>
        <w:t>A tattoo artist must provide proof of current certification by the American Red Cross for blood-borne pathogens and standard first aid or other equivalent, nationally recognized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22.10(5)</w:t>
      </w:r>
      <w:r>
        <w:rPr>
          <w:rFonts w:ascii="Times New Roman" w:hAnsi="Times New Roman"/>
          <w:b w:val="false"/>
          <w:i w:val="false"/>
          <w:color w:val="000000"/>
          <w:sz w:val="22"/>
        </w:rPr>
        <w:t> </w:t>
      </w:r>
      <w:r>
        <w:rPr>
          <w:rFonts w:ascii="Times New Roman" w:hAnsi="Times New Roman"/>
          <w:b w:val="false"/>
          <w:i w:val="false"/>
          <w:color w:val="000000"/>
          <w:sz w:val="22"/>
        </w:rPr>
        <w:t>Permits shall be posted in a conspicuous place in the tattoo establishment.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641—22.11</w:t>
      </w:r>
      <w:r>
        <w:rPr>
          <w:rFonts w:ascii="Times New Roman" w:hAnsi="Times New Roman"/>
          <w:b/>
          <w:i w:val="false"/>
          <w:color w:val="000000"/>
          <w:sz w:val="22"/>
        </w:rPr>
        <w:t xml:space="preserve">(10A) </w:t>
      </w:r>
      <w:r>
        <w:rPr>
          <w:rFonts w:ascii="Times New Roman" w:hAnsi="Times New Roman"/>
          <w:b/>
          <w:i w:val="false"/>
          <w:color w:val="000000"/>
          <w:sz w:val="22"/>
        </w:rPr>
        <w:t xml:space="preserve">Temporary establishment permit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22.11(1)</w:t>
      </w:r>
      <w:r>
        <w:rPr>
          <w:rFonts w:ascii="Times New Roman" w:hAnsi="Times New Roman"/>
          <w:b w:val="false"/>
          <w:i w:val="false"/>
          <w:color w:val="000000"/>
          <w:sz w:val="22"/>
        </w:rPr>
        <w:t> </w:t>
      </w:r>
      <w:r>
        <w:rPr>
          <w:rFonts w:ascii="Times New Roman" w:hAnsi="Times New Roman"/>
          <w:b w:val="false"/>
          <w:i w:val="false"/>
          <w:color w:val="000000"/>
          <w:sz w:val="22"/>
        </w:rPr>
        <w:t>A person must submit a temporary tattoo establishment application form, a floor plan of the facility, promotional documentation for the event, and the appropriate fee at least 30 days prior to the event to obtain a temporary establishment permit. Fees are based on the number of participating tattoo artists. The application will specify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 for which the permit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period of time during which the permit is needed (not to exceed 14 calendar days per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fulfillment of tattoo artist criteria as specified in rule </w:t>
      </w:r>
      <w:hyperlink r:id="rId14">
        <w:r>
          <w:rPr>
            <w:rStyle w:val="Hyperlink"/>
            <w:rFonts w:ascii="Times New Roman" w:hAnsi="Times New Roman"/>
            <w:b w:val="false"/>
            <w:i w:val="false"/>
            <w:color w:val="000000"/>
            <w:sz w:val="22"/>
          </w:rPr>
          <w:t>641—22.10</w:t>
        </w:r>
      </w:hyperlink>
      <w:r>
        <w:rPr>
          <w:rFonts w:ascii="Times New Roman" w:hAnsi="Times New Roman"/>
          <w:b w:val="false"/>
          <w:i w:val="false"/>
          <w:color w:val="000000"/>
          <w:sz w:val="22"/>
        </w:rPr>
        <w:t>(10A). A list of participating tattoo artists shall be sent to the tattoo program no later than one week prior to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at which the temporary event will be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22.11(2)</w:t>
      </w:r>
      <w:r>
        <w:rPr>
          <w:rFonts w:ascii="Times New Roman" w:hAnsi="Times New Roman"/>
          <w:b w:val="false"/>
          <w:i w:val="false"/>
          <w:color w:val="000000"/>
          <w:sz w:val="22"/>
        </w:rPr>
        <w:t> </w:t>
      </w:r>
      <w:r>
        <w:rPr>
          <w:rFonts w:ascii="Times New Roman" w:hAnsi="Times New Roman"/>
          <w:b w:val="false"/>
          <w:i w:val="false"/>
          <w:color w:val="000000"/>
          <w:sz w:val="22"/>
        </w:rPr>
        <w:t>The temporary event must be inside a permanent building and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Conveniently located hand-washing facilities with liquid soap, single-use towels or hand dryers and potable hot and cold water under pressure to a mixing-type faucet are provided. Drainage in accordance with local plumbing codes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80 square feet of floor space is provided for each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sufficient lighting where the tattoo procedure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tubes, tips and grips used for the tattoo procedure that are not single use are properly sterilized and dated 30 days or less prior to the date of the event. Evidence of a spore test performed on the sterilization equipment is dated 30 days or less prior to the date of the event. Single-use, prepackaged, sterilized equipment obtained from reputable suppliers or manufacturers is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Tattoo artists properly clean and sanitize the area used for tattoo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Floors of the tattooing area(s) are smooth and impervious or covered with an impermeable barrier.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22.11(3)</w:t>
      </w:r>
      <w:r>
        <w:rPr>
          <w:rFonts w:ascii="Times New Roman" w:hAnsi="Times New Roman"/>
          <w:b w:val="false"/>
          <w:i w:val="false"/>
          <w:color w:val="000000"/>
          <w:sz w:val="22"/>
        </w:rPr>
        <w:t> </w:t>
      </w:r>
      <w:r>
        <w:rPr>
          <w:rFonts w:ascii="Times New Roman" w:hAnsi="Times New Roman"/>
          <w:b w:val="false"/>
          <w:i w:val="false"/>
          <w:color w:val="000000"/>
          <w:sz w:val="22"/>
        </w:rPr>
        <w:t>The facility where the temporary event will be held must be inspected by the designated inspection agency and issued a permit prior to the performance of any tattoo procedures. A $50 inspection fee for each booth shall be made payable to the inspection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22.11(4)</w:t>
      </w:r>
      <w:r>
        <w:rPr>
          <w:rFonts w:ascii="Times New Roman" w:hAnsi="Times New Roman"/>
          <w:b w:val="false"/>
          <w:i w:val="false"/>
          <w:color w:val="000000"/>
          <w:sz w:val="22"/>
        </w:rPr>
        <w:t> </w:t>
      </w:r>
      <w:r>
        <w:rPr>
          <w:rFonts w:ascii="Times New Roman" w:hAnsi="Times New Roman"/>
          <w:b w:val="false"/>
          <w:i w:val="false"/>
          <w:color w:val="000000"/>
          <w:sz w:val="22"/>
        </w:rPr>
        <w:t>No animals, except service animals, are allowed in the temporary establishment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22.11(5)</w:t>
      </w:r>
      <w:r>
        <w:rPr>
          <w:rFonts w:ascii="Times New Roman" w:hAnsi="Times New Roman"/>
          <w:b w:val="false"/>
          <w:i w:val="false"/>
          <w:color w:val="000000"/>
          <w:sz w:val="22"/>
        </w:rPr>
        <w:t> </w:t>
      </w:r>
      <w:r>
        <w:rPr>
          <w:rFonts w:ascii="Times New Roman" w:hAnsi="Times New Roman"/>
          <w:b w:val="false"/>
          <w:i w:val="false"/>
          <w:color w:val="000000"/>
          <w:sz w:val="22"/>
        </w:rPr>
        <w:t>Temporary establishment permits issued under the provisions of these rules may be suspended by the department for failure of the holder to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22.11(6)</w:t>
      </w:r>
      <w:r>
        <w:rPr>
          <w:rFonts w:ascii="Times New Roman" w:hAnsi="Times New Roman"/>
          <w:b w:val="false"/>
          <w:i w:val="false"/>
          <w:color w:val="000000"/>
          <w:sz w:val="22"/>
        </w:rPr>
        <w:t> </w:t>
      </w:r>
      <w:r>
        <w:rPr>
          <w:rFonts w:ascii="Times New Roman" w:hAnsi="Times New Roman"/>
          <w:b w:val="false"/>
          <w:i w:val="false"/>
          <w:color w:val="000000"/>
          <w:sz w:val="22"/>
        </w:rPr>
        <w:t>Temporary establishment permits and tattoo artist permits shall be posted in a conspicuous place in the temporary establishment.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641—22.12</w:t>
      </w:r>
      <w:r>
        <w:rPr>
          <w:rFonts w:ascii="Times New Roman" w:hAnsi="Times New Roman"/>
          <w:b/>
          <w:i w:val="false"/>
          <w:color w:val="000000"/>
          <w:sz w:val="22"/>
        </w:rPr>
        <w:t xml:space="preserve">(10A) </w:t>
      </w:r>
      <w:r>
        <w:rPr>
          <w:rFonts w:ascii="Times New Roman" w:hAnsi="Times New Roman"/>
          <w:b/>
          <w:i w:val="false"/>
          <w:color w:val="000000"/>
          <w:sz w:val="22"/>
        </w:rPr>
        <w:t xml:space="preserve">Mobile tattoo unit permit criteria. </w:t>
      </w:r>
      <w:r>
        <w:rPr>
          <w:rFonts w:ascii="Times New Roman" w:hAnsi="Times New Roman"/>
          <w:b w:val="false"/>
          <w:i w:val="false"/>
          <w:color w:val="000000"/>
          <w:sz w:val="22"/>
        </w:rPr>
        <w:t>No new mobile tattoo units will be permitted. Mobile tattoo units granted a permit prior to September 7, 2016, may continue to operate with a current permit provided they remain compliant with the rules of this chapter. Mobile tattoo units and tattoo artists working from mobile tattoo units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w:t>
      </w:r>
      <w:r>
        <w:rPr>
          <w:rFonts w:ascii="Times New Roman" w:hAnsi="Times New Roman"/>
          <w:b w:val="false"/>
          <w:i w:val="false"/>
          <w:color w:val="000000"/>
          <w:sz w:val="22"/>
        </w:rPr>
        <w:t> </w:t>
      </w:r>
      <w:r>
        <w:rPr>
          <w:rFonts w:ascii="Times New Roman" w:hAnsi="Times New Roman"/>
          <w:b w:val="false"/>
          <w:i w:val="false"/>
          <w:color w:val="000000"/>
          <w:sz w:val="22"/>
        </w:rPr>
        <w:t>No mobile tattoo unit is operated in the state without having a permit to operate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22.12(2)</w:t>
      </w:r>
      <w:r>
        <w:rPr>
          <w:rFonts w:ascii="Times New Roman" w:hAnsi="Times New Roman"/>
          <w:b w:val="false"/>
          <w:i w:val="false"/>
          <w:color w:val="000000"/>
          <w:sz w:val="22"/>
        </w:rPr>
        <w:t> </w:t>
      </w:r>
      <w:r>
        <w:rPr>
          <w:rFonts w:ascii="Times New Roman" w:hAnsi="Times New Roman"/>
          <w:b w:val="false"/>
          <w:i w:val="false"/>
          <w:color w:val="000000"/>
          <w:sz w:val="22"/>
        </w:rPr>
        <w:t>All tattoo artists working in a mobile tattoo unit have a permit and comply with these rules. Artist permits are posted in a conspicuous location in the mobile tattoo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22.12(3)</w:t>
      </w:r>
      <w:r>
        <w:rPr>
          <w:rFonts w:ascii="Times New Roman" w:hAnsi="Times New Roman"/>
          <w:b w:val="false"/>
          <w:i w:val="false"/>
          <w:color w:val="000000"/>
          <w:sz w:val="22"/>
        </w:rPr>
        <w:t> </w:t>
      </w:r>
      <w:r>
        <w:rPr>
          <w:rFonts w:ascii="Times New Roman" w:hAnsi="Times New Roman"/>
          <w:b w:val="false"/>
          <w:i w:val="false"/>
          <w:color w:val="000000"/>
          <w:sz w:val="22"/>
        </w:rPr>
        <w:t>Mobile tattoo unit permits are posted in a conspicuous place in the mobile tattoo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22.12(4)</w:t>
      </w:r>
      <w:r>
        <w:rPr>
          <w:rFonts w:ascii="Times New Roman" w:hAnsi="Times New Roman"/>
          <w:b w:val="false"/>
          <w:i w:val="false"/>
          <w:color w:val="000000"/>
          <w:sz w:val="22"/>
        </w:rPr>
        <w:t> </w:t>
      </w:r>
      <w:r>
        <w:rPr>
          <w:rFonts w:ascii="Times New Roman" w:hAnsi="Times New Roman"/>
          <w:b w:val="false"/>
          <w:i w:val="false"/>
          <w:color w:val="000000"/>
          <w:sz w:val="22"/>
        </w:rPr>
        <w:t>Mobile tattoo unit permits are nontransferable.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22.12(5)</w:t>
      </w:r>
      <w:r>
        <w:rPr>
          <w:rFonts w:ascii="Times New Roman" w:hAnsi="Times New Roman"/>
          <w:b w:val="false"/>
          <w:i w:val="false"/>
          <w:color w:val="000000"/>
          <w:sz w:val="22"/>
        </w:rPr>
        <w:t> </w:t>
      </w:r>
      <w:r>
        <w:rPr>
          <w:rFonts w:ascii="Times New Roman" w:hAnsi="Times New Roman"/>
          <w:b w:val="false"/>
          <w:i w:val="false"/>
          <w:color w:val="000000"/>
          <w:sz w:val="22"/>
        </w:rPr>
        <w:t>Within 30 days of a change of address of where the mobile tattoo unit is housed, the owner submits a new application and a fee for a new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22.12(6)</w:t>
      </w:r>
      <w:r>
        <w:rPr>
          <w:rFonts w:ascii="Times New Roman" w:hAnsi="Times New Roman"/>
          <w:b w:val="false"/>
          <w:i w:val="false"/>
          <w:color w:val="000000"/>
          <w:sz w:val="22"/>
        </w:rPr>
        <w:t> </w:t>
      </w:r>
      <w:r>
        <w:rPr>
          <w:rFonts w:ascii="Times New Roman" w:hAnsi="Times New Roman"/>
          <w:b w:val="false"/>
          <w:i w:val="false"/>
          <w:color w:val="000000"/>
          <w:sz w:val="22"/>
        </w:rPr>
        <w:t>Inspections will be conducted by the local jurisdiction in which the mobile tattoo unit is housed. Any out-of-state mobile tattoo units maintaining an Iowa mobile tattoo unit permit must be inspected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22.12(7)</w:t>
      </w:r>
      <w:r>
        <w:rPr>
          <w:rFonts w:ascii="Times New Roman" w:hAnsi="Times New Roman"/>
          <w:b w:val="false"/>
          <w:i w:val="false"/>
          <w:color w:val="000000"/>
          <w:sz w:val="22"/>
        </w:rPr>
        <w:t> </w:t>
      </w:r>
      <w:r>
        <w:rPr>
          <w:rFonts w:ascii="Times New Roman" w:hAnsi="Times New Roman"/>
          <w:b w:val="false"/>
          <w:i w:val="false"/>
          <w:color w:val="000000"/>
          <w:sz w:val="22"/>
        </w:rPr>
        <w:t>Mobile tattoo units are permitted for use only at temporary events lasting 14 calendar days or less. Permits are obtained at least 14 days prior to the event, and no tattoo procedures are performed before a permit is issued. Promotional documentation of the event is included with the application. Permit holders are responsible for compliance with all other local regulations including but not limited to zoning and business license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22.12(8)</w:t>
      </w:r>
      <w:r>
        <w:rPr>
          <w:rFonts w:ascii="Times New Roman" w:hAnsi="Times New Roman"/>
          <w:b w:val="false"/>
          <w:i w:val="false"/>
          <w:color w:val="000000"/>
          <w:sz w:val="22"/>
        </w:rPr>
        <w:t> </w:t>
      </w:r>
      <w:r>
        <w:rPr>
          <w:rFonts w:ascii="Times New Roman" w:hAnsi="Times New Roman"/>
          <w:b w:val="false"/>
          <w:i w:val="false"/>
          <w:color w:val="000000"/>
          <w:sz w:val="22"/>
        </w:rPr>
        <w:t>The mobile tattoo unit is maintained in a clean and sanitary condition at all times. Doors are tight-fitting. Openable windows have tight-fitting screens.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22.12(9)</w:t>
      </w:r>
      <w:r>
        <w:rPr>
          <w:rFonts w:ascii="Times New Roman" w:hAnsi="Times New Roman"/>
          <w:b w:val="false"/>
          <w:i w:val="false"/>
          <w:color w:val="000000"/>
          <w:sz w:val="22"/>
        </w:rPr>
        <w:t> </w:t>
      </w:r>
      <w:r>
        <w:rPr>
          <w:rFonts w:ascii="Times New Roman" w:hAnsi="Times New Roman"/>
          <w:b w:val="false"/>
          <w:i w:val="false"/>
          <w:color w:val="000000"/>
          <w:sz w:val="22"/>
        </w:rPr>
        <w:t xml:space="preserve">Mobile tattoo units meet the sterilization criteria in accordance with rule </w:t>
      </w:r>
      <w:hyperlink r:id="rId15">
        <w:r>
          <w:rPr>
            <w:rStyle w:val="Hyperlink"/>
            <w:rFonts w:ascii="Times New Roman" w:hAnsi="Times New Roman"/>
            <w:b w:val="false"/>
            <w:i w:val="false"/>
            <w:color w:val="000000"/>
            <w:sz w:val="22"/>
          </w:rPr>
          <w:t>641—22.5</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22.12(10)</w:t>
      </w:r>
      <w:r>
        <w:rPr>
          <w:rFonts w:ascii="Times New Roman" w:hAnsi="Times New Roman"/>
          <w:b w:val="false"/>
          <w:i w:val="false"/>
          <w:color w:val="000000"/>
          <w:sz w:val="22"/>
        </w:rPr>
        <w:t> </w:t>
      </w:r>
      <w:r>
        <w:rPr>
          <w:rFonts w:ascii="Times New Roman" w:hAnsi="Times New Roman"/>
          <w:b w:val="false"/>
          <w:i w:val="false"/>
          <w:color w:val="000000"/>
          <w:sz w:val="22"/>
        </w:rPr>
        <w:t>Mobile tattoo units are used only for the purpose of performing tattoo procedures. No habitation or food preparation is permitted inside the vehicle unless the tattoo work station is separated from such areas by an impervious floor-to-ceiling barrier.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22.12(11)</w:t>
      </w:r>
      <w:r>
        <w:rPr>
          <w:rFonts w:ascii="Times New Roman" w:hAnsi="Times New Roman"/>
          <w:b w:val="false"/>
          <w:i w:val="false"/>
          <w:color w:val="000000"/>
          <w:sz w:val="22"/>
        </w:rPr>
        <w:t> </w:t>
      </w:r>
      <w:r>
        <w:rPr>
          <w:rFonts w:ascii="Times New Roman" w:hAnsi="Times New Roman"/>
          <w:b w:val="false"/>
          <w:i w:val="false"/>
          <w:color w:val="000000"/>
          <w:sz w:val="22"/>
        </w:rPr>
        <w:t xml:space="preserve">Mobile tattoo units are equipped with a hand sink for use of the tattoo artist for hand washing and preparing the client for the tattoo procedures. The hand sink is supplied with hot and cold running water under pressure to a mixing-type faucet, as well as liquid soap and single-use towels in dispensers or hand dryer. An adequate supply of potable water is maintained for the mobile tattoo unit at all times during operation. The source of the water and storage of the tank(s) is also identified.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22.12(12)</w:t>
      </w:r>
      <w:r>
        <w:rPr>
          <w:rFonts w:ascii="Times New Roman" w:hAnsi="Times New Roman"/>
          <w:b w:val="false"/>
          <w:i w:val="false"/>
          <w:color w:val="000000"/>
          <w:sz w:val="22"/>
        </w:rPr>
        <w:t> </w:t>
      </w:r>
      <w:r>
        <w:rPr>
          <w:rFonts w:ascii="Times New Roman" w:hAnsi="Times New Roman"/>
          <w:b w:val="false"/>
          <w:i w:val="false"/>
          <w:color w:val="000000"/>
          <w:sz w:val="22"/>
        </w:rPr>
        <w:t>All liquid wastes are stored in an adequate storage tank with a capacity at least 15 percent greater than the capacity of the on-board potable water supply. Liquid wastes are disposed of at a publicly owned treatment works site approved by the department of natural resources (DNR).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22.12(13)</w:t>
      </w:r>
      <w:r>
        <w:rPr>
          <w:rFonts w:ascii="Times New Roman" w:hAnsi="Times New Roman"/>
          <w:b w:val="false"/>
          <w:i w:val="false"/>
          <w:color w:val="000000"/>
          <w:sz w:val="22"/>
        </w:rPr>
        <w:t> </w:t>
      </w:r>
      <w:r>
        <w:rPr>
          <w:rFonts w:ascii="Times New Roman" w:hAnsi="Times New Roman"/>
          <w:b w:val="false"/>
          <w:i w:val="false"/>
          <w:color w:val="000000"/>
          <w:sz w:val="22"/>
        </w:rPr>
        <w:t xml:space="preserve">Restroom facilities are available at the temporary event or within the mobile tattoo unit. A hand sink is available within a reasonably acceptable distance from the restroom. The hand sink is supplied with hot and cold running water under pressure to a mixing-type faucet, as well as liquid soap and single-use towels or hand dryer.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22.12(14)</w:t>
      </w:r>
      <w:r>
        <w:rPr>
          <w:rFonts w:ascii="Times New Roman" w:hAnsi="Times New Roman"/>
          <w:b w:val="false"/>
          <w:i w:val="false"/>
          <w:color w:val="000000"/>
          <w:sz w:val="22"/>
        </w:rPr>
        <w:t> </w:t>
      </w:r>
      <w:r>
        <w:rPr>
          <w:rFonts w:ascii="Times New Roman" w:hAnsi="Times New Roman"/>
          <w:b w:val="false"/>
          <w:i w:val="false"/>
          <w:color w:val="000000"/>
          <w:sz w:val="22"/>
        </w:rPr>
        <w:t>All tattoo artists working in a mobile tattoo unit have a permit and comply with these rules. Permits are posted in a conspicuous location in the mobile tattoo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22.12(15)</w:t>
      </w:r>
      <w:r>
        <w:rPr>
          <w:rFonts w:ascii="Times New Roman" w:hAnsi="Times New Roman"/>
          <w:b w:val="false"/>
          <w:i w:val="false"/>
          <w:color w:val="000000"/>
          <w:sz w:val="22"/>
        </w:rPr>
        <w:t> </w:t>
      </w:r>
      <w:r>
        <w:rPr>
          <w:rFonts w:ascii="Times New Roman" w:hAnsi="Times New Roman"/>
          <w:b w:val="false"/>
          <w:i w:val="false"/>
          <w:color w:val="000000"/>
          <w:sz w:val="22"/>
        </w:rPr>
        <w:t>No animals, except service animals, are allowed in the mobile tattoo unit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641—22.13</w:t>
      </w:r>
      <w:r>
        <w:rPr>
          <w:rFonts w:ascii="Times New Roman" w:hAnsi="Times New Roman"/>
          <w:b/>
          <w:i w:val="false"/>
          <w:color w:val="000000"/>
          <w:sz w:val="22"/>
        </w:rPr>
        <w:t xml:space="preserve">(10A)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inspection fee of $250 is due upon receipt of a notice of payment due, which will be billed by the inspection agency upon completion of an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22.13(2)</w:t>
      </w:r>
      <w:r>
        <w:rPr>
          <w:rFonts w:ascii="Times New Roman" w:hAnsi="Times New Roman"/>
          <w:b w:val="false"/>
          <w:i w:val="false"/>
          <w:color w:val="000000"/>
          <w:sz w:val="22"/>
        </w:rPr>
        <w:t> </w:t>
      </w:r>
      <w:r>
        <w:rPr>
          <w:rFonts w:ascii="Times New Roman" w:hAnsi="Times New Roman"/>
          <w:b w:val="false"/>
          <w:i w:val="false"/>
          <w:color w:val="000000"/>
          <w:sz w:val="22"/>
        </w:rPr>
        <w:t>Tattoo establishments are inspected annually and the reports of inspections maintained by the inspection agency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22.13(3)</w:t>
      </w:r>
      <w:r>
        <w:rPr>
          <w:rFonts w:ascii="Times New Roman" w:hAnsi="Times New Roman"/>
          <w:b w:val="false"/>
          <w:i w:val="false"/>
          <w:color w:val="000000"/>
          <w:sz w:val="22"/>
        </w:rPr>
        <w:t> </w:t>
      </w:r>
      <w:r>
        <w:rPr>
          <w:rFonts w:ascii="Times New Roman" w:hAnsi="Times New Roman"/>
          <w:b w:val="false"/>
          <w:i w:val="false"/>
          <w:color w:val="000000"/>
          <w:sz w:val="22"/>
        </w:rPr>
        <w:t>When the tattoo establishment is located within the jurisdiction of a local inspection agency, the local inspection agency may establish fees needed to defray the costs of inspection and enforcement under this chapter. Inspection fees billed by a local inspection agency are paid to the local inspection agency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inspection agency determines that an additional physical inspection is necessary, including to review corrected deficiencies or in response to a complaint of a potential imminent health threat, the inspection agency may charge an inspection fee based on the actual cost of providing the inspection, including the inspector's time and mileage expenses. Any such fee charged shall not exceed the fee identified in subrule </w:t>
      </w:r>
      <w:hyperlink r:id="rId16">
        <w:r>
          <w:rPr>
            <w:rStyle w:val="Hyperlink"/>
            <w:rFonts w:ascii="Times New Roman" w:hAnsi="Times New Roman"/>
            <w:b w:val="false"/>
            <w:i w:val="false"/>
            <w:color w:val="000000"/>
            <w:sz w:val="22"/>
          </w:rPr>
          <w:t>22.13(1)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22.13(5)</w:t>
      </w:r>
      <w:r>
        <w:rPr>
          <w:rFonts w:ascii="Times New Roman" w:hAnsi="Times New Roman"/>
          <w:b w:val="false"/>
          <w:i w:val="false"/>
          <w:color w:val="000000"/>
          <w:sz w:val="22"/>
        </w:rPr>
        <w:t> </w:t>
      </w:r>
      <w:r>
        <w:rPr>
          <w:rFonts w:ascii="Times New Roman" w:hAnsi="Times New Roman"/>
          <w:b w:val="false"/>
          <w:i w:val="false"/>
          <w:color w:val="000000"/>
          <w:sz w:val="22"/>
        </w:rPr>
        <w:t>Unpaid inspection fees are delinquent 30 days after the date of the bill. A late fee of $30 per month will be assessed to the establishment owner after a 30-day notice. If inspection fees remain unpaid after 60 days, an order to cease and desist operations will be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22.13(6)</w:t>
      </w:r>
      <w:r>
        <w:rPr>
          <w:rFonts w:ascii="Times New Roman" w:hAnsi="Times New Roman"/>
          <w:b w:val="false"/>
          <w:i w:val="false"/>
          <w:color w:val="000000"/>
          <w:sz w:val="22"/>
        </w:rPr>
        <w:t> </w:t>
      </w:r>
      <w:r>
        <w:rPr>
          <w:rFonts w:ascii="Times New Roman" w:hAnsi="Times New Roman"/>
          <w:b w:val="false"/>
          <w:i w:val="false"/>
          <w:color w:val="000000"/>
          <w:sz w:val="22"/>
        </w:rPr>
        <w:t>Failure to allow an inspection is grounds for denial or suspension of a tattoo establishment’s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22.13(7)</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imminent health threat exists, the inspection agency or the department may order the establishment to cease operation immediately pursuant to Iowa Code section </w:t>
      </w:r>
      <w:hyperlink r:id="rId17">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Operation shall not be resumed until authorized by the inspection agency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22.13(8)</w:t>
      </w:r>
      <w:r>
        <w:rPr>
          <w:rFonts w:ascii="Times New Roman" w:hAnsi="Times New Roman"/>
          <w:b w:val="false"/>
          <w:i w:val="false"/>
          <w:color w:val="000000"/>
          <w:sz w:val="22"/>
        </w:rPr>
        <w:t> </w:t>
      </w:r>
      <w:r>
        <w:rPr>
          <w:rFonts w:ascii="Times New Roman" w:hAnsi="Times New Roman"/>
          <w:b w:val="false"/>
          <w:i w:val="false"/>
          <w:color w:val="000000"/>
          <w:sz w:val="22"/>
        </w:rPr>
        <w:t>Safety data sheets (SDS) for the chemicals used at the tattoo establishment shall be maintained at the establishment and made available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22.13(9)</w:t>
      </w:r>
      <w:r>
        <w:rPr>
          <w:rFonts w:ascii="Times New Roman" w:hAnsi="Times New Roman"/>
          <w:b w:val="false"/>
          <w:i w:val="false"/>
          <w:color w:val="000000"/>
          <w:sz w:val="22"/>
        </w:rPr>
        <w:t> </w:t>
      </w:r>
      <w:r>
        <w:rPr>
          <w:rFonts w:ascii="Times New Roman" w:hAnsi="Times New Roman"/>
          <w:b w:val="false"/>
          <w:i w:val="false"/>
          <w:color w:val="000000"/>
          <w:sz w:val="22"/>
        </w:rPr>
        <w:t>The most recent routine inspection report, along with any reinspection reports, shall be posted in a location at the establishment that is readily visible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641—22.14</w:t>
      </w:r>
      <w:r>
        <w:rPr>
          <w:rFonts w:ascii="Times New Roman" w:hAnsi="Times New Roman"/>
          <w:b/>
          <w:i w:val="false"/>
          <w:color w:val="000000"/>
          <w:sz w:val="22"/>
        </w:rPr>
        <w:t xml:space="preserve">(10A) </w:t>
      </w:r>
      <w:r>
        <w:rPr>
          <w:rFonts w:ascii="Times New Roman" w:hAnsi="Times New Roman"/>
          <w:b/>
          <w:i w:val="false"/>
          <w:color w:val="000000"/>
          <w:sz w:val="22"/>
        </w:rPr>
        <w:t xml:space="preserve">Tattoo inspector qualifications. </w:t>
      </w:r>
      <w:r>
        <w:rPr>
          <w:rFonts w:ascii="Times New Roman" w:hAnsi="Times New Roman"/>
          <w:b w:val="false"/>
          <w:i w:val="false"/>
          <w:color w:val="000000"/>
          <w:sz w:val="22"/>
        </w:rPr>
        <w:t>Tattoo inspectors shall have successfully completed a blood-borne pathogen certification course from the American Red Cross or an equivalent nationally recognized organization, documentation of which is maintained by the local inspection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641—22.15</w:t>
      </w:r>
      <w:r>
        <w:rPr>
          <w:rFonts w:ascii="Times New Roman" w:hAnsi="Times New Roman"/>
          <w:b/>
          <w:i w:val="false"/>
          <w:color w:val="000000"/>
          <w:sz w:val="22"/>
        </w:rPr>
        <w:t xml:space="preserve">(10A) </w:t>
      </w:r>
      <w:r>
        <w:rPr>
          <w:rFonts w:ascii="Times New Roman" w:hAnsi="Times New Roman"/>
          <w:b/>
          <w:i w:val="false"/>
          <w:color w:val="000000"/>
          <w:sz w:val="22"/>
        </w:rPr>
        <w:t xml:space="preserve">Enforcement. </w:t>
      </w:r>
      <w:r>
        <w:rPr>
          <w:rFonts w:ascii="Times New Roman" w:hAnsi="Times New Roman"/>
          <w:b w:val="false"/>
          <w:i w:val="false"/>
          <w:color w:val="000000"/>
          <w:sz w:val="22"/>
        </w:rPr>
        <w:t>The inspection agency may take the following steps when enforcement of these rules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22.15(1)</w:t>
      </w:r>
      <w:r>
        <w:rPr>
          <w:rFonts w:ascii="Times New Roman" w:hAnsi="Times New Roman"/>
          <w:b w:val="false"/>
          <w:i w:val="false"/>
          <w:color w:val="000000"/>
          <w:sz w:val="22"/>
        </w:rPr>
        <w:t> </w:t>
      </w:r>
      <w:r>
        <w:rPr>
          <w:rFonts w:ascii="Times New Roman" w:hAnsi="Times New Roman"/>
          <w:b w:val="false"/>
          <w:i/>
          <w:color w:val="000000"/>
          <w:sz w:val="22"/>
        </w:rPr>
        <w:t xml:space="preserve">Owner notification. </w:t>
      </w:r>
      <w:r>
        <w:rPr>
          <w:rFonts w:ascii="Times New Roman" w:hAnsi="Times New Roman"/>
          <w:b w:val="false"/>
          <w:i w:val="false"/>
          <w:color w:val="000000"/>
          <w:sz w:val="22"/>
        </w:rPr>
        <w:t>The inspection agency will provide written notification to the owner of the establishment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Cites each section of the Iowa Code or rule of the Iowa Administrative Code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Specifies the manner in which the owner or operator failed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Specifies the steps needed for correcting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Requests a corrective action plan, including a time schedule for completion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Sets a reasonable time limit, not to exceed 30 days from the receipt of the notice, within which the owner of the establishment must respond.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22.15(2)</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plan review. </w:t>
      </w:r>
      <w:r>
        <w:rPr>
          <w:rFonts w:ascii="Times New Roman" w:hAnsi="Times New Roman"/>
          <w:b w:val="false"/>
          <w:i w:val="false"/>
          <w:color w:val="000000"/>
          <w:sz w:val="22"/>
        </w:rPr>
        <w:t>The inspection agency will review the corrective action plan and approve it or direct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22.15(3)</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If the owner of a tattoo establishment, mobile tattoo unit, or temporary establishment fails to comply with conditions of the written notice, the inspection agency may take enforcement action in accordance with Iowa Code chapter </w:t>
      </w:r>
      <w:hyperlink r:id="rId18">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or local ordinances.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641—22.16</w:t>
      </w:r>
      <w:r>
        <w:rPr>
          <w:rFonts w:ascii="Times New Roman" w:hAnsi="Times New Roman"/>
          <w:b/>
          <w:i w:val="false"/>
          <w:color w:val="000000"/>
          <w:sz w:val="22"/>
        </w:rPr>
        <w:t xml:space="preserve">(10A) </w:t>
      </w:r>
      <w:r>
        <w:rPr>
          <w:rFonts w:ascii="Times New Roman" w:hAnsi="Times New Roman"/>
          <w:b/>
          <w:i w:val="false"/>
          <w:color w:val="000000"/>
          <w:sz w:val="22"/>
        </w:rPr>
        <w:t xml:space="preserve">Adverse actions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22.16(1)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abide by Iowa Code section </w:t>
      </w:r>
      <w:hyperlink r:id="rId19">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 xml:space="preserve"> or this chapter may result in adverse action, including the denial or revocation of a permit, or an order to cease operations until necessary corrective action has been taken. If the establishment continues to be operated in violation of the order of the department, the department may refer the matter to the county attorney or attorney general for injunction, criminal penalties, or other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are particular instances that may result in adverse action as set forth in subrule </w:t>
      </w:r>
      <w:hyperlink r:id="rId20">
        <w:r>
          <w:rPr>
            <w:rStyle w:val="Hyperlink"/>
            <w:rFonts w:ascii="Times New Roman" w:hAnsi="Times New Roman"/>
            <w:b w:val="false"/>
            <w:i w:val="false"/>
            <w:color w:val="000000"/>
            <w:sz w:val="22"/>
          </w:rPr>
          <w:t>22.16(1)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material misstatement in the application, renewal, or any supplementary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fees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Operation without a current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Falsification of records, qualifications, or other information related to permitting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correct any violation identified during an inspection that jeopardizes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 Acts that may constitute unethical conduct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Verbally or physically abusing a patron.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sexual harassment of, or improper sexual advances upon a patron. Sexual harassment includes sexual solicitation,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cooperate with an investigation or engaging in conduct attempting to subvert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tattooing.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tattoo artist when one’s permit has been denied, suspended, revoked, lapsed, or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Mental or physical inability reasonably related to and adversely affecting the tattoo artist’s ability to practice in a safe and competent manner.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Habitual intoxication or addiction to drugs, including habitual or excessive use of drugs or alcohol that impair a tattoo artist’s ability to practice with reasonable skill or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Obtaining, possessing, attempting to obtain or possess, or administering controlled substances without lawful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Violating a statute of this state or another jurisdiction relating to the provision of tattooing, including but not limited to crimes involving dishonesty, fraud, theft, embezzlement, controlled substances, substance abuse, assault, sexual abuse, sexual misconduct, or homicide. A copy of the record of conviction or plea of guilty is conclusive evidence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Having a certification or permit to practice tattooing suspended or revoked, or other disciplinary action taken by a licensing, certifying, or permitting authority in any jurisdiction. A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Failure to appropriately respond to written communication from the department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22.16(3)</w:t>
      </w:r>
      <w:r>
        <w:rPr>
          <w:rFonts w:ascii="Times New Roman" w:hAnsi="Times New Roman"/>
          <w:b w:val="false"/>
          <w:i w:val="false"/>
          <w:color w:val="000000"/>
          <w:sz w:val="22"/>
        </w:rPr>
        <w:t> </w:t>
      </w:r>
      <w:r>
        <w:rPr>
          <w:rFonts w:ascii="Times New Roman" w:hAnsi="Times New Roman"/>
          <w:b w:val="false"/>
          <w:i w:val="false"/>
          <w:color w:val="000000"/>
          <w:sz w:val="22"/>
        </w:rPr>
        <w:t>Notice of issuance of a denial, revocation, or order to cease operations will be served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22.16(4)</w:t>
      </w:r>
      <w:r>
        <w:rPr>
          <w:rFonts w:ascii="Times New Roman" w:hAnsi="Times New Roman"/>
          <w:b w:val="false"/>
          <w:i w:val="false"/>
          <w:color w:val="000000"/>
          <w:sz w:val="22"/>
        </w:rPr>
        <w:t> </w:t>
      </w:r>
      <w:r>
        <w:rPr>
          <w:rFonts w:ascii="Times New Roman" w:hAnsi="Times New Roman"/>
          <w:b w:val="false"/>
          <w:i w:val="false"/>
          <w:color w:val="000000"/>
          <w:sz w:val="22"/>
        </w:rPr>
        <w:t xml:space="preserve">An aggrieved party may request a contested case appeal in writing to the department within 20 days from the date of the aggrieved party’s receipt of the department’s order. </w:t>
      </w:r>
      <w:hyperlink r:id="rId21">
        <w:r>
          <w:rPr>
            <w:rStyle w:val="Hyperlink"/>
            <w:rFonts w:ascii="Times New Roman" w:hAnsi="Times New Roman"/>
            <w:b w:val="false"/>
            <w:i w:val="false"/>
            <w:color w:val="000000"/>
            <w:sz w:val="22"/>
          </w:rPr>
          <w:t>481—Chapters 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are applicable to contested case appeals.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3">
        <w:r>
          <w:rPr>
            <w:rStyle w:val="Hyperlink"/>
            <w:rFonts w:ascii="Times New Roman" w:hAnsi="Times New Roman"/>
            <w:b w:val="false"/>
            <w:i w:val="false"/>
            <w:color w:val="000000"/>
            <w:sz w:val="22"/>
          </w:rPr>
          <w:t>10A.531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11/9/89, Notice 10/4/89—published 11/29/89, effective 1/3/90]</w:t>
      </w:r>
    </w:p>
    <w:p>
      <w:pPr>
        <w:spacing w:before="0" w:after="0"/>
        <w:ind w:left="120"/>
        <w:jc w:val="center"/>
      </w:pPr>
      <w:r>
        <w:rPr>
          <w:rFonts w:ascii="Times New Roman" w:hAnsi="Times New Roman"/>
          <w:b w:val="false"/>
          <w:i w:val="false"/>
          <w:color w:val="000000"/>
          <w:sz w:val="21"/>
        </w:rPr>
        <w:t>[Filed 11/15/93, Notice 9/1/93—published 12/8/93, effective 1/12/94]</w:t>
      </w:r>
    </w:p>
    <w:p>
      <w:pPr>
        <w:spacing w:before="0" w:after="0"/>
        <w:ind w:left="120"/>
        <w:jc w:val="center"/>
      </w:pPr>
      <w:r>
        <w:rPr>
          <w:rFonts w:ascii="Times New Roman" w:hAnsi="Times New Roman"/>
          <w:b w:val="false"/>
          <w:i w:val="false"/>
          <w:color w:val="000000"/>
          <w:sz w:val="21"/>
        </w:rPr>
        <w:t>[Filed 11/15/02, Notice 10/2/02—published 12/11/02, effective 1/15/03]</w:t>
      </w:r>
    </w:p>
    <w:p>
      <w:pPr>
        <w:spacing w:before="0" w:after="0"/>
        <w:ind w:left="120"/>
        <w:jc w:val="center"/>
      </w:pPr>
      <w:r>
        <w:rPr>
          <w:rFonts w:ascii="Times New Roman" w:hAnsi="Times New Roman"/>
          <w:b w:val="false"/>
          <w:i w:val="false"/>
          <w:color w:val="000000"/>
          <w:sz w:val="21"/>
        </w:rPr>
        <w:t>[Filed ARC 7982B</w:t>
      </w:r>
      <w:r>
        <w:rPr>
          <w:rFonts w:ascii="Times New Roman" w:hAnsi="Times New Roman"/>
          <w:b w:val="false"/>
          <w:i w:val="false"/>
          <w:color w:val="000000"/>
          <w:sz w:val="21"/>
        </w:rPr>
        <w:t xml:space="preserve"> (Notice ARC 7530B, IAB 1/28/09)</w:t>
      </w:r>
      <w:r>
        <w:rPr>
          <w:rFonts w:ascii="Times New Roman" w:hAnsi="Times New Roman"/>
          <w:b w:val="false"/>
          <w:i w:val="false"/>
          <w:color w:val="000000"/>
          <w:sz w:val="21"/>
        </w:rPr>
        <w:t>, IAB 7/29/09, effective 1/1/10]</w:t>
      </w:r>
    </w:p>
    <w:p>
      <w:pPr>
        <w:spacing w:before="0" w:after="0"/>
        <w:ind w:left="120"/>
        <w:jc w:val="center"/>
      </w:pPr>
      <w:r>
        <w:rPr>
          <w:rFonts w:ascii="Times New Roman" w:hAnsi="Times New Roman"/>
          <w:b w:val="false"/>
          <w:i w:val="false"/>
          <w:color w:val="000000"/>
          <w:sz w:val="21"/>
        </w:rPr>
        <w:t>[Filed ARC 2656C</w:t>
      </w:r>
      <w:r>
        <w:rPr>
          <w:rFonts w:ascii="Times New Roman" w:hAnsi="Times New Roman"/>
          <w:b w:val="false"/>
          <w:i w:val="false"/>
          <w:color w:val="000000"/>
          <w:sz w:val="21"/>
        </w:rPr>
        <w:t xml:space="preserve"> (Notice ARC 2459C, IAB 3/16/16)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7832C</w:t>
      </w:r>
      <w:r>
        <w:rPr>
          <w:rFonts w:ascii="Times New Roman" w:hAnsi="Times New Roman"/>
          <w:b w:val="false"/>
          <w:i w:val="false"/>
          <w:color w:val="000000"/>
          <w:sz w:val="21"/>
        </w:rPr>
        <w:t xml:space="preserve"> (Notice ARC 7283C,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101.pdf" Type="http://schemas.openxmlformats.org/officeDocument/2006/relationships/hyperlink" Id="rId5"/>
    <Relationship TargetMode="External" Target="https://www.legis.iowa.gov/docs/ico/chapter/10A.101.pdf" Type="http://schemas.openxmlformats.org/officeDocument/2006/relationships/hyperlink" Id="rId6"/>
    <Relationship TargetMode="External" Target="https://www.legis.iowa.gov/docs/ico/chapter/10A.531.pdf" Type="http://schemas.openxmlformats.org/officeDocument/2006/relationships/hyperlink" Id="rId7"/>
    <Relationship TargetMode="External" Target="https://www.legis.iowa.gov/docs/ico/chapter/10A.531.pdf" Type="http://schemas.openxmlformats.org/officeDocument/2006/relationships/hyperlink" Id="rId8"/>
    <Relationship TargetMode="External" Target="https://www.legis.iowa.gov/docs/ico/chapter/10A.531.pdf" Type="http://schemas.openxmlformats.org/officeDocument/2006/relationships/hyperlink" Id="rId9"/>
    <Relationship TargetMode="External" Target="https://www.legis.iowa.gov/docs/iac/chapter/653.13.pdf" Type="http://schemas.openxmlformats.org/officeDocument/2006/relationships/hyperlink" Id="rId10"/>
    <Relationship TargetMode="External" Target="https://www.legis.iowa.gov/docs/ico/chapter/10A.531.pdf" Type="http://schemas.openxmlformats.org/officeDocument/2006/relationships/hyperlink" Id="rId11"/>
    <Relationship TargetMode="External" Target="https://www.legis.iowa.gov/docs/ico/chapter/142D.pdf" Type="http://schemas.openxmlformats.org/officeDocument/2006/relationships/hyperlink" Id="rId12"/>
    <Relationship TargetMode="External" Target="https://www.legis.iowa.gov/docs/iac/rule/641.22.8.pdf" Type="http://schemas.openxmlformats.org/officeDocument/2006/relationships/hyperlink" Id="rId13"/>
    <Relationship TargetMode="External" Target="https://www.legis.iowa.gov/docs/iac/rule/641.22.10.pdf" Type="http://schemas.openxmlformats.org/officeDocument/2006/relationships/hyperlink" Id="rId14"/>
    <Relationship TargetMode="External" Target="https://www.legis.iowa.gov/docs/iac/rule/641.22.5.pdf" Type="http://schemas.openxmlformats.org/officeDocument/2006/relationships/hyperlink" Id="rId15"/>
    <Relationship TargetMode="External" Target="https://www.legis.iowa.gov/docs/iac/rule/641.22.13.pdf" Type="http://schemas.openxmlformats.org/officeDocument/2006/relationships/hyperlink" Id="rId16"/>
    <Relationship TargetMode="External" Target="https://www.legis.iowa.gov/docs/ico/chapter/17A.18A.pdf" Type="http://schemas.openxmlformats.org/officeDocument/2006/relationships/hyperlink" Id="rId17"/>
    <Relationship TargetMode="External" Target="https://www.legis.iowa.gov/docs/ico/chapter/10A.pdf" Type="http://schemas.openxmlformats.org/officeDocument/2006/relationships/hyperlink" Id="rId18"/>
    <Relationship TargetMode="External" Target="https://www.legis.iowa.gov/docs/ico/chapter/10A.531.pdf" Type="http://schemas.openxmlformats.org/officeDocument/2006/relationships/hyperlink" Id="rId19"/>
    <Relationship TargetMode="External" Target="https://www.legis.iowa.gov/docs/iac/rule/641.22.16.pdf" Type="http://schemas.openxmlformats.org/officeDocument/2006/relationships/hyperlink" Id="rId20"/>
    <Relationship TargetMode="External" Target="https://www.legis.iowa.gov/docs/iac/chapter/481.9.pdf" Type="http://schemas.openxmlformats.org/officeDocument/2006/relationships/hyperlink" Id="rId21"/>
    <Relationship TargetMode="External" Target="https://www.legis.iowa.gov/docs/iac/chapter/481.10.pdf" Type="http://schemas.openxmlformats.org/officeDocument/2006/relationships/hyperlink" Id="rId22"/>
    <Relationship TargetMode="External" Target="https://www.legis.iowa.gov/docs/ico/chapter/10A.531.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