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146</w:t>
      </w:r>
    </w:p>
    <w:p>
      <w:pPr>
        <w:spacing w:before="0" w:after="0"/>
        <w:ind w:left="120"/>
        <w:jc w:val="center"/>
      </w:pPr>
      <w:r>
        <w:rPr>
          <w:rFonts w:ascii="Times New Roman" w:hAnsi="Times New Roman"/>
          <w:b w:val="false"/>
          <w:i w:val="false"/>
          <w:color w:val="000000"/>
          <w:sz w:val="21"/>
        </w:rPr>
        <w:t>STROKE CARE REPORTING</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641—146.1</w:t>
      </w:r>
      <w:r>
        <w:rPr>
          <w:rFonts w:ascii="Times New Roman" w:hAnsi="Times New Roman"/>
          <w:b/>
          <w:i w:val="false"/>
          <w:color w:val="000000"/>
          <w:sz w:val="22"/>
        </w:rPr>
        <w:t xml:space="preserve">(135)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The purpose of this chapter is to identify the statewide stroke database where nationally certified comprehensive stroke centers and nationally certified primary stroke centers in the state are required to report stroke care data in accordance with Iowa Code chapter </w:t>
      </w:r>
      <w:hyperlink r:id="rId5">
        <w:r>
          <w:rPr>
            <w:rStyle w:val="Hyperlink"/>
            <w:rFonts w:ascii="Times New Roman" w:hAnsi="Times New Roman"/>
            <w:b w:val="false"/>
            <w:i w:val="false"/>
            <w:color w:val="000000"/>
            <w:sz w:val="22"/>
          </w:rPr>
          <w:t>135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3748C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641—146.2</w:t>
      </w:r>
      <w:r>
        <w:rPr>
          <w:rFonts w:ascii="Times New Roman" w:hAnsi="Times New Roman"/>
          <w:b/>
          <w:i w:val="false"/>
          <w:color w:val="000000"/>
          <w:sz w:val="22"/>
        </w:rPr>
        <w:t xml:space="preserve">(135)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“Comprehensive stroke center” </w:t>
      </w:r>
      <w:r>
        <w:rPr>
          <w:rFonts w:ascii="Times New Roman" w:hAnsi="Times New Roman"/>
          <w:b w:val="false"/>
          <w:i w:val="false"/>
          <w:color w:val="000000"/>
          <w:sz w:val="22"/>
        </w:rPr>
        <w:t>means a hospital certified as a comprehensive stroke center by a nationally recognized certifying body with certification criteria consistent with the most current nationally recognized, evidence-based stroke guidelines related to reducing the occurrence of and disabilities and death associated with stroke.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“Primary stroke center” </w:t>
      </w:r>
      <w:r>
        <w:rPr>
          <w:rFonts w:ascii="Times New Roman" w:hAnsi="Times New Roman"/>
          <w:b w:val="false"/>
          <w:i w:val="false"/>
          <w:color w:val="000000"/>
          <w:sz w:val="22"/>
        </w:rPr>
        <w:t>means a hospital certified as a primary stroke center by a nationally recognized certifying body with certification criteria consistent with the most current nationally recognized, evidence-based stroke guidelines related to reducing the occurrence of and disabilities and death associated with stroke.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“Stroke” </w:t>
      </w:r>
      <w:r>
        <w:rPr>
          <w:rFonts w:ascii="Times New Roman" w:hAnsi="Times New Roman"/>
          <w:b w:val="false"/>
          <w:i w:val="false"/>
          <w:color w:val="000000"/>
          <w:sz w:val="22"/>
        </w:rPr>
        <w:t>means a clinical diagnosis of acute stroke or principal International Classification of Disease, 10th Revision, Clinical Modification (ICD-10-CM) discharge code of “stroke,” or “transient ischemic attack,” or “cerebral infarction,” or “cerebral hemorrhage.”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“Stroke care” </w:t>
      </w:r>
      <w:r>
        <w:rPr>
          <w:rFonts w:ascii="Times New Roman" w:hAnsi="Times New Roman"/>
          <w:b w:val="false"/>
          <w:i w:val="false"/>
          <w:color w:val="000000"/>
          <w:sz w:val="22"/>
        </w:rPr>
        <w:t>means care provided to individuals with confirmed cases of stroke.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3748C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641—146.3</w:t>
      </w:r>
      <w:r>
        <w:rPr>
          <w:rFonts w:ascii="Times New Roman" w:hAnsi="Times New Roman"/>
          <w:b/>
          <w:i w:val="false"/>
          <w:color w:val="000000"/>
          <w:sz w:val="22"/>
        </w:rPr>
        <w:t xml:space="preserve">(135) </w:t>
      </w:r>
      <w:r>
        <w:rPr>
          <w:rFonts w:ascii="Times New Roman" w:hAnsi="Times New Roman"/>
          <w:b/>
          <w:i w:val="false"/>
          <w:color w:val="000000"/>
          <w:sz w:val="22"/>
        </w:rPr>
        <w:t xml:space="preserve">Stroke care reporting.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146.3(1)</w:t>
      </w:r>
      <w:r>
        <w:rPr>
          <w:rFonts w:ascii="Times New Roman" w:hAnsi="Times New Roman"/>
          <w:b w:val="false"/>
          <w:i w:val="false"/>
          <w:color w:val="000000"/>
          <w:sz w:val="22"/>
        </w:rPr>
        <w:t> </w:t>
      </w:r>
      <w:r>
        <w:rPr>
          <w:rFonts w:ascii="Times New Roman" w:hAnsi="Times New Roman"/>
          <w:b w:val="false"/>
          <w:i/>
          <w:color w:val="000000"/>
          <w:sz w:val="22"/>
        </w:rPr>
        <w:t xml:space="preserve">Iowa statewide stroke database. </w:t>
      </w:r>
      <w:r>
        <w:rPr>
          <w:rFonts w:ascii="Times New Roman" w:hAnsi="Times New Roman"/>
          <w:b w:val="false"/>
          <w:i w:val="false"/>
          <w:color w:val="000000"/>
          <w:sz w:val="22"/>
        </w:rPr>
        <w:t xml:space="preserve">The department designates the Get with the Guidelines stroke module of the American Heart Association/American Stroke Association as the Iowa stroke database established in Iowa Code section </w:t>
      </w:r>
      <w:hyperlink r:id="rId6">
        <w:r>
          <w:rPr>
            <w:rStyle w:val="Hyperlink"/>
            <w:rFonts w:ascii="Times New Roman" w:hAnsi="Times New Roman"/>
            <w:b w:val="false"/>
            <w:i w:val="false"/>
            <w:color w:val="000000"/>
            <w:sz w:val="22"/>
          </w:rPr>
          <w:t>135.191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146.3(2)</w:t>
      </w:r>
      <w:r>
        <w:rPr>
          <w:rFonts w:ascii="Times New Roman" w:hAnsi="Times New Roman"/>
          <w:b w:val="false"/>
          <w:i w:val="false"/>
          <w:color w:val="000000"/>
          <w:sz w:val="22"/>
        </w:rPr>
        <w:t> </w:t>
      </w:r>
      <w:r>
        <w:rPr>
          <w:rFonts w:ascii="Times New Roman" w:hAnsi="Times New Roman"/>
          <w:b w:val="false"/>
          <w:i/>
          <w:color w:val="000000"/>
          <w:sz w:val="22"/>
        </w:rPr>
        <w:t xml:space="preserve">Who is required to report. </w:t>
      </w:r>
      <w:r>
        <w:rPr>
          <w:rFonts w:ascii="Times New Roman" w:hAnsi="Times New Roman"/>
          <w:b w:val="false"/>
          <w:i w:val="false"/>
          <w:color w:val="000000"/>
          <w:sz w:val="22"/>
        </w:rPr>
        <w:t>All nationally certified comprehensive stroke centers and all nationally certified primary stroke centers operating in the state of Iowa are required to report stroke data. Nationally certified acute stroke-ready hospitals and emergency medical services operating in the state of Iowa are encouraged to report stroke care data.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146.3(3)</w:t>
      </w:r>
      <w:r>
        <w:rPr>
          <w:rFonts w:ascii="Times New Roman" w:hAnsi="Times New Roman"/>
          <w:b w:val="false"/>
          <w:i w:val="false"/>
          <w:color w:val="000000"/>
          <w:sz w:val="22"/>
        </w:rPr>
        <w:t> </w:t>
      </w:r>
      <w:r>
        <w:rPr>
          <w:rFonts w:ascii="Times New Roman" w:hAnsi="Times New Roman"/>
          <w:b w:val="false"/>
          <w:i/>
          <w:color w:val="000000"/>
          <w:sz w:val="22"/>
        </w:rPr>
        <w:t xml:space="preserve">What is required to be reported. </w:t>
      </w:r>
      <w:r>
        <w:rPr>
          <w:rFonts w:ascii="Times New Roman" w:hAnsi="Times New Roman"/>
          <w:b w:val="false"/>
          <w:i w:val="false"/>
          <w:color w:val="000000"/>
          <w:sz w:val="22"/>
        </w:rPr>
        <w:t>Reportable data of stroke care are required to be reported. Reportable data are those data identified by a clinical diagnosis of acute stroke or by the following ICD-10 coding:</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304"/>
        <w:gridCol w:w="9216"/>
      </w:tblGrid>
      <w:tr>
        <w:trPr>
          <w:trHeight w:val="225" w:hRule="atLeast"/>
        </w:trPr>
        <w:tc>
          <w:tcPr>
            <w:tcW w:w="230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ICD-10-CM Code</w:t>
            </w:r>
          </w:p>
        </w:tc>
        <w:tc>
          <w:tcPr>
            <w:tcW w:w="921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Short Description</w:t>
            </w:r>
          </w:p>
        </w:tc>
      </w:tr>
      <w:tr>
        <w:trPr>
          <w:trHeight w:val="225" w:hRule="atLeast"/>
        </w:trPr>
        <w:tc>
          <w:tcPr>
            <w:tcW w:w="230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I60.00 - I60.9</w:t>
            </w:r>
          </w:p>
        </w:tc>
        <w:tc>
          <w:tcPr>
            <w:tcW w:w="921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Nontraumatic subarachnoid hemorrhage</w:t>
            </w:r>
          </w:p>
        </w:tc>
      </w:tr>
      <w:tr>
        <w:trPr>
          <w:trHeight w:val="225" w:hRule="atLeast"/>
        </w:trPr>
        <w:tc>
          <w:tcPr>
            <w:tcW w:w="230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I61.0 - I61.9</w:t>
            </w:r>
          </w:p>
        </w:tc>
        <w:tc>
          <w:tcPr>
            <w:tcW w:w="921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Nontraumatic intracerebral hemorrhage</w:t>
            </w:r>
          </w:p>
        </w:tc>
      </w:tr>
      <w:tr>
        <w:trPr>
          <w:trHeight w:val="405" w:hRule="atLeast"/>
        </w:trPr>
        <w:tc>
          <w:tcPr>
            <w:tcW w:w="230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I63.00 - I63.9</w:t>
            </w:r>
          </w:p>
        </w:tc>
        <w:tc>
          <w:tcPr>
            <w:tcW w:w="921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Cerebral infarction (occlusion and stenosis of cerebral and precerebral arteries, resulting in cerebral infarction)</w:t>
            </w:r>
          </w:p>
        </w:tc>
      </w:tr>
      <w:tr>
        <w:trPr>
          <w:trHeight w:val="225" w:hRule="atLeast"/>
        </w:trPr>
        <w:tc>
          <w:tcPr>
            <w:tcW w:w="230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G45.0 - G45.2</w:t>
            </w:r>
          </w:p>
        </w:tc>
        <w:tc>
          <w:tcPr>
            <w:tcW w:w="921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TIA and related syndromes</w:t>
            </w:r>
          </w:p>
        </w:tc>
      </w:tr>
      <w:tr>
        <w:trPr>
          <w:trHeight w:val="225" w:hRule="atLeast"/>
        </w:trPr>
        <w:tc>
          <w:tcPr>
            <w:tcW w:w="230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G45.8 - G45.9</w:t>
            </w:r>
          </w:p>
        </w:tc>
        <w:tc>
          <w:tcPr>
            <w:tcW w:w="921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TIA and related syndromes</w:t>
            </w:r>
          </w:p>
        </w:tc>
      </w:tr>
      <w:tr>
        <w:trPr>
          <w:trHeight w:val="225" w:hRule="atLeast"/>
        </w:trPr>
        <w:tc>
          <w:tcPr>
            <w:tcW w:w="230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O99.411 - O99.43</w:t>
            </w:r>
          </w:p>
        </w:tc>
        <w:tc>
          <w:tcPr>
            <w:tcW w:w="921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Diseases of the circulatory system complicating pregnancy, childbirth and puerperium</w:t>
            </w:r>
          </w:p>
        </w:tc>
      </w:tr>
      <w:tr>
        <w:trPr>
          <w:trHeight w:val="405" w:hRule="atLeast"/>
        </w:trPr>
        <w:tc>
          <w:tcPr>
            <w:tcW w:w="230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G97.31 - G97.32</w:t>
            </w:r>
          </w:p>
        </w:tc>
        <w:tc>
          <w:tcPr>
            <w:tcW w:w="921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Intraoperative hemorrhage and hematoma of a nervous system organ or structure complicating a procedure</w:t>
            </w:r>
          </w:p>
        </w:tc>
      </w:tr>
      <w:tr>
        <w:trPr>
          <w:trHeight w:val="225" w:hRule="atLeast"/>
        </w:trPr>
        <w:tc>
          <w:tcPr>
            <w:tcW w:w="230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G97.51 - G97.52</w:t>
            </w:r>
          </w:p>
        </w:tc>
        <w:tc>
          <w:tcPr>
            <w:tcW w:w="921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Postprocedural hemorrhage and hematoma of a nervous system organ or structure following a procedure</w:t>
            </w:r>
          </w:p>
        </w:tc>
      </w:tr>
      <w:tr>
        <w:trPr>
          <w:trHeight w:val="225" w:hRule="atLeast"/>
        </w:trPr>
        <w:tc>
          <w:tcPr>
            <w:tcW w:w="23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I97.810 - I97.821</w:t>
            </w:r>
          </w:p>
        </w:tc>
        <w:tc>
          <w:tcPr>
            <w:tcW w:w="92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Intraoperative and postoperative cerebrovascular infarction</w:t>
            </w:r>
          </w:p>
        </w:tc>
      </w:tr>
    </w:tbl>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3748C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641—146.4</w:t>
      </w:r>
      <w:r>
        <w:rPr>
          <w:rFonts w:ascii="Times New Roman" w:hAnsi="Times New Roman"/>
          <w:b/>
          <w:i w:val="false"/>
          <w:color w:val="000000"/>
          <w:sz w:val="22"/>
        </w:rPr>
        <w:t xml:space="preserve">(135) </w:t>
      </w:r>
      <w:r>
        <w:rPr>
          <w:rFonts w:ascii="Times New Roman" w:hAnsi="Times New Roman"/>
          <w:b/>
          <w:i w:val="false"/>
          <w:color w:val="000000"/>
          <w:sz w:val="22"/>
        </w:rPr>
        <w:t xml:space="preserve">Method and frequency of reporting.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146.4(1)</w:t>
      </w:r>
      <w:r>
        <w:rPr>
          <w:rFonts w:ascii="Times New Roman" w:hAnsi="Times New Roman"/>
          <w:b w:val="false"/>
          <w:i w:val="false"/>
          <w:color w:val="000000"/>
          <w:sz w:val="22"/>
        </w:rPr>
        <w:t> </w:t>
      </w:r>
      <w:r>
        <w:rPr>
          <w:rFonts w:ascii="Times New Roman" w:hAnsi="Times New Roman"/>
          <w:b w:val="false"/>
          <w:i w:val="false"/>
          <w:color w:val="000000"/>
          <w:sz w:val="22"/>
        </w:rPr>
        <w:t>Stroke centers shall report the required stroke care information for any reportable stroke case no later than 120 days after the patient was discharged, transferred to another hospital, or pronounced dead.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146.4(2)</w:t>
      </w:r>
      <w:r>
        <w:rPr>
          <w:rFonts w:ascii="Times New Roman" w:hAnsi="Times New Roman"/>
          <w:b w:val="false"/>
          <w:i w:val="false"/>
          <w:color w:val="000000"/>
          <w:sz w:val="22"/>
        </w:rPr>
        <w:t> </w:t>
      </w:r>
      <w:r>
        <w:rPr>
          <w:rFonts w:ascii="Times New Roman" w:hAnsi="Times New Roman"/>
          <w:b w:val="false"/>
          <w:i w:val="false"/>
          <w:color w:val="000000"/>
          <w:sz w:val="22"/>
        </w:rPr>
        <w:t>Reports shall meet the data quality, format, and timeliness standards prescribed by the Iowa statewide stroke database.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3748C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641—146.5</w:t>
      </w:r>
      <w:r>
        <w:rPr>
          <w:rFonts w:ascii="Times New Roman" w:hAnsi="Times New Roman"/>
          <w:b/>
          <w:i w:val="false"/>
          <w:color w:val="000000"/>
          <w:sz w:val="22"/>
        </w:rPr>
        <w:t xml:space="preserve">(135) </w:t>
      </w:r>
      <w:r>
        <w:rPr>
          <w:rFonts w:ascii="Times New Roman" w:hAnsi="Times New Roman"/>
          <w:b/>
          <w:i w:val="false"/>
          <w:color w:val="000000"/>
          <w:sz w:val="22"/>
        </w:rPr>
        <w:t xml:space="preserve">Confidentiality. </w:t>
      </w:r>
      <w:r>
        <w:rPr>
          <w:rFonts w:ascii="Times New Roman" w:hAnsi="Times New Roman"/>
          <w:b w:val="false"/>
          <w:i w:val="false"/>
          <w:color w:val="000000"/>
          <w:sz w:val="22"/>
        </w:rPr>
        <w:t>The Iowa statewide stroke database shall comply with federal and state law and other health information and data collection, storage, and sharing requirements of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3748C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641—146.6</w:t>
      </w:r>
      <w:r>
        <w:rPr>
          <w:rFonts w:ascii="Times New Roman" w:hAnsi="Times New Roman"/>
          <w:b/>
          <w:i w:val="false"/>
          <w:color w:val="000000"/>
          <w:sz w:val="22"/>
        </w:rPr>
        <w:t xml:space="preserve">(135) </w:t>
      </w:r>
      <w:r>
        <w:rPr>
          <w:rFonts w:ascii="Times New Roman" w:hAnsi="Times New Roman"/>
          <w:b/>
          <w:i w:val="false"/>
          <w:color w:val="000000"/>
          <w:sz w:val="22"/>
        </w:rPr>
        <w:t xml:space="preserve">Penalties and enforcement. </w:t>
      </w:r>
      <w:r>
        <w:rPr>
          <w:rFonts w:ascii="Times New Roman" w:hAnsi="Times New Roman"/>
          <w:b w:val="false"/>
          <w:i w:val="false"/>
          <w:color w:val="000000"/>
          <w:sz w:val="22"/>
        </w:rPr>
        <w:t>If a stroke center required to report under this chapter does not comply with the reporting requirements, the department may request a review of the certification of the comprehensive stroke center or the primary stroke center by the certifying entity.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3748C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7">
        <w:r>
          <w:rPr>
            <w:rStyle w:val="Hyperlink"/>
            <w:rFonts w:ascii="Times New Roman" w:hAnsi="Times New Roman"/>
            <w:b w:val="false"/>
            <w:i w:val="false"/>
            <w:color w:val="000000"/>
            <w:sz w:val="22"/>
          </w:rPr>
          <w:t>135.191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3748C</w:t>
      </w:r>
      <w:r>
        <w:rPr>
          <w:rFonts w:ascii="Times New Roman" w:hAnsi="Times New Roman"/>
          <w:b w:val="false"/>
          <w:i w:val="false"/>
          <w:color w:val="000000"/>
          <w:sz w:val="21"/>
        </w:rPr>
        <w:t xml:space="preserve"> (Notice ARC 3575C, IAB 1/17/18)</w:t>
      </w:r>
      <w:r>
        <w:rPr>
          <w:rFonts w:ascii="Times New Roman" w:hAnsi="Times New Roman"/>
          <w:b w:val="false"/>
          <w:i w:val="false"/>
          <w:color w:val="000000"/>
          <w:sz w:val="21"/>
        </w:rPr>
        <w:t>, IAB 4/11/18, effective 5/16/18]</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35.pdf" Type="http://schemas.openxmlformats.org/officeDocument/2006/relationships/hyperlink" Id="rId5"/>
    <Relationship TargetMode="External" Target="https://www.legis.iowa.gov/docs/ico/chapter/135.191.pdf" Type="http://schemas.openxmlformats.org/officeDocument/2006/relationships/hyperlink" Id="rId6"/>
    <Relationship TargetMode="External" Target="https://www.legis.iowa.gov/docs/ico/chapter/135.191.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