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143</w:t>
      </w:r>
    </w:p>
    <w:p>
      <w:pPr>
        <w:spacing w:before="0" w:after="0"/>
        <w:ind w:left="120"/>
        <w:jc w:val="center"/>
      </w:pPr>
      <w:r>
        <w:rPr>
          <w:rFonts w:ascii="Times New Roman" w:hAnsi="Times New Roman"/>
          <w:b w:val="false"/>
          <w:i w:val="false"/>
          <w:color w:val="000000"/>
          <w:sz w:val="21"/>
        </w:rPr>
        <w:t>AUTOMATED EXTERNAL DEFIBRILLATOR MAINTENANCE</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p>
    <w:p>
      <w:pPr>
        <w:pBdr>
          <w:bottom w:space="10"/>
        </w:pBdr>
        <w:spacing w:before="0" w:after="0"/>
        <w:ind w:left="120"/>
        <w:jc w:val="center"/>
      </w:pPr>
    </w:p>
    <w:p>
      <w:pPr>
        <w:spacing w:before="0" w:after="0"/>
        <w:ind w:left="120"/>
        <w:jc w:val="both"/>
      </w:pPr>
      <w:r>
        <w:rPr>
          <w:rFonts w:ascii="Times New Roman" w:hAnsi="Times New Roman"/>
          <w:b/>
          <w:i w:val="false"/>
          <w:color w:val="000000"/>
          <w:sz w:val="22"/>
        </w:rPr>
        <w:t>641—143.1</w:t>
      </w:r>
      <w:r>
        <w:rPr>
          <w:rFonts w:ascii="Times New Roman" w:hAnsi="Times New Roman"/>
          <w:b/>
          <w:i w:val="false"/>
          <w:color w:val="000000"/>
          <w:sz w:val="22"/>
        </w:rPr>
        <w:t xml:space="preserve">(613)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These rules establish standards for the maintenance of automated external defibrillators for a person or entity that owns, manages or is otherwise responsible for the premises on which an automated external defibrillator is located if the person or entity maintains the automated external defibrillator in accordance with Iowa Code section </w:t>
      </w:r>
      <w:hyperlink r:id="rId5">
        <w:r>
          <w:rPr>
            <w:rStyle w:val="Hyperlink"/>
            <w:rFonts w:ascii="Times New Roman" w:hAnsi="Times New Roman"/>
            <w:b w:val="false"/>
            <w:i w:val="false"/>
            <w:color w:val="000000"/>
            <w:sz w:val="22"/>
          </w:rPr>
          <w:t>613.17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7551B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3396C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641—143.2</w:t>
      </w:r>
      <w:r>
        <w:rPr>
          <w:rFonts w:ascii="Times New Roman" w:hAnsi="Times New Roman"/>
          <w:b/>
          <w:i w:val="false"/>
          <w:color w:val="000000"/>
          <w:sz w:val="22"/>
        </w:rPr>
        <w:t xml:space="preserve">(613) </w:t>
      </w:r>
      <w:r>
        <w:rPr>
          <w:rFonts w:ascii="Times New Roman" w:hAnsi="Times New Roman"/>
          <w:b/>
          <w:i w:val="false"/>
          <w:color w:val="000000"/>
          <w:sz w:val="22"/>
        </w:rPr>
        <w:t xml:space="preserve">Definition. </w:t>
      </w:r>
      <w:r>
        <w:rPr>
          <w:rFonts w:ascii="Times New Roman" w:hAnsi="Times New Roman"/>
          <w:b w:val="false"/>
          <w:i w:val="false"/>
          <w:color w:val="000000"/>
          <w:sz w:val="22"/>
        </w:rPr>
        <w:t>For the purposes of these rules, the following definition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“Automated external defibrillator”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“AED” </w:t>
      </w:r>
      <w:r>
        <w:rPr>
          <w:rFonts w:ascii="Times New Roman" w:hAnsi="Times New Roman"/>
          <w:b w:val="false"/>
          <w:i w:val="false"/>
          <w:color w:val="000000"/>
          <w:sz w:val="22"/>
        </w:rPr>
        <w:t>means an external semiautomatic device that determines whether defibrillation is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7551B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3396C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641—143.3</w:t>
      </w:r>
      <w:r>
        <w:rPr>
          <w:rFonts w:ascii="Times New Roman" w:hAnsi="Times New Roman"/>
          <w:b/>
          <w:i w:val="false"/>
          <w:color w:val="000000"/>
          <w:sz w:val="22"/>
        </w:rPr>
        <w:t xml:space="preserve">(613) </w:t>
      </w:r>
      <w:r>
        <w:rPr>
          <w:rFonts w:ascii="Times New Roman" w:hAnsi="Times New Roman"/>
          <w:b/>
          <w:i w:val="false"/>
          <w:color w:val="000000"/>
          <w:sz w:val="22"/>
        </w:rPr>
        <w:t xml:space="preserve">AED maintenance. </w:t>
      </w:r>
      <w:r>
        <w:rPr>
          <w:rFonts w:ascii="Times New Roman" w:hAnsi="Times New Roman"/>
          <w:b w:val="false"/>
          <w:i w:val="false"/>
          <w:color w:val="000000"/>
          <w:sz w:val="22"/>
        </w:rPr>
        <w:t>The person or entity maintaining the AED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143.3(1)</w:t>
      </w:r>
      <w:r>
        <w:rPr>
          <w:rFonts w:ascii="Times New Roman" w:hAnsi="Times New Roman"/>
          <w:b w:val="false"/>
          <w:i w:val="false"/>
          <w:color w:val="000000"/>
          <w:sz w:val="22"/>
        </w:rPr>
        <w:t> </w:t>
      </w:r>
      <w:r>
        <w:rPr>
          <w:rFonts w:ascii="Times New Roman" w:hAnsi="Times New Roman"/>
          <w:b w:val="false"/>
          <w:i w:val="false"/>
          <w:color w:val="000000"/>
          <w:sz w:val="22"/>
        </w:rPr>
        <w:t>Ensure that the AED is maintained and inspected in accordance with the manufacturer’s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143.3(2)</w:t>
      </w:r>
      <w:r>
        <w:rPr>
          <w:rFonts w:ascii="Times New Roman" w:hAnsi="Times New Roman"/>
          <w:b w:val="false"/>
          <w:i w:val="false"/>
          <w:color w:val="000000"/>
          <w:sz w:val="22"/>
        </w:rPr>
        <w:t> </w:t>
      </w:r>
      <w:r>
        <w:rPr>
          <w:rFonts w:ascii="Times New Roman" w:hAnsi="Times New Roman"/>
          <w:b w:val="false"/>
          <w:i w:val="false"/>
          <w:color w:val="000000"/>
          <w:sz w:val="22"/>
        </w:rPr>
        <w:t>Maintain records of all maintenance and inspections of the AED for the usable life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143.3(3)</w:t>
      </w:r>
      <w:r>
        <w:rPr>
          <w:rFonts w:ascii="Times New Roman" w:hAnsi="Times New Roman"/>
          <w:b w:val="false"/>
          <w:i w:val="false"/>
          <w:color w:val="000000"/>
          <w:sz w:val="22"/>
        </w:rPr>
        <w:t> </w:t>
      </w:r>
      <w:r>
        <w:rPr>
          <w:rFonts w:ascii="Times New Roman" w:hAnsi="Times New Roman"/>
          <w:b w:val="false"/>
          <w:i w:val="false"/>
          <w:color w:val="000000"/>
          <w:sz w:val="22"/>
        </w:rPr>
        <w:t>Ensure that the AED is programmed to conform to nationally accepted guidelines for treatment of cardiac arrest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7551B</w:t>
      </w:r>
      <w:r>
        <w:rPr>
          <w:rFonts w:ascii="Times New Roman" w:hAnsi="Times New Roman"/>
          <w:b w:val="false"/>
          <w:i w:val="false"/>
          <w:color w:val="000000"/>
          <w:sz w:val="16"/>
        </w:rPr>
        <w:t>, IAB 2/11/09, effective 3/18/09</w:t>
      </w:r>
      <w:r>
        <w:rPr>
          <w:rFonts w:ascii="Times New Roman" w:hAnsi="Times New Roman"/>
          <w:b w:val="false"/>
          <w:i w:val="false"/>
          <w:color w:val="000000"/>
          <w:sz w:val="16"/>
        </w:rPr>
        <w:t xml:space="preserve">; </w:t>
      </w:r>
      <w:r>
        <w:rPr>
          <w:rFonts w:ascii="Times New Roman" w:hAnsi="Times New Roman"/>
          <w:b/>
          <w:i w:val="false"/>
          <w:color w:val="000000"/>
          <w:sz w:val="16"/>
        </w:rPr>
        <w:t>ARC 3396C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613.17</w:t>
        </w:r>
      </w:hyperlink>
      <w:r>
        <w:rPr>
          <w:rFonts w:ascii="Times New Roman" w:hAnsi="Times New Roman"/>
          <w:b w:val="false"/>
          <w:i w:val="false"/>
          <w:color w:val="000000"/>
          <w:sz w:val="22"/>
        </w:rPr>
        <w:t>.</w:t>
      </w:r>
    </w:p>
    <w:p>
      <w:pPr>
        <w:pBdr>
          <w:top w:space="10"/>
        </w:pBdr>
        <w:spacing w:before="0" w:after="0"/>
        <w:ind w:left="120"/>
        <w:jc w:val="center"/>
      </w:pPr>
    </w:p>
    <w:p>
      <w:pPr>
        <w:spacing w:before="0" w:after="0"/>
        <w:ind w:left="120"/>
        <w:jc w:val="left"/>
      </w:pPr>
    </w:p>
    <w:p>
      <w:pPr>
        <w:spacing w:before="0" w:after="0"/>
        <w:ind w:left="120"/>
        <w:jc w:val="center"/>
      </w:pPr>
      <w:r>
        <w:rPr>
          <w:rFonts w:ascii="Times New Roman" w:hAnsi="Times New Roman"/>
          <w:b w:val="false"/>
          <w:i w:val="false"/>
          <w:color w:val="000000"/>
          <w:sz w:val="21"/>
        </w:rPr>
        <w:t>[Filed emergency 11/10/04—published 12/8/04, effective 11/10/04]</w:t>
      </w:r>
    </w:p>
    <w:p>
      <w:pPr>
        <w:spacing w:before="0" w:after="0"/>
        <w:ind w:left="120"/>
        <w:jc w:val="center"/>
      </w:pPr>
      <w:r>
        <w:rPr>
          <w:rFonts w:ascii="Times New Roman" w:hAnsi="Times New Roman"/>
          <w:b w:val="false"/>
          <w:i w:val="false"/>
          <w:color w:val="000000"/>
          <w:sz w:val="21"/>
        </w:rPr>
        <w:t>[Filed 1/13/05, Notice 12/8/04—published 2/2/05, effective 3/9/05]</w:t>
      </w:r>
    </w:p>
    <w:p>
      <w:pPr>
        <w:spacing w:before="0" w:after="0"/>
        <w:ind w:left="120"/>
        <w:jc w:val="center"/>
      </w:pPr>
      <w:r>
        <w:rPr>
          <w:rFonts w:ascii="Times New Roman" w:hAnsi="Times New Roman"/>
          <w:b w:val="false"/>
          <w:i w:val="false"/>
          <w:color w:val="000000"/>
          <w:sz w:val="21"/>
        </w:rPr>
        <w:t>[Filed ARC 7551B</w:t>
      </w:r>
      <w:r>
        <w:rPr>
          <w:rFonts w:ascii="Times New Roman" w:hAnsi="Times New Roman"/>
          <w:b w:val="false"/>
          <w:i w:val="false"/>
          <w:color w:val="000000"/>
          <w:sz w:val="21"/>
        </w:rPr>
        <w:t xml:space="preserve"> (Notice ARC 7358B,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9358B</w:t>
      </w:r>
      <w:r>
        <w:rPr>
          <w:rFonts w:ascii="Times New Roman" w:hAnsi="Times New Roman"/>
          <w:b w:val="false"/>
          <w:i w:val="false"/>
          <w:color w:val="000000"/>
          <w:sz w:val="21"/>
        </w:rPr>
        <w:t xml:space="preserve"> (Notice ARC 9241B, IAB 11/17/10)</w:t>
      </w:r>
      <w:r>
        <w:rPr>
          <w:rFonts w:ascii="Times New Roman" w:hAnsi="Times New Roman"/>
          <w:b w:val="false"/>
          <w:i w:val="false"/>
          <w:color w:val="000000"/>
          <w:sz w:val="21"/>
        </w:rPr>
        <w:t>, IAB 2/9/11, effective 3/16/11]</w:t>
      </w:r>
    </w:p>
    <w:p>
      <w:pPr>
        <w:spacing w:before="0" w:after="0"/>
        <w:ind w:left="120"/>
        <w:jc w:val="center"/>
      </w:pPr>
      <w:r>
        <w:rPr>
          <w:rFonts w:ascii="Times New Roman" w:hAnsi="Times New Roman"/>
          <w:b w:val="false"/>
          <w:i w:val="false"/>
          <w:color w:val="000000"/>
          <w:sz w:val="21"/>
        </w:rPr>
        <w:t>[Filed ARC 3396C</w:t>
      </w:r>
      <w:r>
        <w:rPr>
          <w:rFonts w:ascii="Times New Roman" w:hAnsi="Times New Roman"/>
          <w:b w:val="false"/>
          <w:i w:val="false"/>
          <w:color w:val="000000"/>
          <w:sz w:val="21"/>
        </w:rPr>
        <w:t xml:space="preserve"> (Notice ARC 3204C, IAB 7/19/17)</w:t>
      </w:r>
      <w:r>
        <w:rPr>
          <w:rFonts w:ascii="Times New Roman" w:hAnsi="Times New Roman"/>
          <w:b w:val="false"/>
          <w:i w:val="false"/>
          <w:color w:val="000000"/>
          <w:sz w:val="21"/>
        </w:rPr>
        <w:t>, IAB 10/11/17, effective 11/15/17]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13.17.pdf" Type="http://schemas.openxmlformats.org/officeDocument/2006/relationships/hyperlink" Id="rId5"/>
    <Relationship TargetMode="External" Target="https://www.legis.iowa.gov/docs/ico/chapter/613.1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