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137</w:t>
      </w:r>
    </w:p>
    <w:p>
      <w:pPr>
        <w:spacing w:before="0" w:after="0"/>
        <w:ind w:left="120"/>
        <w:jc w:val="center"/>
      </w:pPr>
      <w:r>
        <w:rPr>
          <w:rFonts w:ascii="Times New Roman" w:hAnsi="Times New Roman"/>
          <w:b w:val="false"/>
          <w:i w:val="false"/>
          <w:color w:val="000000"/>
          <w:sz w:val="21"/>
        </w:rPr>
        <w:t>TRAUMA EDUCATION AND TRAINING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641—137.1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nurse pursuant to </w:t>
      </w:r>
      <w:hyperlink r:id="rId5">
        <w:r>
          <w:rPr>
            <w:rStyle w:val="Hyperlink"/>
            <w:rFonts w:ascii="Times New Roman" w:hAnsi="Times New Roman"/>
            <w:b w:val="false"/>
            <w:i w:val="false"/>
            <w:color w:val="000000"/>
            <w:sz w:val="22"/>
          </w:rPr>
          <w:t>655—7.1(152)</w:t>
        </w:r>
      </w:hyperlink>
      <w:r>
        <w:rPr>
          <w:rFonts w:ascii="Times New Roman" w:hAnsi="Times New Roman"/>
          <w:b w:val="false"/>
          <w:i w:val="false"/>
          <w:color w:val="000000"/>
          <w:sz w:val="22"/>
        </w:rPr>
        <w:t xml:space="preserve"> with current licensure as a registered nurse in Iowa who is registered in Iowa to practice in an advanced role. The ARNP is prepared for an advanced role by virtue of additional knowledge and skills gained through a formal advanced practice education program of nursing in a specialty area approved by the board. In the advanced role, the nurse practices nursing assessment, intervention, and management within the boundaries of the nurse-client relationship. Advanced nursing practice occurs in a variety of settings within an interdisciplinary health care team, which provide for consultation, collaborative management, or referral. The ARNP may perform selected medically delegated functions when a collaborative practice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education” </w:t>
      </w:r>
      <w:r>
        <w:rPr>
          <w:rFonts w:ascii="Times New Roman" w:hAnsi="Times New Roman"/>
          <w:b w:val="false"/>
          <w:i w:val="false"/>
          <w:color w:val="000000"/>
          <w:sz w:val="22"/>
        </w:rPr>
        <w:t>means education in standardized educational settings with a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practical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“LPN” </w:t>
      </w:r>
      <w:r>
        <w:rPr>
          <w:rFonts w:ascii="Times New Roman" w:hAnsi="Times New Roman"/>
          <w:b w:val="false"/>
          <w:i w:val="false"/>
          <w:color w:val="000000"/>
          <w:sz w:val="22"/>
        </w:rPr>
        <w:t xml:space="preserve">means an individual licensed pursuant to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person who practices medicine or one of the associated health care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w:t>
      </w:r>
      <w:r>
        <w:rPr>
          <w:rFonts w:ascii="Times New Roman" w:hAnsi="Times New Roman"/>
          <w:b w:val="false"/>
          <w:i w:val="false"/>
          <w:color w:val="000000"/>
          <w:sz w:val="22"/>
        </w:rPr>
        <w:t>means a single or multisystem life-threatening or limb-threatening injury, or an injury requiring immediate medical or surgical intervention or treatment to prevent death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means a hospital or emergency care facility which provides trauma care and has been verified by the department as having Level I, Level II, Level III or Level IV care capabilities and has been issued a certificate of verification pursuant to Iowa Code section 147A.23(2)“</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nursing course objectives” </w:t>
      </w:r>
      <w:r>
        <w:rPr>
          <w:rFonts w:ascii="Times New Roman" w:hAnsi="Times New Roman"/>
          <w:b w:val="false"/>
          <w:i w:val="false"/>
          <w:color w:val="000000"/>
          <w:sz w:val="22"/>
        </w:rPr>
        <w:t>means the trauma nursing course objectives recommended to the department by the trauma system advisory council and adopted by reference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patient” </w:t>
      </w:r>
      <w:r>
        <w:rPr>
          <w:rFonts w:ascii="Times New Roman" w:hAnsi="Times New Roman"/>
          <w:b w:val="false"/>
          <w:i w:val="false"/>
          <w:color w:val="000000"/>
          <w:sz w:val="22"/>
        </w:rPr>
        <w:t>means a victim of an external cause of injury that results in major or minor tissue damage or destruction caused by intentional or unintentional exposure to thermal, mechanical, electrical or chemical energy, or by the absence of heat or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system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“TSAC” </w:t>
      </w:r>
      <w:r>
        <w:rPr>
          <w:rFonts w:ascii="Times New Roman" w:hAnsi="Times New Roman"/>
          <w:b w:val="false"/>
          <w:i w:val="false"/>
          <w:color w:val="000000"/>
          <w:sz w:val="22"/>
        </w:rPr>
        <w:t xml:space="preserve">means the council established by the department pursuant to Iowa Code section </w:t>
      </w:r>
      <w:hyperlink r:id="rId12">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team” </w:t>
      </w:r>
      <w:r>
        <w:rPr>
          <w:rFonts w:ascii="Times New Roman" w:hAnsi="Times New Roman"/>
          <w:b w:val="false"/>
          <w:i w:val="false"/>
          <w:color w:val="000000"/>
          <w:sz w:val="22"/>
        </w:rPr>
        <w:t>means a team of multidisciplinary health care providers established and defined by a trauma care facility that provides trauma care commensurate with the level of trauma care facility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means a process by which the department certifies a trauma care facility’s capacity to provide trauma care in accordance with criteria established for Level I, Level II, Level III or Level IV trauma care facilities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3241C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trauma education requirements. </w:t>
      </w:r>
      <w:r>
        <w:rPr>
          <w:rFonts w:ascii="Times New Roman" w:hAnsi="Times New Roman"/>
          <w:b w:val="false"/>
          <w:i w:val="false"/>
          <w:color w:val="000000"/>
          <w:sz w:val="22"/>
        </w:rPr>
        <w:t>Trauma education is required of physicians, physician assistants, advanced registered nurse practitioners, registered nurses, and licensed practical nurses who are identified or defined as trauma team members by a trauma care facility and who participate directly in the initial resuscitation of the trauma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137.2(1)</w:t>
      </w:r>
      <w:r>
        <w:rPr>
          <w:rFonts w:ascii="Times New Roman" w:hAnsi="Times New Roman"/>
          <w:b w:val="false"/>
          <w:i w:val="false"/>
          <w:color w:val="000000"/>
          <w:sz w:val="22"/>
        </w:rPr>
        <w:t> </w:t>
      </w:r>
      <w:r>
        <w:rPr>
          <w:rFonts w:ascii="Times New Roman" w:hAnsi="Times New Roman"/>
          <w:b w:val="false"/>
          <w:i w:val="false"/>
          <w:color w:val="000000"/>
          <w:sz w:val="22"/>
        </w:rPr>
        <w:t>General requirements for initial trauma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initial trauma education shall be done within three years of the trauma care facility’s initial verification or within one year of the practitioner’s joining the trauma care facility’s trauma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Trauma nursing course objectives (2007) are incorporated and adopted by reference for all trauma care facilities. For any differences which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Trauma nursing course objectives are available from the Department of Public Health, Bureau of Emergency and Trauma Services (BETS), Lucas State Office Building, Des Moines, Iowa 50319-0075, or the BETS Web site (</w:t>
      </w:r>
      <w:hyperlink r:id="rId13">
        <w:r>
          <w:rPr>
            <w:rStyle w:val="Hyperlink"/>
            <w:rFonts w:ascii="Times New Roman" w:hAnsi="Times New Roman"/>
            <w:b w:val="false"/>
            <w:i w:val="false"/>
            <w:color w:val="000000"/>
            <w:sz w:val="22"/>
            <w:u w:val="single"/>
          </w:rPr>
          <w:t>http://idph.iowa.gov/BETS/Trauma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137.2(2)</w:t>
      </w:r>
      <w:r>
        <w:rPr>
          <w:rFonts w:ascii="Times New Roman" w:hAnsi="Times New Roman"/>
          <w:b w:val="false"/>
          <w:i w:val="false"/>
          <w:color w:val="000000"/>
          <w:sz w:val="22"/>
        </w:rPr>
        <w:t> </w:t>
      </w:r>
      <w:r>
        <w:rPr>
          <w:rFonts w:ascii="Times New Roman" w:hAnsi="Times New Roman"/>
          <w:b w:val="false"/>
          <w:i w:val="false"/>
          <w:color w:val="000000"/>
          <w:sz w:val="22"/>
        </w:rPr>
        <w:t>Specific requirements for initial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according to the “Resources for Optimal Care of the Injured Patient 2014” (6th edition) published by the American College of Surgeons Committee on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RNs and LPNs: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successful completion of trauma nursing course objectives (2007) recommended by TSAC.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3241C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641—137.3</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trauma education requirements. </w:t>
      </w:r>
      <w:r>
        <w:rPr>
          <w:rFonts w:ascii="Times New Roman" w:hAnsi="Times New Roman"/>
          <w:b w:val="false"/>
          <w:i w:val="false"/>
          <w:color w:val="000000"/>
          <w:sz w:val="22"/>
        </w:rPr>
        <w:t>Continuing trauma education is required every four years of physicians, physician assistants, advanced registered nurse practitioners, registered nurses, and licensed practical nurses who are identified or defined as trauma team members by a trauma care facility and who participate directly in the initial resuscitation of the trauma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137.3(1)</w:t>
      </w:r>
      <w:r>
        <w:rPr>
          <w:rFonts w:ascii="Times New Roman" w:hAnsi="Times New Roman"/>
          <w:b w:val="false"/>
          <w:i w:val="false"/>
          <w:color w:val="000000"/>
          <w:sz w:val="22"/>
        </w:rPr>
        <w:t> </w:t>
      </w:r>
      <w:r>
        <w:rPr>
          <w:rFonts w:ascii="Times New Roman" w:hAnsi="Times New Roman"/>
          <w:b w:val="false"/>
          <w:i w:val="false"/>
          <w:color w:val="000000"/>
          <w:sz w:val="22"/>
        </w:rPr>
        <w:t>Specific requirements for continuing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according to the “Resources for Optimal Care of the Injured Patient 2014” (6th edition) published by the American College of Surgeons Committee on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RN and LPN: 16 hours of continuing trauma education is required, with a minimum of 4 hours as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RN and LPN: Sustainment of training using trauma nursing course objectives (2007) recommended by TSAC. Continuing education hours earned sustaining trauma nurse course objectives may be applied to continuing education requirements identified in paragraph 137.3(1)“</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137.3(2)</w:t>
      </w:r>
      <w:r>
        <w:rPr>
          <w:rFonts w:ascii="Times New Roman" w:hAnsi="Times New Roman"/>
          <w:b w:val="false"/>
          <w:i w:val="false"/>
          <w:color w:val="000000"/>
          <w:sz w:val="22"/>
        </w:rPr>
        <w:t xml:space="preserve"> to </w:t>
      </w:r>
      <w:r>
        <w:rPr>
          <w:rFonts w:ascii="Times New Roman" w:hAnsi="Times New Roman"/>
          <w:b/>
          <w:i w:val="false"/>
          <w:color w:val="000000"/>
          <w:sz w:val="22"/>
        </w:rPr>
        <w:t>137.3(4)</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8/2/17</w:t>
      </w:r>
      <w:r>
        <w:rPr>
          <w:rFonts w:ascii="Times New Roman" w:hAnsi="Times New Roman"/>
          <w:b w:val="false"/>
          <w:i w:val="false"/>
          <w:color w:val="000000"/>
          <w:sz w:val="22"/>
        </w:rPr>
        <w:t>, effective 9/6/17.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3241C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641—137.4</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Offenses and penalties will be addressed pursuant to 641—Chapter 134, Trauma Care Facility Categorization and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3241C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2/10/99—published 6/2/99, effective 7/7/99]</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1081C</w:t>
      </w:r>
      <w:r>
        <w:rPr>
          <w:rFonts w:ascii="Times New Roman" w:hAnsi="Times New Roman"/>
          <w:b w:val="false"/>
          <w:i w:val="false"/>
          <w:color w:val="000000"/>
          <w:sz w:val="21"/>
        </w:rPr>
        <w:t xml:space="preserve"> (Notice ARC 0773C, IAB 5/29/13)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3241C</w:t>
      </w:r>
      <w:r>
        <w:rPr>
          <w:rFonts w:ascii="Times New Roman" w:hAnsi="Times New Roman"/>
          <w:b w:val="false"/>
          <w:i w:val="false"/>
          <w:color w:val="000000"/>
          <w:sz w:val="21"/>
        </w:rPr>
        <w:t xml:space="preserve"> (Notice ARC 3076C, IAB 5/24/17)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50.pdf" Type="http://schemas.openxmlformats.org/officeDocument/2006/relationships/hyperlink" Id="rId8"/>
    <Relationship TargetMode="External" Target="https://www.legis.iowa.gov/docs/ico/chapter/150A.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52.pdf" Type="http://schemas.openxmlformats.org/officeDocument/2006/relationships/hyperlink" Id="rId11"/>
    <Relationship TargetMode="External" Target="https://www.legis.iowa.gov/docs/ico/chapter/147A.24.pdf" Type="http://schemas.openxmlformats.org/officeDocument/2006/relationships/hyperlink" Id="rId12"/>
    <Relationship TargetMode="External" Target="http://idph.iowa.gov/BETS/Trauma" Type="http://schemas.openxmlformats.org/officeDocument/2006/relationships/hyperlink" Id="rId13"/>
    <Relationship TargetMode="External" Target="https://www.legis.iowa.gov/docs/ico/chapter/147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