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136</w:t>
      </w:r>
    </w:p>
    <w:p>
      <w:pPr>
        <w:spacing w:before="0" w:after="0"/>
        <w:ind w:left="120"/>
        <w:jc w:val="center"/>
      </w:pPr>
      <w:r>
        <w:rPr>
          <w:rFonts w:ascii="Times New Roman" w:hAnsi="Times New Roman"/>
          <w:b w:val="false"/>
          <w:i w:val="false"/>
          <w:color w:val="000000"/>
          <w:sz w:val="21"/>
        </w:rPr>
        <w:t>TRAUMA REGISTRY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641—136.1</w:t>
      </w:r>
      <w:r>
        <w:rPr>
          <w:rFonts w:ascii="Times New Roman" w:hAnsi="Times New Roman"/>
          <w:b/>
          <w:i w:val="false"/>
          <w:color w:val="000000"/>
          <w:sz w:val="22"/>
        </w:rPr>
        <w:t xml:space="preserve">(147A)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“Cases” </w:t>
      </w:r>
      <w:r>
        <w:rPr>
          <w:rFonts w:ascii="Times New Roman" w:hAnsi="Times New Roman"/>
          <w:b w:val="false"/>
          <w:i w:val="false"/>
          <w:color w:val="000000"/>
          <w:sz w:val="22"/>
        </w:rPr>
        <w:t>means trauma patients that meet the trauma registry inclusion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providers” </w:t>
      </w:r>
      <w:r>
        <w:rPr>
          <w:rFonts w:ascii="Times New Roman" w:hAnsi="Times New Roman"/>
          <w:b w:val="false"/>
          <w:i w:val="false"/>
          <w:color w:val="000000"/>
          <w:sz w:val="22"/>
        </w:rPr>
        <w:t>for the purpose of this chapter includes licensed physicians, nurse practitioners, physician assistants, and registered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“Inclusion criteria” </w:t>
      </w:r>
      <w:r>
        <w:rPr>
          <w:rFonts w:ascii="Times New Roman" w:hAnsi="Times New Roman"/>
          <w:b w:val="false"/>
          <w:i w:val="false"/>
          <w:color w:val="000000"/>
          <w:sz w:val="22"/>
        </w:rPr>
        <w:t>means criteria determined by the department and adopted by reference to determine which trauma patients are to be included in the trauma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“Reportable patient data” </w:t>
      </w:r>
      <w:r>
        <w:rPr>
          <w:rFonts w:ascii="Times New Roman" w:hAnsi="Times New Roman"/>
          <w:b w:val="false"/>
          <w:i w:val="false"/>
          <w:color w:val="000000"/>
          <w:sz w:val="22"/>
        </w:rPr>
        <w:t>means data and definitions determined by the department and adopted by reference to be reported to the trauma registry on trauma patients meeting the inclusion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care facility” </w:t>
      </w:r>
      <w:r>
        <w:rPr>
          <w:rFonts w:ascii="Times New Roman" w:hAnsi="Times New Roman"/>
          <w:b w:val="false"/>
          <w:i w:val="false"/>
          <w:color w:val="000000"/>
          <w:sz w:val="22"/>
        </w:rPr>
        <w:t xml:space="preserve">means a hospital or emergency care facility which provides trauma care and has been verified by the department as having Level I, Level II, Level III or Level IV care capabilities and has been issued a certificate of verification pursuant to Iowa Code section </w:t>
      </w:r>
      <w:hyperlink r:id="rId5">
        <w:r>
          <w:rPr>
            <w:rStyle w:val="Hyperlink"/>
            <w:rFonts w:ascii="Times New Roman" w:hAnsi="Times New Roman"/>
            <w:b w:val="false"/>
            <w:i w:val="false"/>
            <w:color w:val="000000"/>
            <w:sz w:val="22"/>
          </w:rPr>
          <w:t>147A.23(2)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patient” </w:t>
      </w:r>
      <w:r>
        <w:rPr>
          <w:rFonts w:ascii="Times New Roman" w:hAnsi="Times New Roman"/>
          <w:b w:val="false"/>
          <w:i w:val="false"/>
          <w:color w:val="000000"/>
          <w:sz w:val="22"/>
        </w:rPr>
        <w:t xml:space="preserve">means a victim of an external cause of injury that results in major or minor tissue damage or destruction caused by intentional or unintentional exposure to thermal, mechanical, electrical or chemical energy, or by the absence of heat or oxygen as defined in the “Iowa Trauma Patient Data Dictionary” as established in </w:t>
      </w:r>
      <w:hyperlink r:id="rId6">
        <w:r>
          <w:rPr>
            <w:rStyle w:val="Hyperlink"/>
            <w:rFonts w:ascii="Times New Roman" w:hAnsi="Times New Roman"/>
            <w:b w:val="false"/>
            <w:i w:val="false"/>
            <w:color w:val="000000"/>
            <w:sz w:val="22"/>
          </w:rPr>
          <w:t>136.2(1)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registry” </w:t>
      </w:r>
      <w:r>
        <w:rPr>
          <w:rFonts w:ascii="Times New Roman" w:hAnsi="Times New Roman"/>
          <w:b w:val="false"/>
          <w:i w:val="false"/>
          <w:color w:val="000000"/>
          <w:sz w:val="22"/>
        </w:rPr>
        <w:t>means the data repository operated by the department to collect and analyze reportable patient data on the incidence, severity, and causes of trauma, including the central registry for brain and spinal cord injuries (rule </w:t>
      </w:r>
      <w:hyperlink r:id="rId7">
        <w:r>
          <w:rPr>
            <w:rStyle w:val="Hyperlink"/>
            <w:rFonts w:ascii="Times New Roman" w:hAnsi="Times New Roman"/>
            <w:b w:val="false"/>
            <w:i w:val="false"/>
            <w:color w:val="000000"/>
            <w:sz w:val="22"/>
          </w:rPr>
          <w:t>641—21.1(135)</w:t>
        </w:r>
      </w:hyperlink>
      <w:r>
        <w:rPr>
          <w:rFonts w:ascii="Times New Roman" w:hAnsi="Times New Roman"/>
          <w:b w:val="false"/>
          <w:i w:val="false"/>
          <w:color w:val="000000"/>
          <w:sz w:val="22"/>
        </w:rPr>
        <w:t>) and farm-related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survey team” </w:t>
      </w:r>
      <w:r>
        <w:rPr>
          <w:rFonts w:ascii="Times New Roman" w:hAnsi="Times New Roman"/>
          <w:b w:val="false"/>
          <w:i w:val="false"/>
          <w:color w:val="000000"/>
          <w:sz w:val="22"/>
        </w:rPr>
        <w:t xml:space="preserve">means a group of health care providers contracted by the department to assist in verifying trauma care facilities’ compliance with trauma criteria adopted by reference in </w:t>
      </w:r>
      <w:hyperlink r:id="rId8">
        <w:r>
          <w:rPr>
            <w:rStyle w:val="Hyperlink"/>
            <w:rFonts w:ascii="Times New Roman" w:hAnsi="Times New Roman"/>
            <w:b w:val="false"/>
            <w:i w:val="false"/>
            <w:color w:val="000000"/>
            <w:sz w:val="22"/>
          </w:rPr>
          <w:t>641—subrule 134.2(3)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3106C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3834C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641—136.2</w:t>
      </w:r>
      <w:r>
        <w:rPr>
          <w:rFonts w:ascii="Times New Roman" w:hAnsi="Times New Roman"/>
          <w:b/>
          <w:i w:val="false"/>
          <w:color w:val="000000"/>
          <w:sz w:val="22"/>
        </w:rPr>
        <w:t xml:space="preserve">(147A) </w:t>
      </w:r>
      <w:r>
        <w:rPr>
          <w:rFonts w:ascii="Times New Roman" w:hAnsi="Times New Roman"/>
          <w:b/>
          <w:i w:val="false"/>
          <w:color w:val="000000"/>
          <w:sz w:val="22"/>
        </w:rPr>
        <w:t xml:space="preserve">Trauma registry.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136.2(1)</w:t>
      </w:r>
      <w:r>
        <w:rPr>
          <w:rFonts w:ascii="Times New Roman" w:hAnsi="Times New Roman"/>
          <w:b w:val="false"/>
          <w:i w:val="false"/>
          <w:color w:val="000000"/>
          <w:sz w:val="22"/>
        </w:rPr>
        <w:t> </w:t>
      </w:r>
      <w:r>
        <w:rPr>
          <w:rFonts w:ascii="Times New Roman" w:hAnsi="Times New Roman"/>
          <w:b w:val="false"/>
          <w:i w:val="false"/>
          <w:color w:val="000000"/>
          <w:sz w:val="22"/>
        </w:rPr>
        <w:t>Adoption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 Trauma Patient Data Dictionary” (January 2017) is incorporated by reference for inclusion criteria and reportable patient data to be reported to the trauma registry. For any differences which may occur between the adopted reference and this chapter, the administrative rules shall prevail.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“Iowa Trauma Patient Data Dictionary” (January 2017) is available through the Iowa Department of Public Health, Bureau of Emergency and Trauma Services (BETS), Lucas State Office Building, Des Moines, Iowa 50319-0075, or the BETS website </w:t>
      </w:r>
      <w:hyperlink r:id="rId9">
        <w:r>
          <w:rPr>
            <w:rStyle w:val="Hyperlink"/>
            <w:rFonts w:ascii="Times New Roman" w:hAnsi="Times New Roman"/>
            <w:b w:val="false"/>
            <w:i w:val="false"/>
            <w:color w:val="000000"/>
            <w:sz w:val="22"/>
            <w:u w:val="single"/>
          </w:rPr>
          <w:t>idph.iowa.gov/Portals/1/userfiles/43/Trauma_Patient_Registry_Data_Dictionary.pdf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136.2(2)</w:t>
      </w:r>
      <w:r>
        <w:rPr>
          <w:rFonts w:ascii="Times New Roman" w:hAnsi="Times New Roman"/>
          <w:b w:val="false"/>
          <w:i w:val="false"/>
          <w:color w:val="000000"/>
          <w:sz w:val="22"/>
        </w:rPr>
        <w:t> </w:t>
      </w:r>
      <w:r>
        <w:rPr>
          <w:rFonts w:ascii="Times New Roman" w:hAnsi="Times New Roman"/>
          <w:b w:val="false"/>
          <w:i w:val="false"/>
          <w:color w:val="000000"/>
          <w:sz w:val="22"/>
        </w:rPr>
        <w:t>A trauma care facility shall report data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Trauma care facilities shall submit reportable patient data identified in </w:t>
      </w:r>
      <w:hyperlink r:id="rId10">
        <w:r>
          <w:rPr>
            <w:rStyle w:val="Hyperlink"/>
            <w:rFonts w:ascii="Times New Roman" w:hAnsi="Times New Roman"/>
            <w:b w:val="false"/>
            <w:i w:val="false"/>
            <w:color w:val="000000"/>
            <w:sz w:val="22"/>
          </w:rPr>
          <w:t>136.2(1)</w:t>
        </w:r>
      </w:hyperlink>
      <w:r>
        <w:rPr>
          <w:rFonts w:ascii="Times New Roman" w:hAnsi="Times New Roman"/>
          <w:b w:val="false"/>
          <w:i w:val="false"/>
          <w:color w:val="000000"/>
          <w:sz w:val="22"/>
        </w:rPr>
        <w:t>  electronically to the department. Data shall be submitted in a format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Trauma care facilities that enter required trauma data identified in </w:t>
      </w:r>
      <w:hyperlink r:id="rId11">
        <w:r>
          <w:rPr>
            <w:rStyle w:val="Hyperlink"/>
            <w:rFonts w:ascii="Times New Roman" w:hAnsi="Times New Roman"/>
            <w:b w:val="false"/>
            <w:i w:val="false"/>
            <w:color w:val="000000"/>
            <w:sz w:val="22"/>
          </w:rPr>
          <w:t>136.2(1)</w:t>
        </w:r>
      </w:hyperlink>
      <w:r>
        <w:rPr>
          <w:rFonts w:ascii="Times New Roman" w:hAnsi="Times New Roman"/>
          <w:b w:val="false"/>
          <w:i/>
          <w:color w:val="000000"/>
          <w:sz w:val="22"/>
        </w:rPr>
        <w:t>“a”</w:t>
      </w:r>
      <w:r>
        <w:rPr>
          <w:rFonts w:ascii="Times New Roman" w:hAnsi="Times New Roman"/>
          <w:b w:val="false"/>
          <w:i w:val="false"/>
          <w:color w:val="000000"/>
          <w:sz w:val="22"/>
        </w:rPr>
        <w:t xml:space="preserve"> directly into the state registry shall, at a minimum, enter 80 percent of cases within 60 days of a patient’s discharge. Within 120 days of a patient’s discharge, 100 percent of cases shall be entered into the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Trauma care facilities that submit required trauma data identified in </w:t>
      </w:r>
      <w:hyperlink r:id="rId12">
        <w:r>
          <w:rPr>
            <w:rStyle w:val="Hyperlink"/>
            <w:rFonts w:ascii="Times New Roman" w:hAnsi="Times New Roman"/>
            <w:b w:val="false"/>
            <w:i w:val="false"/>
            <w:color w:val="000000"/>
            <w:sz w:val="22"/>
          </w:rPr>
          <w:t>136.2(1)</w:t>
        </w:r>
      </w:hyperlink>
      <w:r>
        <w:rPr>
          <w:rFonts w:ascii="Times New Roman" w:hAnsi="Times New Roman"/>
          <w:b w:val="false"/>
          <w:i/>
          <w:color w:val="000000"/>
          <w:sz w:val="22"/>
        </w:rPr>
        <w:t>“a”</w:t>
      </w:r>
      <w:r>
        <w:rPr>
          <w:rFonts w:ascii="Times New Roman" w:hAnsi="Times New Roman"/>
          <w:b w:val="false"/>
          <w:i w:val="false"/>
          <w:color w:val="000000"/>
          <w:sz w:val="22"/>
        </w:rPr>
        <w:t xml:space="preserve"> via upload shall, at a minimum, submit 80 percent of cases discharged within the previous 60 days of the first business day of every even-numbered calendar month. Within 120 days of a patient’s discharge or next scheduled data upload, 100 percent of cases shall be entered into the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136.2(3)</w:t>
      </w:r>
      <w:r>
        <w:rPr>
          <w:rFonts w:ascii="Times New Roman" w:hAnsi="Times New Roman"/>
          <w:b w:val="false"/>
          <w:i w:val="false"/>
          <w:color w:val="000000"/>
          <w:sz w:val="22"/>
        </w:rPr>
        <w:t> </w:t>
      </w:r>
      <w:r>
        <w:rPr>
          <w:rFonts w:ascii="Times New Roman" w:hAnsi="Times New Roman"/>
          <w:b w:val="false"/>
          <w:i w:val="false"/>
          <w:color w:val="000000"/>
          <w:sz w:val="22"/>
        </w:rPr>
        <w:t>Reportable patient data compilations. The department shall prepare compilations for release or dissemination on reportable patient data entered into the trauma registry during the reporting period. The compilations shall include, but not be limited to, trends and patient care outcomes for local, regional and statewide evaluations. The compilations shall be made available to all providers submitting reportable patient data to the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136.2(4)</w:t>
      </w:r>
      <w:r>
        <w:rPr>
          <w:rFonts w:ascii="Times New Roman" w:hAnsi="Times New Roman"/>
          <w:b w:val="false"/>
          <w:i w:val="false"/>
          <w:color w:val="000000"/>
          <w:sz w:val="22"/>
        </w:rPr>
        <w:t> </w:t>
      </w:r>
      <w:r>
        <w:rPr>
          <w:rFonts w:ascii="Times New Roman" w:hAnsi="Times New Roman"/>
          <w:b w:val="false"/>
          <w:i w:val="false"/>
          <w:color w:val="000000"/>
          <w:sz w:val="22"/>
        </w:rPr>
        <w:t>Access and release of reportable patient data and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data collected by the trauma registry and furnished to the department pursuant to this rule are confidential records of the condition, diagnosis, care, or treatment of patients or former patients, including outpatients, pursuant to Iowa Code section </w:t>
      </w:r>
      <w:hyperlink r:id="rId1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The compilations prepared for release or dissemination from the data collected are not confidential under Iowa Code section </w:t>
      </w:r>
      <w:hyperlink r:id="rId14">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However, information which individually identifies patients shall not be disclosed and state and federal law regarding patient confidentiality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approve requests for reportable patient data for special studies and analysis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request has been reviewed and approved by the department with respect to the scientific merit and confidentiality safeguards;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has given administrative approval for the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confidentiality of patients and trauma care facilities is protected pursuant to Iowa Code sections </w:t>
      </w:r>
      <w:hyperlink r:id="rId1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147A.24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those requesting the data to pay any or all of the reasonable costs associated with furnishing the reportable patient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136.2(5)</w:t>
      </w:r>
      <w:r>
        <w:rPr>
          <w:rFonts w:ascii="Times New Roman" w:hAnsi="Times New Roman"/>
          <w:b w:val="false"/>
          <w:i w:val="false"/>
          <w:color w:val="000000"/>
          <w:sz w:val="22"/>
        </w:rPr>
        <w:t> </w:t>
      </w:r>
      <w:r>
        <w:rPr>
          <w:rFonts w:ascii="Times New Roman" w:hAnsi="Times New Roman"/>
          <w:b w:val="false"/>
          <w:i w:val="false"/>
          <w:color w:val="000000"/>
          <w:sz w:val="22"/>
        </w:rPr>
        <w:t>Data collection methods. To the extent possible, activities under this rule shall be coordinated with other health data collection methods.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136.2(6)</w:t>
      </w:r>
      <w:r>
        <w:rPr>
          <w:rFonts w:ascii="Times New Roman" w:hAnsi="Times New Roman"/>
          <w:b w:val="false"/>
          <w:i w:val="false"/>
          <w:color w:val="000000"/>
          <w:sz w:val="22"/>
        </w:rPr>
        <w:t> </w:t>
      </w:r>
      <w:r>
        <w:rPr>
          <w:rFonts w:ascii="Times New Roman" w:hAnsi="Times New Roman"/>
          <w:b w:val="false"/>
          <w:i w:val="false"/>
          <w:color w:val="000000"/>
          <w:sz w:val="22"/>
        </w:rPr>
        <w:t>Quality assurance of reported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 of ensuring the completeness and quality of reportable patient data, the department or its designated trauma survey team may examine medical records to validate the accuracy of data submitted by a trauma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 of medical records by the department or its designated trauma survey team shall be scheduled in advance with the trauma care facility and completed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pursuant to </w:t>
      </w:r>
      <w:hyperlink r:id="rId17">
        <w:r>
          <w:rPr>
            <w:rStyle w:val="Hyperlink"/>
            <w:rFonts w:ascii="Times New Roman" w:hAnsi="Times New Roman"/>
            <w:b w:val="false"/>
            <w:i w:val="false"/>
            <w:color w:val="000000"/>
            <w:sz w:val="22"/>
          </w:rPr>
          <w:t>641—Chapter 178</w:t>
        </w:r>
      </w:hyperlink>
      <w:r>
        <w:rPr>
          <w:rFonts w:ascii="Times New Roman" w:hAnsi="Times New Roman"/>
          <w:b w:val="false"/>
          <w:i w:val="false"/>
          <w:color w:val="000000"/>
          <w:sz w:val="22"/>
        </w:rPr>
        <w:t>, may grant a waiver from the requirements of rules adopted under this chapter for a trauma care facility that meets the requirements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9444B</w:t>
      </w:r>
      <w:r>
        <w:rPr>
          <w:rFonts w:ascii="Times New Roman" w:hAnsi="Times New Roman"/>
          <w:b w:val="false"/>
          <w:i w:val="false"/>
          <w:color w:val="000000"/>
          <w:sz w:val="16"/>
        </w:rPr>
        <w:t>, IAB 4/6/11, effective 5/11/11</w:t>
      </w:r>
      <w:r>
        <w:rPr>
          <w:rFonts w:ascii="Times New Roman" w:hAnsi="Times New Roman"/>
          <w:b w:val="false"/>
          <w:i w:val="false"/>
          <w:color w:val="000000"/>
          <w:sz w:val="16"/>
        </w:rPr>
        <w:t xml:space="preserve">; </w:t>
      </w:r>
      <w:r>
        <w:rPr>
          <w:rFonts w:ascii="Times New Roman" w:hAnsi="Times New Roman"/>
          <w:b/>
          <w:i w:val="false"/>
          <w:color w:val="000000"/>
          <w:sz w:val="16"/>
        </w:rPr>
        <w:t>ARC 3106C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3834C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 xml:space="preserve">; </w:t>
      </w:r>
      <w:r>
        <w:rPr>
          <w:rFonts w:ascii="Times New Roman" w:hAnsi="Times New Roman"/>
          <w:b/>
          <w:i w:val="false"/>
          <w:color w:val="000000"/>
          <w:sz w:val="16"/>
        </w:rPr>
        <w:t>ARC 5528C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641—136.3</w:t>
      </w:r>
      <w:r>
        <w:rPr>
          <w:rFonts w:ascii="Times New Roman" w:hAnsi="Times New Roman"/>
          <w:b/>
          <w:i w:val="false"/>
          <w:color w:val="000000"/>
          <w:sz w:val="22"/>
        </w:rPr>
        <w:t xml:space="preserve">(147A) </w:t>
      </w:r>
      <w:r>
        <w:rPr>
          <w:rFonts w:ascii="Times New Roman" w:hAnsi="Times New Roman"/>
          <w:b/>
          <w:i w:val="false"/>
          <w:color w:val="000000"/>
          <w:sz w:val="22"/>
        </w:rPr>
        <w:t xml:space="preserve">Offenses and penalties. </w:t>
      </w:r>
      <w:r>
        <w:rPr>
          <w:rFonts w:ascii="Times New Roman" w:hAnsi="Times New Roman"/>
          <w:b w:val="false"/>
          <w:i w:val="false"/>
          <w:color w:val="000000"/>
          <w:sz w:val="22"/>
        </w:rPr>
        <w:t>All complaints, offenses and penalties will be addressed pursuant to rule 641—134.3(147A).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3106C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8">
        <w:r>
          <w:rPr>
            <w:rStyle w:val="Hyperlink"/>
            <w:rFonts w:ascii="Times New Roman" w:hAnsi="Times New Roman"/>
            <w:b w:val="false"/>
            <w:i w:val="false"/>
            <w:color w:val="000000"/>
            <w:sz w:val="22"/>
          </w:rPr>
          <w:t>147A.26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11/14/96, Notice 10/9/96—published 12/4/96, effective 1/8/97]</w:t>
      </w:r>
    </w:p>
    <w:p>
      <w:pPr>
        <w:spacing w:before="0" w:after="0"/>
        <w:ind w:left="120"/>
        <w:jc w:val="center"/>
      </w:pPr>
      <w:r>
        <w:rPr>
          <w:rFonts w:ascii="Times New Roman" w:hAnsi="Times New Roman"/>
          <w:b w:val="false"/>
          <w:i w:val="false"/>
          <w:color w:val="000000"/>
          <w:sz w:val="21"/>
        </w:rPr>
        <w:t>[Filed 1/13/05, Notice 11/24/04—published 2/2/05, effective 3/9/05]</w:t>
      </w:r>
    </w:p>
    <w:p>
      <w:pPr>
        <w:spacing w:before="0" w:after="0"/>
        <w:ind w:left="120"/>
        <w:jc w:val="center"/>
      </w:pPr>
      <w:r>
        <w:rPr>
          <w:rFonts w:ascii="Times New Roman" w:hAnsi="Times New Roman"/>
          <w:b w:val="false"/>
          <w:i w:val="false"/>
          <w:color w:val="000000"/>
          <w:sz w:val="21"/>
        </w:rPr>
        <w:t>[Filed 9/13/07, Notice 8/1/07—published 10/10/07, effective 11/14/07]</w:t>
      </w:r>
    </w:p>
    <w:p>
      <w:pPr>
        <w:spacing w:before="0" w:after="0"/>
        <w:ind w:left="120"/>
        <w:jc w:val="center"/>
      </w:pPr>
      <w:r>
        <w:rPr>
          <w:rFonts w:ascii="Times New Roman" w:hAnsi="Times New Roman"/>
          <w:b w:val="false"/>
          <w:i w:val="false"/>
          <w:color w:val="000000"/>
          <w:sz w:val="21"/>
        </w:rPr>
        <w:t>[Filed ARC 9444B</w:t>
      </w:r>
      <w:r>
        <w:rPr>
          <w:rFonts w:ascii="Times New Roman" w:hAnsi="Times New Roman"/>
          <w:b w:val="false"/>
          <w:i w:val="false"/>
          <w:color w:val="000000"/>
          <w:sz w:val="21"/>
        </w:rPr>
        <w:t xml:space="preserve"> (Notice ARC 9343B, IAB 1/26/11)</w:t>
      </w:r>
      <w:r>
        <w:rPr>
          <w:rFonts w:ascii="Times New Roman" w:hAnsi="Times New Roman"/>
          <w:b w:val="false"/>
          <w:i w:val="false"/>
          <w:color w:val="000000"/>
          <w:sz w:val="21"/>
        </w:rPr>
        <w:t>, IAB 4/6/11, effective 5/11/11]</w:t>
      </w:r>
    </w:p>
    <w:p>
      <w:pPr>
        <w:spacing w:before="0" w:after="0"/>
        <w:ind w:left="120"/>
        <w:jc w:val="center"/>
      </w:pPr>
      <w:r>
        <w:rPr>
          <w:rFonts w:ascii="Times New Roman" w:hAnsi="Times New Roman"/>
          <w:b w:val="false"/>
          <w:i w:val="false"/>
          <w:color w:val="000000"/>
          <w:sz w:val="21"/>
        </w:rPr>
        <w:t>[Filed ARC 3106C</w:t>
      </w:r>
      <w:r>
        <w:rPr>
          <w:rFonts w:ascii="Times New Roman" w:hAnsi="Times New Roman"/>
          <w:b w:val="false"/>
          <w:i w:val="false"/>
          <w:color w:val="000000"/>
          <w:sz w:val="21"/>
        </w:rPr>
        <w:t xml:space="preserve"> (Notice ARC 2902C, IAB 1/18/17)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3834C</w:t>
      </w:r>
      <w:r>
        <w:rPr>
          <w:rFonts w:ascii="Times New Roman" w:hAnsi="Times New Roman"/>
          <w:b w:val="false"/>
          <w:i w:val="false"/>
          <w:color w:val="000000"/>
          <w:sz w:val="21"/>
        </w:rPr>
        <w:t xml:space="preserve"> (Notice ARC 3706C, IAB 3/28/18)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A.23.pdf" Type="http://schemas.openxmlformats.org/officeDocument/2006/relationships/hyperlink" Id="rId5"/>
    <Relationship TargetMode="External" Target="https://www.legis.iowa.gov/docs/iac/rule/641.136.2.pdf" Type="http://schemas.openxmlformats.org/officeDocument/2006/relationships/hyperlink" Id="rId6"/>
    <Relationship TargetMode="External" Target="https://www.legis.iowa.gov/docs/iac/rule/641.21.1.pdf" Type="http://schemas.openxmlformats.org/officeDocument/2006/relationships/hyperlink" Id="rId7"/>
    <Relationship TargetMode="External" Target="https://www.legis.iowa.gov/docs/iac/rule/641.134.2.pdf" Type="http://schemas.openxmlformats.org/officeDocument/2006/relationships/hyperlink" Id="rId8"/>
    <Relationship TargetMode="External" Target="http://idph.iowa.gov/Portals/1/userfiles/43/Trauma_Patient_Registry_Data_Dictionary.pdf" Type="http://schemas.openxmlformats.org/officeDocument/2006/relationships/hyperlink" Id="rId9"/>
    <Relationship TargetMode="External" Target="https://www.legis.iowa.gov/docs/iac/rule/641.136.2.pdf" Type="http://schemas.openxmlformats.org/officeDocument/2006/relationships/hyperlink" Id="rId10"/>
    <Relationship TargetMode="External" Target="https://www.legis.iowa.gov/docs/iac/rule/641.136.2.pdf" Type="http://schemas.openxmlformats.org/officeDocument/2006/relationships/hyperlink" Id="rId11"/>
    <Relationship TargetMode="External" Target="https://www.legis.iowa.gov/docs/iac/rule/641.136.2.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147A.24.pdf" Type="http://schemas.openxmlformats.org/officeDocument/2006/relationships/hyperlink" Id="rId16"/>
    <Relationship TargetMode="External" Target="https://www.legis.iowa.gov/docs/iac/chapter/641.178.pdf" Type="http://schemas.openxmlformats.org/officeDocument/2006/relationships/hyperlink" Id="rId17"/>
    <Relationship TargetMode="External" Target="https://www.legis.iowa.gov/docs/ico/chapter/147A.26.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