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TRAUMA TRIAGE AND TRANSFER PROTOCOLS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641—135.1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Trauma Triage Destination Decision Protocol” </w:t>
      </w:r>
      <w:r>
        <w:rPr>
          <w:rFonts w:ascii="Times New Roman" w:hAnsi="Times New Roman"/>
          <w:b w:val="false"/>
          <w:i w:val="false"/>
          <w:color w:val="000000"/>
          <w:sz w:val="22"/>
        </w:rPr>
        <w:t>means written directives to assist in the decision making, established and approved by the department, that address the method of transport and trauma care facility destination to be followed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medical care ambulance service or nontransport service that has received authorization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means the process of a patient being transferred from the scene of an injury to a trauma care facility or from one trauma care facility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 xml:space="preserve">means a hospital or emergency care facility which provides trauma care and has been verified by the department as having Resource (Level I), Regional (Level II), Area (Level III) or Community (Level IV) care capabilities and has been issued a certificate of verification pursuant to Iowa Code section </w:t>
      </w:r>
      <w:hyperlink r:id="rId5">
        <w:r>
          <w:rPr>
            <w:rStyle w:val="Hyperlink"/>
            <w:rFonts w:ascii="Times New Roman" w:hAnsi="Times New Roman"/>
            <w:b w:val="false"/>
            <w:i w:val="false"/>
            <w:color w:val="000000"/>
            <w:sz w:val="22"/>
          </w:rPr>
          <w:t>147A.23, subsection 2, paragraph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system advisory council” </w:t>
      </w:r>
      <w:r>
        <w:rPr>
          <w:rFonts w:ascii="Times New Roman" w:hAnsi="Times New Roman"/>
          <w:b w:val="false"/>
          <w:i w:val="false"/>
          <w:color w:val="000000"/>
          <w:sz w:val="22"/>
        </w:rPr>
        <w:t xml:space="preserve">means an advisory council established pursuant to Iowa Code section </w:t>
      </w:r>
      <w:hyperlink r:id="rId6">
        <w:r>
          <w:rPr>
            <w:rStyle w:val="Hyperlink"/>
            <w:rFonts w:ascii="Times New Roman" w:hAnsi="Times New Roman"/>
            <w:b w:val="false"/>
            <w:i w:val="false"/>
            <w:color w:val="000000"/>
            <w:sz w:val="22"/>
          </w:rPr>
          <w:t>147A.24</w:t>
        </w:r>
      </w:hyperlink>
      <w:r>
        <w:rPr>
          <w:rFonts w:ascii="Times New Roman" w:hAnsi="Times New Roman"/>
          <w:b w:val="false"/>
          <w:i w:val="false"/>
          <w:color w:val="000000"/>
          <w:sz w:val="22"/>
        </w:rPr>
        <w:t xml:space="preserve"> to advise the department on issues and strategies to achieve optimal trauma care delivery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triage and transfer” </w:t>
      </w:r>
      <w:r>
        <w:rPr>
          <w:rFonts w:ascii="Times New Roman" w:hAnsi="Times New Roman"/>
          <w:b w:val="false"/>
          <w:i w:val="false"/>
          <w:color w:val="000000"/>
          <w:sz w:val="22"/>
        </w:rPr>
        <w:t>means to determine trauma care facility destination and mode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“TSAC” </w:t>
      </w:r>
      <w:r>
        <w:rPr>
          <w:rFonts w:ascii="Times New Roman" w:hAnsi="Times New Roman"/>
          <w:b w:val="false"/>
          <w:i w:val="false"/>
          <w:color w:val="000000"/>
          <w:sz w:val="22"/>
        </w:rPr>
        <w:t>means trauma system advisory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1080C</w:t>
      </w:r>
      <w:r>
        <w:rPr>
          <w:rFonts w:ascii="Times New Roman" w:hAnsi="Times New Roman"/>
          <w:b w:val="false"/>
          <w:i w:val="false"/>
          <w:color w:val="000000"/>
          <w:sz w:val="16"/>
        </w:rPr>
        <w:t>, IAB 10/2/13, effective 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641—135.2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triage and transfer protocols.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w:t>
      </w:r>
      <w:r>
        <w:rPr>
          <w:rFonts w:ascii="Times New Roman" w:hAnsi="Times New Roman"/>
          <w:b w:val="false"/>
          <w:i w:val="false"/>
          <w:color w:val="000000"/>
          <w:sz w:val="22"/>
        </w:rPr>
        <w:t> </w:t>
      </w:r>
      <w:r>
        <w:rPr>
          <w:rFonts w:ascii="Times New Roman" w:hAnsi="Times New Roman"/>
          <w:b w:val="false"/>
          <w:i w:val="false"/>
          <w:color w:val="000000"/>
          <w:sz w:val="22"/>
        </w:rPr>
        <w:t>Trauma triage and transfer protocols approved by the department shall be utilized to assist personnel from each service program and trauma care facility. This requirement shall not preclude service programs or trauma care facilities from making emergency revisions of the approved triage and transfer protocols when an incident overburdens medical care resources causing unnecessary delay in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Adoption by reference. The “Out-of-Hospital Trauma Triage Destination Decision Protocol” (Adult, 2013) and the “Out-of-Hospital Trauma Triage Destination Decision Protocol” (Pediatric, 2013) are incorporated by reference and adopted as the out-of-hospital trauma triage destination decision protocols. For any differences which may occur between the adopted references and these administrative rules,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protocols adopted by reference in paragraph </w:t>
      </w:r>
      <w:hyperlink r:id="rId7">
        <w:r>
          <w:rPr>
            <w:rStyle w:val="Hyperlink"/>
            <w:rFonts w:ascii="Times New Roman" w:hAnsi="Times New Roman"/>
            <w:b w:val="false"/>
            <w:i w:val="false"/>
            <w:color w:val="000000"/>
            <w:sz w:val="22"/>
          </w:rPr>
          <w:t>135.2(1)</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available through the Iowa Department of Public Health, Bureau of EMS, Lucas State Office Building, Des Moines, Iowa 50319-0075, or the bureau of EMS website (</w:t>
      </w:r>
      <w:hyperlink r:id="rId8">
        <w:r>
          <w:rPr>
            <w:rStyle w:val="Hyperlink"/>
            <w:rFonts w:ascii="Times New Roman" w:hAnsi="Times New Roman"/>
            <w:b w:val="false"/>
            <w:i w:val="false"/>
            <w:color w:val="000000"/>
            <w:sz w:val="22"/>
            <w:u w:val="single"/>
          </w:rPr>
          <w:t>idph.iowa.gov/BETS/Trauma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Revisions and modifications to the protocols adopted by reference in paragraph </w:t>
      </w:r>
      <w:hyperlink r:id="rId9">
        <w:r>
          <w:rPr>
            <w:rStyle w:val="Hyperlink"/>
            <w:rFonts w:ascii="Times New Roman" w:hAnsi="Times New Roman"/>
            <w:b w:val="false"/>
            <w:i w:val="false"/>
            <w:color w:val="000000"/>
            <w:sz w:val="22"/>
          </w:rPr>
          <w:t>135.2(1)</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made upon recommendation to the department from the trauma system advisory council (TSAC). Revisions and modifications shall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pursuant to rule, may grant a waiver from the requirements of rules adopted under this chapter for any hospital, emergency care facility, or service program provided that the waiver is related to undue hardships in complying with this chapter or the rules adopted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1080C</w:t>
      </w:r>
      <w:r>
        <w:rPr>
          <w:rFonts w:ascii="Times New Roman" w:hAnsi="Times New Roman"/>
          <w:b w:val="false"/>
          <w:i w:val="false"/>
          <w:color w:val="000000"/>
          <w:sz w:val="16"/>
        </w:rPr>
        <w:t>, IAB 10/2/13,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641—135.3</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verification as a trauma care facility or deny authorization as a service program or may give a citation and warning, place on probation, suspend, or revoke existing trauma care facility verification or service program authorization if the department finds reason to believe that the facility or service program has not been or will not be operated in compliance with Iowa Code section </w:t>
      </w:r>
      <w:hyperlink r:id="rId10">
        <w:r>
          <w:rPr>
            <w:rStyle w:val="Hyperlink"/>
            <w:rFonts w:ascii="Times New Roman" w:hAnsi="Times New Roman"/>
            <w:b w:val="false"/>
            <w:i w:val="false"/>
            <w:color w:val="000000"/>
            <w:sz w:val="22"/>
          </w:rPr>
          <w:t>147A.27</w:t>
        </w:r>
      </w:hyperlink>
      <w:r>
        <w:rPr>
          <w:rFonts w:ascii="Times New Roman" w:hAnsi="Times New Roman"/>
          <w:b w:val="false"/>
          <w:i w:val="false"/>
          <w:color w:val="000000"/>
          <w:sz w:val="22"/>
        </w:rPr>
        <w:t xml:space="preserve"> and these administrative rules. The denial, citation and warning, period of probation, suspension, or revocation shall be effected and may be appealed in accordance with the requirements of Iowa Code section </w:t>
      </w:r>
      <w:hyperlink r:id="rId1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trauma care facility or service program, or those purporting to be or operating as the same, shall be reported to the department. The address is: Iowa Department of Public Health, Bureau of Emergency Medical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shall be treated as confidential to the extent they are protected by Iowa Code section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shall be effected in accordance with the requirements of Iowa Code section </w:t>
      </w:r>
      <w:hyperlink r:id="rId1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alleged violator of denial, citation and warning, probation, suspension, or revocation shall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135.3(6)</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concerning the denial, citation and warning, probation, suspension or revocation shall be submitted by the aggrieved party in writing to the department by certified mail, return receipt requested, within 20 days of the receipt of the department’s notice to take action. The address is: Iowa Department of Public Health, Bureau of Emergency Medical Services, Lucas State Office Building, Des Moines, Iowa 50319-0075. If the request is made within the 20-day time period, the notice to take action shall be deemed to be suspended pending the hearing. Prior to or at the hearing, the department may rescind the notice upon satisfaction that the reason for the denial, citation and warning, probation, suspension or revocation has been or will be removed. If no request for a hearing is received within the 20-day time period, the department’s notice of denial, citation and warning, probation,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135.3(7)</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request shall be forwarded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14">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135.3(9)</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135.3(10)</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135.3(12)</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135.3(13)</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1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135.3(14)</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Iowa Department of Public Health, Bureau of Emergency Medical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135.3(15)</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news media or employer.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1/18/01, Notice 11/15/00—published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1080C</w:t>
      </w:r>
      <w:r>
        <w:rPr>
          <w:rFonts w:ascii="Times New Roman" w:hAnsi="Times New Roman"/>
          <w:b w:val="false"/>
          <w:i w:val="false"/>
          <w:color w:val="000000"/>
          <w:sz w:val="21"/>
        </w:rPr>
        <w:t xml:space="preserve"> (Notice ARC 0774C, IAB 5/29/13)</w:t>
      </w:r>
      <w:r>
        <w:rPr>
          <w:rFonts w:ascii="Times New Roman" w:hAnsi="Times New Roman"/>
          <w:b w:val="false"/>
          <w:i w:val="false"/>
          <w:color w:val="000000"/>
          <w:sz w:val="21"/>
        </w:rPr>
        <w:t>, IAB 10/2/13, effective 2/1/14]</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23.pdf" Type="http://schemas.openxmlformats.org/officeDocument/2006/relationships/hyperlink" Id="rId5"/>
    <Relationship TargetMode="External" Target="https://www.legis.iowa.gov/docs/ico/chapter/147A.24.pdf" Type="http://schemas.openxmlformats.org/officeDocument/2006/relationships/hyperlink" Id="rId6"/>
    <Relationship TargetMode="External" Target="https://www.legis.iowa.gov/docs/iac/rule/641.135.2.pdf" Type="http://schemas.openxmlformats.org/officeDocument/2006/relationships/hyperlink" Id="rId7"/>
    <Relationship TargetMode="External" Target="www.idph.state.ia.us/ems" Type="http://schemas.openxmlformats.org/officeDocument/2006/relationships/hyperlink" Id="rId8"/>
    <Relationship TargetMode="External" Target="https://www.legis.iowa.gov/docs/iac/rule/641.135.2.pdf" Type="http://schemas.openxmlformats.org/officeDocument/2006/relationships/hyperlink" Id="rId9"/>
    <Relationship TargetMode="External" Target="https://www.legis.iowa.gov/docs/ico/chapter/147A.27.pdf" Type="http://schemas.openxmlformats.org/officeDocument/2006/relationships/hyperlink" Id="rId10"/>
    <Relationship TargetMode="External" Target="https://www.legis.iowa.gov/docs/ico/chapter/17A.1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17A.12.pdf" Type="http://schemas.openxmlformats.org/officeDocument/2006/relationships/hyperlink" Id="rId13"/>
    <Relationship TargetMode="External" Target="https://www.legis.iowa.gov/docs/iac/chapter/481.10.pdf" Type="http://schemas.openxmlformats.org/officeDocument/2006/relationships/hyperlink" Id="rId14"/>
    <Relationship TargetMode="External" Target="https://www.legis.iowa.gov/docs/ico/chapter/17A.19.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A.2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