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ACQUISITION NEGOTIATION STATEMENT OF RIGHTS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61—34.1</w:t>
      </w:r>
      <w:r>
        <w:rPr>
          <w:rFonts w:ascii="Times New Roman" w:hAnsi="Times New Roman"/>
          <w:b/>
          <w:i w:val="false"/>
          <w:color w:val="000000"/>
          <w:sz w:val="22"/>
        </w:rPr>
        <w:t xml:space="preserve">(6B) </w:t>
      </w:r>
      <w:r>
        <w:rPr>
          <w:rFonts w:ascii="Times New Roman" w:hAnsi="Times New Roman"/>
          <w:b/>
          <w:i w:val="false"/>
          <w:color w:val="000000"/>
          <w:sz w:val="22"/>
        </w:rPr>
        <w:t xml:space="preserve">Statement of property owner’s rights.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6B.2A(1)</w:t>
        </w:r>
      </w:hyperlink>
      <w:r>
        <w:rPr>
          <w:rFonts w:ascii="Times New Roman" w:hAnsi="Times New Roman"/>
          <w:b w:val="false"/>
          <w:i w:val="false"/>
          <w:color w:val="000000"/>
          <w:sz w:val="22"/>
        </w:rPr>
        <w:t xml:space="preserve"> mandates that an acquiring agency provide a statement of rights to owners of record who may have all or a part of their property acquired by condemnation. It also directs the attorney general to adopt rules prescribing a statement of rights which an acquiring agency may use to meet its obligation. Pursuant to that directive, the following statement of property owner’s rights is adopted: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6"/>
        </w:rPr>
        <w:t>STATEMENT OF PROPERTY OWNER’S RIGHTS</w:t>
      </w:r>
    </w:p>
    <w:p>
      <w:pPr>
        <w:spacing w:before="0" w:after="0"/>
        <w:ind w:left="120"/>
        <w:jc w:val="both"/>
      </w:pPr>
      <w:r>
        <w:rPr>
          <w:rFonts w:ascii="Times New Roman" w:hAnsi="Times New Roman"/>
          <w:b w:val="false"/>
          <w:i w:val="false"/>
          <w:color w:val="000000"/>
          <w:sz w:val="22"/>
        </w:rPr>
        <w:t>Just as the law grants certain entities the right to acquire private property, you as the owner of the property have certain rights. You have the right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 just compensation for the taking of property. (</w:t>
      </w:r>
    </w:p>
    <w:p>
      <w:pPr>
        <w:spacing w:before="0" w:after="0"/>
        <w:ind w:left="120"/>
        <w:jc w:val="both"/>
      </w:pPr>
      <w:r>
        <w:rPr>
          <w:rFonts w:ascii="Times New Roman" w:hAnsi="Times New Roman"/>
          <w:b w:val="false"/>
          <w:i w:val="false"/>
          <w:color w:val="000000"/>
          <w:sz w:val="22"/>
        </w:rPr>
        <w:t>Iowa Constitution, Article I, section 18</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offer to purchase which may not be less than the lowest appraisal of the fair market value of the property. (Iowa Code section </w:t>
      </w:r>
      <w:hyperlink r:id="rId6">
        <w:r>
          <w:rPr>
            <w:rStyle w:val="Hyperlink"/>
            <w:rFonts w:ascii="Times New Roman" w:hAnsi="Times New Roman"/>
            <w:b w:val="false"/>
            <w:i w:val="false"/>
            <w:color w:val="000000"/>
            <w:sz w:val="22"/>
          </w:rPr>
          <w:t>6B.54(3)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Receive a copy of the appraisal, if an appraisal is required, upon which the acquiring agency’s determination of just compensation is based not less than ten days before being contacted by the acquiring agency’s acquisition agent. (Iowa Code section </w:t>
      </w:r>
      <w:hyperlink r:id="rId7">
        <w:r>
          <w:rPr>
            <w:rStyle w:val="Hyperlink"/>
            <w:rFonts w:ascii="Times New Roman" w:hAnsi="Times New Roman"/>
            <w:b w:val="false"/>
            <w:i w:val="false"/>
            <w:color w:val="000000"/>
            <w:sz w:val="22"/>
          </w:rPr>
          <w:t>6B.45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 opportunity to accompany at least one appraiser of the acquiring agency who appraises your property when an appraisal is required. (Iowa Code section </w:t>
      </w:r>
      <w:hyperlink r:id="rId8">
        <w:r>
          <w:rPr>
            <w:rStyle w:val="Hyperlink"/>
            <w:rFonts w:ascii="Times New Roman" w:hAnsi="Times New Roman"/>
            <w:b w:val="false"/>
            <w:i w:val="false"/>
            <w:color w:val="000000"/>
            <w:sz w:val="22"/>
          </w:rPr>
          <w:t>6B.54(2)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Participate in good-faith negotiations with the acquiring agency before the acquiring agency begins condemnation proceedings. (Iowa Code section </w:t>
      </w:r>
      <w:hyperlink r:id="rId9">
        <w:r>
          <w:rPr>
            <w:rStyle w:val="Hyperlink"/>
            <w:rFonts w:ascii="Times New Roman" w:hAnsi="Times New Roman"/>
            <w:b w:val="false"/>
            <w:i w:val="false"/>
            <w:color w:val="000000"/>
            <w:sz w:val="22"/>
          </w:rPr>
          <w:t>6B.2B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Retain legal counsel of your choosing at your expense for the purpose of bringing a court action to challenge the exercise of eminent domain authority or the condemnation proceedings in accordance with the provisions of law. (Iowa Code section </w:t>
      </w:r>
      <w:hyperlink r:id="rId10">
        <w:r>
          <w:rPr>
            <w:rStyle w:val="Hyperlink"/>
            <w:rFonts w:ascii="Times New Roman" w:hAnsi="Times New Roman"/>
            <w:b w:val="false"/>
            <w:i w:val="false"/>
            <w:color w:val="000000"/>
            <w:sz w:val="22"/>
          </w:rPr>
          <w:t>6B.3A</w:t>
        </w:r>
      </w:hyperlink>
      <w:r>
        <w:rPr>
          <w:rFonts w:ascii="Times New Roman" w:hAnsi="Times New Roman"/>
          <w:b w:val="false"/>
          <w:i w:val="false"/>
          <w:color w:val="000000"/>
          <w:sz w:val="22"/>
        </w:rPr>
        <w:t xml:space="preserve">; Iowa Code section </w:t>
      </w:r>
      <w:hyperlink r:id="rId11">
        <w:r>
          <w:rPr>
            <w:rStyle w:val="Hyperlink"/>
            <w:rFonts w:ascii="Times New Roman" w:hAnsi="Times New Roman"/>
            <w:b w:val="false"/>
            <w:i w:val="false"/>
            <w:color w:val="000000"/>
            <w:sz w:val="22"/>
          </w:rPr>
          <w:t>6A.24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p>
    <w:p>
      <w:pPr>
        <w:spacing w:before="0" w:after="0"/>
        <w:ind w:left="120"/>
        <w:jc w:val="both"/>
      </w:pPr>
      <w:r>
        <w:rPr>
          <w:rFonts w:ascii="Times New Roman" w:hAnsi="Times New Roman"/>
          <w:b w:val="false"/>
          <w:i w:val="false"/>
          <w:color w:val="000000"/>
          <w:sz w:val="22"/>
        </w:rPr>
        <w:t xml:space="preserve">A determination of just compensation by an impartial compensation commission and the right to appeal its award to the district court if you cannot agree on a purchase price with the acquiring agency. (Iowa Code section </w:t>
      </w:r>
      <w:hyperlink r:id="rId12">
        <w:r>
          <w:rPr>
            <w:rStyle w:val="Hyperlink"/>
            <w:rFonts w:ascii="Times New Roman" w:hAnsi="Times New Roman"/>
            <w:b w:val="false"/>
            <w:i w:val="false"/>
            <w:color w:val="000000"/>
            <w:sz w:val="22"/>
          </w:rPr>
          <w:t>6B.4</w:t>
        </w:r>
      </w:hyperlink>
      <w:r>
        <w:rPr>
          <w:rFonts w:ascii="Times New Roman" w:hAnsi="Times New Roman"/>
          <w:b w:val="false"/>
          <w:i w:val="false"/>
          <w:color w:val="000000"/>
          <w:sz w:val="22"/>
        </w:rPr>
        <w:t xml:space="preserve">; Iowa Code section </w:t>
      </w:r>
      <w:hyperlink r:id="rId13">
        <w:r>
          <w:rPr>
            <w:rStyle w:val="Hyperlink"/>
            <w:rFonts w:ascii="Times New Roman" w:hAnsi="Times New Roman"/>
            <w:b w:val="false"/>
            <w:i w:val="false"/>
            <w:color w:val="000000"/>
            <w:sz w:val="22"/>
          </w:rPr>
          <w:t>6B.7</w:t>
        </w:r>
      </w:hyperlink>
      <w:r>
        <w:rPr>
          <w:rFonts w:ascii="Times New Roman" w:hAnsi="Times New Roman"/>
          <w:b w:val="false"/>
          <w:i w:val="false"/>
          <w:color w:val="000000"/>
          <w:sz w:val="22"/>
        </w:rPr>
        <w:t xml:space="preserve">; Iowa Code section </w:t>
      </w:r>
      <w:hyperlink r:id="rId14">
        <w:r>
          <w:rPr>
            <w:rStyle w:val="Hyperlink"/>
            <w:rFonts w:ascii="Times New Roman" w:hAnsi="Times New Roman"/>
            <w:b w:val="false"/>
            <w:i w:val="false"/>
            <w:color w:val="000000"/>
            <w:sz w:val="22"/>
          </w:rPr>
          <w:t>6B.18</w:t>
        </w:r>
      </w:hyperlink>
      <w:r>
        <w:rPr>
          <w:rFonts w:ascii="Times New Roman" w:hAnsi="Times New Roman"/>
          <w:b w:val="false"/>
          <w:i w:val="false"/>
          <w:color w:val="000000"/>
          <w:sz w:val="22"/>
        </w:rPr>
        <w:t>)</w:t>
      </w:r>
    </w:p>
    <w:p>
      <w:pPr>
        <w:spacing w:before="0" w:after="0"/>
        <w:ind w:left="120"/>
        <w:jc w:val="both"/>
      </w:pP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Payment of the agreed upon purchase price or, if condemned, a deposit of the compensation commission award before you are required to surrender possession of the property. (Iowa Code section </w:t>
      </w:r>
      <w:hyperlink r:id="rId15">
        <w:r>
          <w:rPr>
            <w:rStyle w:val="Hyperlink"/>
            <w:rFonts w:ascii="Times New Roman" w:hAnsi="Times New Roman"/>
            <w:b w:val="false"/>
            <w:i w:val="false"/>
            <w:color w:val="000000"/>
            <w:sz w:val="22"/>
          </w:rPr>
          <w:t>6B.25</w:t>
        </w:r>
      </w:hyperlink>
      <w:r>
        <w:rPr>
          <w:rFonts w:ascii="Times New Roman" w:hAnsi="Times New Roman"/>
          <w:b w:val="false"/>
          <w:i w:val="false"/>
          <w:color w:val="000000"/>
          <w:sz w:val="22"/>
        </w:rPr>
        <w:t xml:space="preserve">; Iowa Code section </w:t>
      </w:r>
      <w:hyperlink r:id="rId16">
        <w:r>
          <w:rPr>
            <w:rStyle w:val="Hyperlink"/>
            <w:rFonts w:ascii="Times New Roman" w:hAnsi="Times New Roman"/>
            <w:b w:val="false"/>
            <w:i w:val="false"/>
            <w:color w:val="000000"/>
            <w:sz w:val="22"/>
          </w:rPr>
          <w:t>6B.26</w:t>
        </w:r>
      </w:hyperlink>
      <w:r>
        <w:rPr>
          <w:rFonts w:ascii="Times New Roman" w:hAnsi="Times New Roman"/>
          <w:b w:val="false"/>
          <w:i w:val="false"/>
          <w:color w:val="000000"/>
          <w:sz w:val="22"/>
        </w:rPr>
        <w:t xml:space="preserve">; Iowa Code section </w:t>
      </w:r>
      <w:hyperlink r:id="rId17">
        <w:r>
          <w:rPr>
            <w:rStyle w:val="Hyperlink"/>
            <w:rFonts w:ascii="Times New Roman" w:hAnsi="Times New Roman"/>
            <w:b w:val="false"/>
            <w:i w:val="false"/>
            <w:color w:val="000000"/>
            <w:sz w:val="22"/>
          </w:rPr>
          <w:t>6B.54(11)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Reimbursement for expenses incidental to transferring title to the acquiring agency. (Iowa Code section </w:t>
      </w:r>
      <w:hyperlink r:id="rId18">
        <w:r>
          <w:rPr>
            <w:rStyle w:val="Hyperlink"/>
            <w:rFonts w:ascii="Times New Roman" w:hAnsi="Times New Roman"/>
            <w:b w:val="false"/>
            <w:i w:val="false"/>
            <w:color w:val="000000"/>
            <w:sz w:val="22"/>
          </w:rPr>
          <w:t>6B.33</w:t>
        </w:r>
      </w:hyperlink>
      <w:r>
        <w:rPr>
          <w:rFonts w:ascii="Times New Roman" w:hAnsi="Times New Roman"/>
          <w:b w:val="false"/>
          <w:i w:val="false"/>
          <w:color w:val="000000"/>
          <w:sz w:val="22"/>
        </w:rPr>
        <w:t xml:space="preserve">; Iowa Code section </w:t>
      </w:r>
      <w:hyperlink r:id="rId19">
        <w:r>
          <w:rPr>
            <w:rStyle w:val="Hyperlink"/>
            <w:rFonts w:ascii="Times New Roman" w:hAnsi="Times New Roman"/>
            <w:b w:val="false"/>
            <w:i w:val="false"/>
            <w:color w:val="000000"/>
            <w:sz w:val="22"/>
          </w:rPr>
          <w:t>6B.54(10)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Reimbursement of certain litigation expenses: (a) if the award of the compensation commissioners exceeds 110 percent of the acquiring agency’s final offer before condemnation; and (b) if the award on appeal in court is more than the compensation commissioners’ award. (Iowa Code section </w:t>
      </w:r>
      <w:hyperlink r:id="rId20">
        <w:r>
          <w:rPr>
            <w:rStyle w:val="Hyperlink"/>
            <w:rFonts w:ascii="Times New Roman" w:hAnsi="Times New Roman"/>
            <w:b w:val="false"/>
            <w:i w:val="false"/>
            <w:color w:val="000000"/>
            <w:sz w:val="22"/>
          </w:rPr>
          <w:t>6B.33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To the greatest extent practicable, be provided at least 90 days’ written notice to vacate occupied property prior to construction or development of a public improvement. (Iowa Code section </w:t>
      </w:r>
      <w:hyperlink r:id="rId21">
        <w:r>
          <w:rPr>
            <w:rStyle w:val="Hyperlink"/>
            <w:rFonts w:ascii="Times New Roman" w:hAnsi="Times New Roman"/>
            <w:b w:val="false"/>
            <w:i w:val="false"/>
            <w:color w:val="000000"/>
            <w:sz w:val="22"/>
          </w:rPr>
          <w:t>6B.54(4)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Relocation services and payments, if you are eligible to receive them, and the right to appeal your eligibility for and amount of the payments. (Iowa Code section </w:t>
      </w:r>
      <w:hyperlink r:id="rId22">
        <w:r>
          <w:rPr>
            <w:rStyle w:val="Hyperlink"/>
            <w:rFonts w:ascii="Times New Roman" w:hAnsi="Times New Roman"/>
            <w:b w:val="false"/>
            <w:i w:val="false"/>
            <w:color w:val="000000"/>
            <w:sz w:val="22"/>
          </w:rPr>
          <w:t>316.9</w:t>
        </w:r>
      </w:hyperlink>
      <w:r>
        <w:rPr>
          <w:rFonts w:ascii="Times New Roman" w:hAnsi="Times New Roman"/>
          <w:b w:val="false"/>
          <w:i w:val="false"/>
          <w:color w:val="000000"/>
          <w:sz w:val="22"/>
        </w:rPr>
        <w:t xml:space="preserve">; Iowa Code section </w:t>
      </w:r>
      <w:hyperlink r:id="rId23">
        <w:r>
          <w:rPr>
            <w:rStyle w:val="Hyperlink"/>
            <w:rFonts w:ascii="Times New Roman" w:hAnsi="Times New Roman"/>
            <w:b w:val="false"/>
            <w:i w:val="false"/>
            <w:color w:val="000000"/>
            <w:sz w:val="22"/>
          </w:rPr>
          <w:t>6B.42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rights set out in this statement are not claimed to be a full and complete list or explanation of an owner’s rights under the law. They are derived from Iowa Code chapters </w:t>
      </w:r>
      <w:hyperlink r:id="rId24">
        <w:r>
          <w:rPr>
            <w:rStyle w:val="Hyperlink"/>
            <w:rFonts w:ascii="Times New Roman" w:hAnsi="Times New Roman"/>
            <w:b w:val="false"/>
            <w:i w:val="false"/>
            <w:color w:val="000000"/>
            <w:sz w:val="22"/>
          </w:rPr>
          <w:t>6A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6B</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316</w:t>
        </w:r>
      </w:hyperlink>
      <w:r>
        <w:rPr>
          <w:rFonts w:ascii="Times New Roman" w:hAnsi="Times New Roman"/>
          <w:b w:val="false"/>
          <w:i w:val="false"/>
          <w:color w:val="000000"/>
          <w:sz w:val="22"/>
        </w:rPr>
        <w:t>. For a more thorough presentation of an owner’s rights, you should refer directly to the Iowa Code or contact an attorney of your choice.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2979C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61—34.2</w:t>
      </w:r>
      <w:r>
        <w:rPr>
          <w:rFonts w:ascii="Times New Roman" w:hAnsi="Times New Roman"/>
          <w:b/>
          <w:i w:val="false"/>
          <w:color w:val="000000"/>
          <w:sz w:val="22"/>
        </w:rPr>
        <w:t xml:space="preserve">(6B) </w:t>
      </w:r>
      <w:r>
        <w:rPr>
          <w:rFonts w:ascii="Times New Roman" w:hAnsi="Times New Roman"/>
          <w:b/>
          <w:i w:val="false"/>
          <w:color w:val="000000"/>
          <w:sz w:val="22"/>
        </w:rPr>
        <w:t xml:space="preserve">Alternate statement of rights. </w:t>
      </w:r>
      <w:r>
        <w:rPr>
          <w:rFonts w:ascii="Times New Roman" w:hAnsi="Times New Roman"/>
          <w:b w:val="false"/>
          <w:i w:val="false"/>
          <w:color w:val="000000"/>
          <w:sz w:val="22"/>
        </w:rPr>
        <w:t xml:space="preserve">Rule </w:t>
      </w:r>
      <w:hyperlink r:id="rId27">
        <w:r>
          <w:rPr>
            <w:rStyle w:val="Hyperlink"/>
            <w:rFonts w:ascii="Times New Roman" w:hAnsi="Times New Roman"/>
            <w:b w:val="false"/>
            <w:i w:val="false"/>
            <w:color w:val="000000"/>
            <w:sz w:val="22"/>
          </w:rPr>
          <w:t>61—34.1</w:t>
        </w:r>
      </w:hyperlink>
      <w:r>
        <w:rPr>
          <w:rFonts w:ascii="Times New Roman" w:hAnsi="Times New Roman"/>
          <w:b w:val="false"/>
          <w:i w:val="false"/>
          <w:color w:val="000000"/>
          <w:sz w:val="22"/>
        </w:rPr>
        <w:t>(6B) is not intended to prohibit acquiring agencies from providing a statement of rights in a different form, a more detailed statement of rights, or supplementary material expanding upon an owner’s rights.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2979C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6B.2A(1)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ARC 2979C</w:t>
      </w:r>
      <w:r>
        <w:rPr>
          <w:rFonts w:ascii="Times New Roman" w:hAnsi="Times New Roman"/>
          <w:b w:val="false"/>
          <w:i w:val="false"/>
          <w:color w:val="000000"/>
          <w:sz w:val="21"/>
        </w:rPr>
        <w:t xml:space="preserve"> (Notice ARC 2877C, IAB 1/4/17)</w:t>
      </w:r>
      <w:r>
        <w:rPr>
          <w:rFonts w:ascii="Times New Roman" w:hAnsi="Times New Roman"/>
          <w:b w:val="false"/>
          <w:i w:val="false"/>
          <w:color w:val="000000"/>
          <w:sz w:val="21"/>
        </w:rPr>
        <w:t>, IAB 3/15/17, effective 4/19/17]</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April 19, 2017, effective date of 34.1 [ARC 2979C] delayed 70 days by the Administrative Rules Review Committee at its meeting held April 7, 2017. [Pursuant to §17A.4(7)]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B.2A.pdf" Type="http://schemas.openxmlformats.org/officeDocument/2006/relationships/hyperlink" Id="rId5"/>
    <Relationship TargetMode="External" Target="https://www.legis.iowa.gov/docs/ico/chapter/6B.54.pdf" Type="http://schemas.openxmlformats.org/officeDocument/2006/relationships/hyperlink" Id="rId6"/>
    <Relationship TargetMode="External" Target="https://www.legis.iowa.gov/docs/ico/chapter/6B.45.pdf" Type="http://schemas.openxmlformats.org/officeDocument/2006/relationships/hyperlink" Id="rId7"/>
    <Relationship TargetMode="External" Target="https://www.legis.iowa.gov/docs/ico/chapter/6B.54.pdf" Type="http://schemas.openxmlformats.org/officeDocument/2006/relationships/hyperlink" Id="rId8"/>
    <Relationship TargetMode="External" Target="https://www.legis.iowa.gov/docs/ico/chapter/6B.2B.pdf" Type="http://schemas.openxmlformats.org/officeDocument/2006/relationships/hyperlink" Id="rId9"/>
    <Relationship TargetMode="External" Target="https://www.legis.iowa.gov/docs/ico/chapter/6B.3A.pdf" Type="http://schemas.openxmlformats.org/officeDocument/2006/relationships/hyperlink" Id="rId10"/>
    <Relationship TargetMode="External" Target="https://www.legis.iowa.gov/docs/ico/chapter/6A.24.pdf" Type="http://schemas.openxmlformats.org/officeDocument/2006/relationships/hyperlink" Id="rId11"/>
    <Relationship TargetMode="External" Target="https://www.legis.iowa.gov/docs/ico/chapter/6B.4.pdf" Type="http://schemas.openxmlformats.org/officeDocument/2006/relationships/hyperlink" Id="rId12"/>
    <Relationship TargetMode="External" Target="https://www.legis.iowa.gov/docs/ico/chapter/6B.7.pdf" Type="http://schemas.openxmlformats.org/officeDocument/2006/relationships/hyperlink" Id="rId13"/>
    <Relationship TargetMode="External" Target="https://www.legis.iowa.gov/docs/ico/chapter/6B.18.pdf" Type="http://schemas.openxmlformats.org/officeDocument/2006/relationships/hyperlink" Id="rId14"/>
    <Relationship TargetMode="External" Target="https://www.legis.iowa.gov/docs/ico/chapter/6B.25.pdf" Type="http://schemas.openxmlformats.org/officeDocument/2006/relationships/hyperlink" Id="rId15"/>
    <Relationship TargetMode="External" Target="https://www.legis.iowa.gov/docs/ico/chapter/6B.26.pdf" Type="http://schemas.openxmlformats.org/officeDocument/2006/relationships/hyperlink" Id="rId16"/>
    <Relationship TargetMode="External" Target="https://www.legis.iowa.gov/docs/ico/chapter/6B.54.pdf" Type="http://schemas.openxmlformats.org/officeDocument/2006/relationships/hyperlink" Id="rId17"/>
    <Relationship TargetMode="External" Target="https://www.legis.iowa.gov/docs/ico/chapter/6B.33.pdf" Type="http://schemas.openxmlformats.org/officeDocument/2006/relationships/hyperlink" Id="rId18"/>
    <Relationship TargetMode="External" Target="https://www.legis.iowa.gov/docs/ico/chapter/6B.54.pdf" Type="http://schemas.openxmlformats.org/officeDocument/2006/relationships/hyperlink" Id="rId19"/>
    <Relationship TargetMode="External" Target="https://www.legis.iowa.gov/docs/ico/chapter/6B.33.pdf" Type="http://schemas.openxmlformats.org/officeDocument/2006/relationships/hyperlink" Id="rId20"/>
    <Relationship TargetMode="External" Target="https://www.legis.iowa.gov/docs/ico/chapter/6B.54.pdf" Type="http://schemas.openxmlformats.org/officeDocument/2006/relationships/hyperlink" Id="rId21"/>
    <Relationship TargetMode="External" Target="https://www.legis.iowa.gov/docs/ico/chapter/316.9.pdf" Type="http://schemas.openxmlformats.org/officeDocument/2006/relationships/hyperlink" Id="rId22"/>
    <Relationship TargetMode="External" Target="https://www.legis.iowa.gov/docs/ico/chapter/6B.42.pdf" Type="http://schemas.openxmlformats.org/officeDocument/2006/relationships/hyperlink" Id="rId23"/>
    <Relationship TargetMode="External" Target="https://www.legis.iowa.gov/docs/ico/chapter/6A.pdf" Type="http://schemas.openxmlformats.org/officeDocument/2006/relationships/hyperlink" Id="rId24"/>
    <Relationship TargetMode="External" Target="https://www.legis.iowa.gov/docs/ico/chapter/6B.pdf" Type="http://schemas.openxmlformats.org/officeDocument/2006/relationships/hyperlink" Id="rId25"/>
    <Relationship TargetMode="External" Target="https://www.legis.iowa.gov/docs/ico/chapter/316.pdf" Type="http://schemas.openxmlformats.org/officeDocument/2006/relationships/hyperlink" Id="rId26"/>
    <Relationship TargetMode="External" Target="https://www.legis.iowa.gov/docs/iac/rule/61.34.1.pdf" Type="http://schemas.openxmlformats.org/officeDocument/2006/relationships/hyperlink" Id="rId27"/>
    <Relationship TargetMode="External" Target="https://www.legis.iowa.gov/docs/ico/chapter/6B.2A.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