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83</w:t>
      </w:r>
    </w:p>
    <w:p>
      <w:pPr>
        <w:spacing w:before="0" w:after="0"/>
        <w:ind w:left="120"/>
        <w:jc w:val="center"/>
      </w:pPr>
      <w:r>
        <w:rPr>
          <w:rFonts w:ascii="Times New Roman" w:hAnsi="Times New Roman"/>
          <w:b w:val="false"/>
          <w:i w:val="false"/>
          <w:color w:val="000000"/>
          <w:sz w:val="21"/>
        </w:rPr>
        <w:t>LABORATORY CERTIFICATION</w:t>
      </w:r>
    </w:p>
    <w:p>
      <w:pPr>
        <w:spacing w:before="0" w:after="0"/>
        <w:ind w:left="120"/>
        <w:jc w:val="center"/>
      </w:pPr>
      <w:r>
        <w:rPr>
          <w:rFonts w:ascii="Times New Roman" w:hAnsi="Times New Roman"/>
          <w:b w:val="false"/>
          <w:i w:val="false"/>
          <w:color w:val="000000"/>
          <w:sz w:val="14"/>
        </w:rPr>
        <w:t>[Prior to 4/10/96, see 567—Chapter 42]</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A</w:t>
      </w:r>
    </w:p>
    <w:p>
      <w:pPr>
        <w:pBdr>
          <w:bottom w:space="10"/>
        </w:pBdr>
        <w:spacing w:before="0" w:after="0"/>
        <w:ind w:left="120"/>
        <w:jc w:val="center"/>
      </w:pPr>
      <w:r>
        <w:rPr>
          <w:rFonts w:ascii="Times New Roman" w:hAnsi="Times New Roman"/>
          <w:b w:val="false"/>
          <w:i w:val="false"/>
          <w:color w:val="000000"/>
          <w:sz w:val="16"/>
        </w:rPr>
        <w:t>GENERAL</w:t>
      </w:r>
    </w:p>
    <w:p>
      <w:pPr>
        <w:spacing w:before="0" w:after="0"/>
        <w:ind w:left="120"/>
        <w:jc w:val="both"/>
      </w:pPr>
      <w:r>
        <w:rPr>
          <w:rFonts w:ascii="Times New Roman" w:hAnsi="Times New Roman"/>
          <w:b/>
          <w:i w:val="false"/>
          <w:color w:val="000000"/>
          <w:sz w:val="22"/>
        </w:rPr>
        <w:t>567—83.1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455B.113</w:t>
        </w:r>
      </w:hyperlink>
      <w:r>
        <w:rPr>
          <w:rFonts w:ascii="Times New Roman" w:hAnsi="Times New Roman"/>
          <w:b w:val="false"/>
          <w:i w:val="false"/>
          <w:color w:val="000000"/>
          <w:sz w:val="22"/>
        </w:rPr>
        <w:t xml:space="preserve">, a laboratory certification program is required for laboratories performing analyses of samples which are required to be submitted to the department as a result of Iowa Code provisions, rules, operation permits, or administrative orders. Pursuant to Iowa Code section </w:t>
      </w:r>
      <w:hyperlink r:id="rId6">
        <w:r>
          <w:rPr>
            <w:rStyle w:val="Hyperlink"/>
            <w:rFonts w:ascii="Times New Roman" w:hAnsi="Times New Roman"/>
            <w:b w:val="false"/>
            <w:i w:val="false"/>
            <w:color w:val="000000"/>
            <w:sz w:val="22"/>
          </w:rPr>
          <w:t>455B.114</w:t>
        </w:r>
      </w:hyperlink>
      <w:r>
        <w:rPr>
          <w:rFonts w:ascii="Times New Roman" w:hAnsi="Times New Roman"/>
          <w:b w:val="false"/>
          <w:i w:val="false"/>
          <w:color w:val="000000"/>
          <w:sz w:val="22"/>
        </w:rPr>
        <w:t>, the department may suspend or revoke the certification of a laboratory upon determination of the department that the laboratory no longer fulfills one or more of the requirements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provide the procedures for laboratories to use to apply for certification, to establish laboratory certification fees, to maintain certification, and to provide the appropriate methods and references for evaluating laboratory competence including the requirements for laboratories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environmental program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(drinking water). </w:t>
      </w:r>
      <w:r>
        <w:rPr>
          <w:rFonts w:ascii="Times New Roman" w:hAnsi="Times New Roman"/>
          <w:b w:val="false"/>
          <w:i w:val="false"/>
          <w:color w:val="000000"/>
          <w:sz w:val="22"/>
        </w:rPr>
        <w:t xml:space="preserve">The requirements of this chapter apply to all laboratories conducting drinking water analyses pursuant to </w:t>
      </w:r>
      <w:hyperlink r:id="rId7">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Routine, on-site monitoring for alkalinity, calcium, conductivity, residual disinfectant, orthophosphate, pH, silica, temperature, turbidity and on-site operation and maintenance-related analytical monitoring are excluded from this requirement, and may be performed by a Grade I, II, III, or IV certified operator meeting the requirements of </w:t>
      </w:r>
      <w:hyperlink r:id="rId11">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xml:space="preserve">, any person under the supervision of a Grade I, II, III, or IV certified operator meeting the requirements of </w:t>
      </w:r>
      <w:hyperlink r:id="rId12">
        <w:r>
          <w:rPr>
            <w:rStyle w:val="Hyperlink"/>
            <w:rFonts w:ascii="Times New Roman" w:hAnsi="Times New Roman"/>
            <w:b w:val="false"/>
            <w:i w:val="false"/>
            <w:color w:val="000000"/>
            <w:sz w:val="22"/>
          </w:rPr>
          <w:t>567—Chapter 81</w:t>
        </w:r>
      </w:hyperlink>
      <w:r>
        <w:rPr>
          <w:rFonts w:ascii="Times New Roman" w:hAnsi="Times New Roman"/>
          <w:b w:val="false"/>
          <w:i w:val="false"/>
          <w:color w:val="000000"/>
          <w:sz w:val="22"/>
        </w:rPr>
        <w:t>, or a laboratory certified by the department to perform water supply analyses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tanks. </w:t>
      </w:r>
      <w:r>
        <w:rPr>
          <w:rFonts w:ascii="Times New Roman" w:hAnsi="Times New Roman"/>
          <w:b w:val="false"/>
          <w:i w:val="false"/>
          <w:color w:val="000000"/>
          <w:sz w:val="22"/>
        </w:rPr>
        <w:t xml:space="preserve">The requirements of this chapter also apply to all laboratories conducting underground storage tank analyses for petroleum constituents pursuant to </w:t>
      </w:r>
      <w:hyperlink r:id="rId1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Routine on-site monitoring conducted by or for underground storage tank owners for leak detection or a nonregulatory purpose is excluded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w:t>
      </w:r>
      <w:r>
        <w:rPr>
          <w:rFonts w:ascii="Times New Roman" w:hAnsi="Times New Roman"/>
          <w:b w:val="false"/>
          <w:i w:val="false"/>
          <w:color w:val="000000"/>
          <w:sz w:val="22"/>
        </w:rPr>
        <w:t xml:space="preserve">The requirements of this chapter also apply to all laboratories conducting analyses of wastewater, groundwater or sewage sludge pursuant to </w:t>
      </w:r>
      <w:hyperlink r:id="rId14">
        <w:r>
          <w:rPr>
            <w:rStyle w:val="Hyperlink"/>
            <w:rFonts w:ascii="Times New Roman" w:hAnsi="Times New Roman"/>
            <w:b w:val="false"/>
            <w:i w:val="false"/>
            <w:color w:val="000000"/>
            <w:sz w:val="22"/>
          </w:rPr>
          <w:t>567—Chapters 63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67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Routine on-site monitoring for pH, temperature, dissolved oxygen, total residual chlorine and other pollutants that must be analyzed immediately upon sample collection, settleable solids, physical measurements such as flow and cell depth, and operational monitoring tests specified in </w:t>
      </w:r>
      <w:hyperlink r:id="rId17">
        <w:r>
          <w:rPr>
            <w:rStyle w:val="Hyperlink"/>
            <w:rFonts w:ascii="Times New Roman" w:hAnsi="Times New Roman"/>
            <w:b w:val="false"/>
            <w:i w:val="false"/>
            <w:color w:val="000000"/>
            <w:sz w:val="22"/>
          </w:rPr>
          <w:t>567—subrule 63.3(4)</w:t>
        </w:r>
      </w:hyperlink>
      <w:r>
        <w:rPr>
          <w:rFonts w:ascii="Times New Roman" w:hAnsi="Times New Roman"/>
          <w:b w:val="false"/>
          <w:i w:val="false"/>
          <w:color w:val="000000"/>
          <w:sz w:val="22"/>
        </w:rPr>
        <w:t xml:space="preserve"> are excluded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sites. </w:t>
      </w:r>
      <w:r>
        <w:rPr>
          <w:rFonts w:ascii="Times New Roman" w:hAnsi="Times New Roman"/>
          <w:b w:val="false"/>
          <w:i w:val="false"/>
          <w:color w:val="000000"/>
          <w:sz w:val="22"/>
        </w:rPr>
        <w:t xml:space="preserve">The requirements of this chapter also apply to all laboratories conducting analyses of solid waste parameters pursuant to </w:t>
      </w:r>
      <w:hyperlink r:id="rId18">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130</w:t>
        </w:r>
      </w:hyperlink>
      <w:r>
        <w:rPr>
          <w:rFonts w:ascii="Times New Roman" w:hAnsi="Times New Roman"/>
          <w:b w:val="false"/>
          <w:i w:val="false"/>
          <w:color w:val="000000"/>
          <w:sz w:val="22"/>
        </w:rPr>
        <w:t xml:space="preserve">, contaminated site parameters pursuant to </w:t>
      </w:r>
      <w:hyperlink r:id="rId20">
        <w:r>
          <w:rPr>
            <w:rStyle w:val="Hyperlink"/>
            <w:rFonts w:ascii="Times New Roman" w:hAnsi="Times New Roman"/>
            <w:b w:val="false"/>
            <w:i w:val="false"/>
            <w:color w:val="000000"/>
            <w:sz w:val="22"/>
          </w:rPr>
          <w:t>567—Chapters 133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regulated substances other than petroleum parameters regulated under </w:t>
      </w:r>
      <w:hyperlink r:id="rId22">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Any parameter that must be analyzed immediately upon sample collection is excluded from the requirements of this chapter. Any samples collected or testing conducted that is not part of the specific monitoring required by the department for regulatory purposes are also excluded from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means a laboratory demonstrates to the satisfaction of the department its ability to consistently produce valid data within the acceptance limits as specified within the department’s requirements for certification and meets the minimum requirements of this chapter and all applicable regulatory requirements. A laboratory may be certified for an analyte, an analytical series, or an environmental program area, except in the UST program area, where certification for individual analytes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program area” </w:t>
      </w:r>
      <w:r>
        <w:rPr>
          <w:rFonts w:ascii="Times New Roman" w:hAnsi="Times New Roman"/>
          <w:b w:val="false"/>
          <w:i w:val="false"/>
          <w:color w:val="000000"/>
          <w:sz w:val="22"/>
        </w:rPr>
        <w:t xml:space="preserve">means the water supply (drinking water) program, underground storage tank program, wastewater program, or solid waste and contaminated site program pursuant to </w:t>
      </w:r>
      <w:hyperlink r:id="rId23">
        <w:r>
          <w:rPr>
            <w:rStyle w:val="Hyperlink"/>
            <w:rFonts w:ascii="Times New Roman" w:hAnsi="Times New Roman"/>
            <w:b w:val="false"/>
            <w:i w:val="false"/>
            <w:color w:val="000000"/>
            <w:sz w:val="22"/>
          </w:rPr>
          <w:t>83.1(3)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“Manual for the Certification of Laboratories Analyzing Environmental Samples for the Iowa Department of Natural Resources” </w:t>
      </w:r>
      <w:r>
        <w:rPr>
          <w:rFonts w:ascii="Times New Roman" w:hAnsi="Times New Roman"/>
          <w:b w:val="false"/>
          <w:i w:val="false"/>
          <w:color w:val="000000"/>
          <w:sz w:val="22"/>
        </w:rPr>
        <w:t>(2017) (Iowa Manual) is incorporated by reference in this chapter.</w:t>
      </w:r>
    </w:p>
    <w:p>
      <w:pPr>
        <w:spacing w:before="0" w:after="0"/>
        <w:ind w:left="120"/>
        <w:jc w:val="both"/>
      </w:pPr>
      <w:r>
        <w:rPr>
          <w:rFonts w:ascii="Times New Roman" w:hAnsi="Times New Roman"/>
          <w:b w:val="false"/>
          <w:i w:val="false"/>
          <w:color w:val="000000"/>
          <w:sz w:val="22"/>
        </w:rPr>
        <w:t>Chapter 1 of the Iowa Manual pertains to certification of laboratories analyzing samples of drinking water and incorporates by reference the Manual for the Certification of Laboratories Analyzing Drinking Water, 5th edition, January 2005, EPA document 815-R-05-004, January 2005; Supplement 1, June 2008, EPA 815-F-08-006; and Supplement 2, November 2012, EPA 815-F-12-006.</w:t>
      </w:r>
    </w:p>
    <w:p>
      <w:pPr>
        <w:spacing w:before="0" w:after="0"/>
        <w:ind w:left="120"/>
        <w:jc w:val="both"/>
      </w:pPr>
      <w:r>
        <w:rPr>
          <w:rFonts w:ascii="Times New Roman" w:hAnsi="Times New Roman"/>
          <w:b w:val="false"/>
          <w:i w:val="false"/>
          <w:color w:val="000000"/>
          <w:sz w:val="22"/>
        </w:rPr>
        <w:t>Chapter 2 of the Iowa Manual, (2017), pertains to laboratories analyzing samples for the underground storage tank program.</w:t>
      </w:r>
    </w:p>
    <w:p>
      <w:pPr>
        <w:spacing w:before="0" w:after="0"/>
        <w:ind w:left="120"/>
        <w:jc w:val="both"/>
      </w:pPr>
      <w:r>
        <w:rPr>
          <w:rFonts w:ascii="Times New Roman" w:hAnsi="Times New Roman"/>
          <w:b w:val="false"/>
          <w:i w:val="false"/>
          <w:color w:val="000000"/>
          <w:sz w:val="22"/>
        </w:rPr>
        <w:t>Chapter 3 of the Iowa Manual, (2017), pertains to laboratories analyzing samples for wastewater and sewage sludge disposal programs.</w:t>
      </w:r>
    </w:p>
    <w:p>
      <w:pPr>
        <w:spacing w:before="0" w:after="0"/>
        <w:ind w:left="120"/>
        <w:jc w:val="both"/>
      </w:pPr>
      <w:r>
        <w:rPr>
          <w:rFonts w:ascii="Times New Roman" w:hAnsi="Times New Roman"/>
          <w:b w:val="false"/>
          <w:i w:val="false"/>
          <w:color w:val="000000"/>
          <w:sz w:val="22"/>
        </w:rPr>
        <w:t>Chapter 4 of the Iowa Manual, (2017), pertains to laboratories analyzing samples for the solid waste and contaminated site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 (PE) sample” </w:t>
      </w:r>
      <w:r>
        <w:rPr>
          <w:rFonts w:ascii="Times New Roman" w:hAnsi="Times New Roman"/>
          <w:b w:val="false"/>
          <w:i w:val="false"/>
          <w:color w:val="000000"/>
          <w:sz w:val="22"/>
        </w:rPr>
        <w:t>means a reference sample provided to a laboratory for the purpose of demonstrating that a laboratory can successfully analyze the sample within limits of performance specified by the department. The true value of the concentration of the reference material is unknown to the laboratory at the time of analysis. A PE sample may also be referred to as a proficiency testing sample or PT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w:t>
      </w:r>
      <w:r>
        <w:rPr>
          <w:rFonts w:ascii="Times New Roman" w:hAnsi="Times New Roman"/>
          <w:b w:val="false"/>
          <w:i w:val="false"/>
          <w:color w:val="000000"/>
          <w:sz w:val="22"/>
        </w:rPr>
        <w:t xml:space="preserve">means a laboratory has deficiencies, which must be corrected within the specified time frames listed in </w:t>
      </w:r>
      <w:hyperlink r:id="rId24">
        <w:r>
          <w:rPr>
            <w:rStyle w:val="Hyperlink"/>
            <w:rFonts w:ascii="Times New Roman" w:hAnsi="Times New Roman"/>
            <w:b w:val="false"/>
            <w:i w:val="false"/>
            <w:color w:val="000000"/>
            <w:sz w:val="22"/>
          </w:rPr>
          <w:t>83.7(2)</w:t>
        </w:r>
      </w:hyperlink>
      <w:r>
        <w:rPr>
          <w:rFonts w:ascii="Times New Roman" w:hAnsi="Times New Roman"/>
          <w:b w:val="false"/>
          <w:i/>
          <w:color w:val="000000"/>
          <w:sz w:val="22"/>
        </w:rPr>
        <w:t>“d,”</w:t>
      </w:r>
      <w:r>
        <w:rPr>
          <w:rFonts w:ascii="Times New Roman" w:hAnsi="Times New Roman"/>
          <w:b w:val="false"/>
          <w:i w:val="false"/>
          <w:color w:val="000000"/>
          <w:sz w:val="22"/>
        </w:rPr>
        <w:t xml:space="preserve"> but demonstrates to the satisfaction of the department its ability to consistently produce valid data within the acceptance limits as specified within the department’s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w:t>
      </w:r>
      <w:r>
        <w:rPr>
          <w:rFonts w:ascii="Times New Roman" w:hAnsi="Times New Roman"/>
          <w:b w:val="false"/>
          <w:i w:val="false"/>
          <w:color w:val="000000"/>
          <w:sz w:val="22"/>
        </w:rPr>
        <w:t>means a laboratory no longer fulfills the requirements of this chapter, and certification is revoked by the director upon determination of the director that the laboratory no longer fulfills the requirements for certification (455B.114).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w:t>
      </w:r>
      <w:r>
        <w:rPr>
          <w:rFonts w:ascii="Times New Roman" w:hAnsi="Times New Roman"/>
          <w:b w:val="false"/>
          <w:i w:val="false"/>
          <w:color w:val="000000"/>
          <w:sz w:val="22"/>
        </w:rPr>
        <w:t xml:space="preserve">means a temporary suspension of certification for a laboratory, conditional upon meeting the time frames in </w:t>
      </w:r>
      <w:hyperlink r:id="rId25">
        <w:r>
          <w:rPr>
            <w:rStyle w:val="Hyperlink"/>
            <w:rFonts w:ascii="Times New Roman" w:hAnsi="Times New Roman"/>
            <w:b w:val="false"/>
            <w:i w:val="false"/>
            <w:color w:val="000000"/>
            <w:sz w:val="22"/>
          </w:rPr>
          <w:t>83.7(4)</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the correction of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certification” </w:t>
      </w:r>
      <w:r>
        <w:rPr>
          <w:rFonts w:ascii="Times New Roman" w:hAnsi="Times New Roman"/>
          <w:b w:val="false"/>
          <w:i w:val="false"/>
          <w:color w:val="000000"/>
          <w:sz w:val="22"/>
        </w:rPr>
        <w:t>means short-term transitional certification granted in certain circumstances when the department implements certification in a new environmental program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pBdr>
          <w:top w:space="10"/>
        </w:pBdr>
        <w:spacing w:before="0" w:after="0"/>
        <w:ind w:left="120"/>
        <w:jc w:val="center"/>
      </w:pPr>
      <w:r>
        <w:rPr>
          <w:rFonts w:ascii="Times New Roman" w:hAnsi="Times New Roman"/>
          <w:b w:val="false"/>
          <w:i w:val="false"/>
          <w:color w:val="000000"/>
          <w:sz w:val="16"/>
        </w:rPr>
        <w:t>PART B</w:t>
      </w:r>
    </w:p>
    <w:p>
      <w:pPr>
        <w:pBdr>
          <w:bottom w:space="10"/>
        </w:pBdr>
        <w:spacing w:before="0" w:after="0"/>
        <w:ind w:left="120"/>
        <w:jc w:val="center"/>
      </w:pPr>
      <w:r>
        <w:rPr>
          <w:rFonts w:ascii="Times New Roman" w:hAnsi="Times New Roman"/>
          <w:b w:val="false"/>
          <w:i w:val="false"/>
          <w:color w:val="000000"/>
          <w:sz w:val="16"/>
        </w:rPr>
        <w:t>CERTIFICATION PROCESS</w:t>
      </w:r>
    </w:p>
    <w:p>
      <w:pPr>
        <w:spacing w:before="0" w:after="0"/>
        <w:ind w:left="120"/>
        <w:jc w:val="both"/>
      </w:pPr>
      <w:r>
        <w:rPr>
          <w:rFonts w:ascii="Times New Roman" w:hAnsi="Times New Roman"/>
          <w:b/>
          <w:i w:val="false"/>
          <w:color w:val="000000"/>
          <w:sz w:val="22"/>
        </w:rPr>
        <w:t>567—83.3</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for laboratory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Application for laboratory certification, other than for temporary certification, shall be made on forms provided by the department and shall be accompanied by the nonrefundable fee specified in </w:t>
      </w:r>
      <w:hyperlink r:id="rId26">
        <w:r>
          <w:rPr>
            <w:rStyle w:val="Hyperlink"/>
            <w:rFonts w:ascii="Times New Roman" w:hAnsi="Times New Roman"/>
            <w:b w:val="false"/>
            <w:i w:val="false"/>
            <w:color w:val="000000"/>
            <w:sz w:val="22"/>
          </w:rPr>
          <w:t>83.3(2)</w:t>
        </w:r>
      </w:hyperlink>
      <w:r>
        <w:rPr>
          <w:rFonts w:ascii="Times New Roman" w:hAnsi="Times New Roman"/>
          <w:b w:val="false"/>
          <w:i w:val="false"/>
          <w:color w:val="000000"/>
          <w:sz w:val="22"/>
        </w:rPr>
        <w:t>. The application for renewal of certification shall be made at least 60 days prior to the certification expiration date. The department may require submission of additional information necessary to evaluate the application. All required documentation must be supplied to the department prior to the on-site visit. Failure to submit a complete application may result in denial of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83.3(2)</w:t>
      </w:r>
      <w:r>
        <w:rPr>
          <w:rFonts w:ascii="Times New Roman" w:hAnsi="Times New Roman"/>
          <w:b w:val="false"/>
          <w:i w:val="false"/>
          <w:color w:val="000000"/>
          <w:sz w:val="22"/>
        </w:rPr>
        <w:t> </w:t>
      </w:r>
      <w:r>
        <w:rPr>
          <w:rFonts w:ascii="Times New Roman" w:hAnsi="Times New Roman"/>
          <w:b w:val="false"/>
          <w:i/>
          <w:color w:val="000000"/>
          <w:sz w:val="22"/>
        </w:rPr>
        <w:t xml:space="preserve">Fees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nonrefundable fee for the administration, completion of on-site laboratory surveys and assessments, and enforcement of laboratory certification requirements shall be paid with the certification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on-site visit will not be conducted and certification will not be issued until the fees and expenses are paid and all other certification requirements are met. The fee for certification will not be refunded if an on-site visit is not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Out-of-state laboratories will be responsible for paying the expenses of an on-site visit, in addition to the standard certification fee if required, and the department or its agent will bill the out-of-state laboratory directly for the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a laboratory’s certification is changed to “provisional” or “suspended” and the period for correcting deficiencies extends beyond the certification period, the laboratory must continue to pay the required fees in order to maintain its certification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fees. Additional fees will be assessed for the following, and the department or its agent will bill the laboratory directly.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laboratory is responsible for paying for any additional on-site visits, at a fee of $300 per visit. An example of this is when an additional on-site visit is required when a laboratory seeks certification for an entirely new set of parameters for which it had previously not been certified.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an on-site visit is required to inspect for deficiencies that the laboratory has been required to correct, the fee is $500 per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in multiple environmental program areas. Where a laboratory is certified for the same analyte in more than one environmental program area, the laboratory must meet all the applicable certification requirements in addition to the payment of the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applicable fees shall be based on the type of analytical service provided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308"/>
        <w:gridCol w:w="5624"/>
        <w:gridCol w:w="2258"/>
      </w:tblGrid>
      <w:tr>
        <w:trPr>
          <w:trHeight w:val="270" w:hRule="atLeast"/>
        </w:trPr>
        <w:tc>
          <w:tcPr>
            <w:tcW w:w="330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ANALYTICAL GROUP</w:t>
            </w:r>
          </w:p>
        </w:tc>
        <w:tc>
          <w:tcPr>
            <w:tcW w:w="56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REGULATORY PROGRAM &amp; PARAMETERS</w:t>
            </w:r>
            <w:r>
              <w:rPr>
                <w:rFonts w:ascii="Times New Roman" w:hAnsi="Times New Roman"/>
                <w:b w:val="false"/>
                <w:i w:val="false"/>
                <w:color w:val="000000"/>
                <w:sz w:val="18"/>
                <w:vertAlign w:val="superscript"/>
              </w:rPr>
              <w:t>1</w:t>
            </w:r>
          </w:p>
        </w:tc>
        <w:tc>
          <w:tcPr>
            <w:tcW w:w="225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FEE</w:t>
            </w:r>
          </w:p>
        </w:tc>
      </w:tr>
      <w:tr>
        <w:trPr>
          <w:trHeight w:val="240"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Asbestos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40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Basic Drinking Water</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SDWA (includes total coliform bacteria, </w:t>
            </w:r>
            <w:r>
              <w:rPr>
                <w:rFonts w:ascii="Times New Roman" w:hAnsi="Times New Roman"/>
                <w:b w:val="false"/>
                <w:i/>
                <w:color w:val="000000"/>
                <w:sz w:val="16"/>
              </w:rPr>
              <w:t>E. coli</w:t>
            </w:r>
            <w:r>
              <w:rPr>
                <w:rFonts w:ascii="Times New Roman" w:hAnsi="Times New Roman"/>
                <w:b w:val="false"/>
                <w:i w:val="false"/>
                <w:color w:val="000000"/>
                <w:sz w:val="16"/>
              </w:rPr>
              <w:t>, heterotrophic plate count, nitrate, nitrite, and fluoride)</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40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Basic Wastewater</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(includes BOD5, cBOD5, total suspended solids, and ammonia)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Bacteria</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CWA (includes total coliform, fecal coliform, and </w:t>
            </w:r>
            <w:r>
              <w:rPr>
                <w:rFonts w:ascii="Times New Roman" w:hAnsi="Times New Roman"/>
                <w:b w:val="false"/>
                <w:i/>
                <w:color w:val="000000"/>
                <w:sz w:val="16"/>
              </w:rPr>
              <w:t>E. coli</w:t>
            </w:r>
            <w:r>
              <w:rPr>
                <w:rFonts w:ascii="Times New Roman" w:hAnsi="Times New Roman"/>
                <w:b w:val="false"/>
                <w:i w:val="false"/>
                <w:color w:val="000000"/>
                <w:sz w:val="16"/>
              </w:rPr>
              <w:t>)</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40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SDWA (includes total coliform, </w:t>
            </w:r>
            <w:r>
              <w:rPr>
                <w:rFonts w:ascii="Times New Roman" w:hAnsi="Times New Roman"/>
                <w:b w:val="false"/>
                <w:i/>
                <w:color w:val="000000"/>
                <w:sz w:val="16"/>
              </w:rPr>
              <w:t>E. coli</w:t>
            </w:r>
            <w:r>
              <w:rPr>
                <w:rFonts w:ascii="Times New Roman" w:hAnsi="Times New Roman"/>
                <w:b w:val="false"/>
                <w:i w:val="false"/>
                <w:color w:val="000000"/>
                <w:sz w:val="16"/>
              </w:rPr>
              <w:t>, and heterotrophic plate count)</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CWA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$1,300</w:t>
            </w:r>
          </w:p>
        </w:tc>
      </w:tr>
      <w:tr>
        <w:trPr>
          <w:trHeight w:val="22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Dioxin</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225" w:hRule="atLeast"/>
        </w:trPr>
        <w:tc>
          <w:tcPr>
            <w:tcW w:w="330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Effluent Toxicity Testing</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$800</w:t>
            </w:r>
          </w:p>
        </w:tc>
      </w:tr>
      <w:tr>
        <w:trPr>
          <w:trHeight w:val="40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Inorganics, including metals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metals, inorganic compounds, and physical characteristics ($400 per analyte up to a maximum of $1,600)</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to 1,600</w:t>
            </w:r>
          </w:p>
        </w:tc>
      </w:tr>
      <w:tr>
        <w:trPr>
          <w:trHeight w:val="40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(includes metals, nitrate, nitrite, ammonia, cyanide, fluoride, bromate, bromide, chlorite, and total organic carbon)</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and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Radionuclides</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40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(includes gross alpha, gross beta, photon emitters, radium, strontium, tritium, and uranium)</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&amp; CWA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Synthetic Organic Chemicals (SOC)</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and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Volatile Organic Chemicals (VOC)</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SW/CS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SDWA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&amp;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$2,400</w:t>
            </w:r>
          </w:p>
        </w:tc>
      </w:tr>
      <w:tr>
        <w:trPr>
          <w:trHeight w:val="22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CWA, SDWA, and SW/CS combined</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$2,800</w:t>
            </w:r>
          </w:p>
        </w:tc>
      </w:tr>
      <w:tr>
        <w:trPr>
          <w:trHeight w:val="225" w:hRule="atLeast"/>
        </w:trPr>
        <w:tc>
          <w:tcPr>
            <w:tcW w:w="3308" w:type="dxa"/>
            <w:vMerge w:val="restart"/>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Underground Storage Tank Program Methods (UST)</w:t>
            </w: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OA1 and OA2 for UST, CWA, &amp; SW/CS programs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w:t>
            </w:r>
          </w:p>
        </w:tc>
      </w:tr>
      <w:tr>
        <w:trPr>
          <w:trHeight w:val="405" w:hRule="atLeast"/>
        </w:trPr>
        <w:tc>
          <w:tcPr>
            <w:tcW w:w="0" w:type="auto"/>
            <w:vMerge/>
            <w:tcBorders>
              <w:top w:val="nil"/>
              <w:bottom w:val="single" w:color="000000" w:sz="8"/>
              <w:right w:val="single" w:color="000000" w:sz="8"/>
            </w:tcBorders>
          </w:tcPr>
          <w:p/>
        </w:tc>
        <w:tc>
          <w:tcPr>
            <w:tcW w:w="56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OA1, OA2, PAH, and Air Gas for UST, CWA, &amp; SW/CS programs</w:t>
            </w:r>
          </w:p>
        </w:tc>
        <w:tc>
          <w:tcPr>
            <w:tcW w:w="225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w:t>
            </w:r>
          </w:p>
        </w:tc>
      </w:tr>
      <w:tr>
        <w:trPr>
          <w:trHeight w:val="255" w:hRule="atLeast"/>
        </w:trPr>
        <w:tc>
          <w:tcPr>
            <w:tcW w:w="330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analyte</w:t>
            </w:r>
            <w:r>
              <w:rPr>
                <w:rFonts w:ascii="Times New Roman" w:hAnsi="Times New Roman"/>
                <w:b w:val="false"/>
                <w:i w:val="false"/>
                <w:color w:val="000000"/>
                <w:sz w:val="18"/>
                <w:vertAlign w:val="superscript"/>
              </w:rPr>
              <w:t>2</w:t>
            </w:r>
          </w:p>
        </w:tc>
        <w:tc>
          <w:tcPr>
            <w:tcW w:w="56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SDWA, CWA, UST, or SW/CS</w:t>
            </w:r>
          </w:p>
        </w:tc>
        <w:tc>
          <w:tcPr>
            <w:tcW w:w="225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 per analyte</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CWA: Analysis of wastewater samples for the federal Clean Water Act.</w:t>
      </w:r>
    </w:p>
    <w:p>
      <w:pPr>
        <w:spacing w:before="0" w:after="0"/>
        <w:ind w:left="120"/>
        <w:jc w:val="both"/>
      </w:pPr>
      <w:r>
        <w:rPr>
          <w:rFonts w:ascii="Times New Roman" w:hAnsi="Times New Roman"/>
          <w:b w:val="false"/>
          <w:i w:val="false"/>
          <w:color w:val="000000"/>
          <w:sz w:val="16"/>
        </w:rPr>
        <w:t>SDWA: Analysis of drinking water samples for the federal Safe Drinking Water Act.</w:t>
      </w:r>
    </w:p>
    <w:p>
      <w:pPr>
        <w:spacing w:before="0" w:after="0"/>
        <w:ind w:left="120"/>
        <w:jc w:val="both"/>
      </w:pPr>
      <w:r>
        <w:rPr>
          <w:rFonts w:ascii="Times New Roman" w:hAnsi="Times New Roman"/>
          <w:b w:val="false"/>
          <w:i w:val="false"/>
          <w:color w:val="000000"/>
          <w:sz w:val="16"/>
        </w:rPr>
        <w:t>SW/CS: Analysis of water, soil, or solid samples for the solid waste or contaminated sites programs.</w:t>
      </w:r>
    </w:p>
    <w:p>
      <w:pPr>
        <w:spacing w:before="0" w:after="0"/>
        <w:ind w:left="120"/>
        <w:jc w:val="both"/>
      </w:pPr>
      <w:r>
        <w:rPr>
          <w:rFonts w:ascii="Times New Roman" w:hAnsi="Times New Roman"/>
          <w:b w:val="false"/>
          <w:i w:val="false"/>
          <w:color w:val="000000"/>
          <w:sz w:val="16"/>
        </w:rPr>
        <w:t>UST: Analysis of water and soil samples for the underground storage tank program.</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The fee for an additional analyte may be charged at the discretion of the appraisal authority.</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of fees. Fees shall be paid by bank draft, check, money order, credit card, electronic payment, or other means acceptable to the department, made payable to the Iowa Department of Natural Resources. Credit card or electronic payment may incur an additional fee. Purchase orders are not an acceptable form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Reciprocal certification of out-of-state laboratories by Iowa, and of Iowa laboratories by other states or accreditation providers, is allowed. A laboratory must meet all Iowa certification criteria and pay all applicable fees as listed in this chapter. Any laboratory which is granted reciprocal certification in Iowa using primary certification from another state or provider is required to report any change in certification status from the accrediting state or provider to the department within 15 days of notification. A laboratory that loses primary certification, either in its resident state program or third-party accreditation program, will also immediately lose certification for the same program area and parameters in Iowa, pursuant to </w:t>
      </w:r>
      <w:hyperlink r:id="rId27">
        <w:r>
          <w:rPr>
            <w:rStyle w:val="Hyperlink"/>
            <w:rFonts w:ascii="Times New Roman" w:hAnsi="Times New Roman"/>
            <w:b w:val="false"/>
            <w:i w:val="false"/>
            <w:color w:val="000000"/>
            <w:sz w:val="22"/>
          </w:rPr>
          <w:t>83.7(5)</w:t>
        </w:r>
      </w:hyperlink>
      <w:r>
        <w:rPr>
          <w:rFonts w:ascii="Times New Roman" w:hAnsi="Times New Roman"/>
          <w:b w:val="false"/>
          <w:i/>
          <w:color w:val="000000"/>
          <w:sz w:val="22"/>
        </w:rPr>
        <w:t>“a”</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Out-of-state laboratories. </w:t>
      </w:r>
      <w:r>
        <w:rPr>
          <w:rFonts w:ascii="Times New Roman" w:hAnsi="Times New Roman"/>
          <w:b w:val="false"/>
          <w:i w:val="false"/>
          <w:color w:val="000000"/>
          <w:sz w:val="22"/>
        </w:rPr>
        <w:t>Where an out-of-state laboratory has received an on-site visit within its own state, the fee for certification shall not be reduced if an on-site visit is not performed by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accreditation. </w:t>
      </w:r>
      <w:r>
        <w:rPr>
          <w:rFonts w:ascii="Times New Roman" w:hAnsi="Times New Roman"/>
          <w:b w:val="false"/>
          <w:i w:val="false"/>
          <w:color w:val="000000"/>
          <w:sz w:val="22"/>
        </w:rPr>
        <w:t>The department may accept third-party accreditation from national accreditation providers on an individual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567—83.4</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Procedure for initial certification for laboratories analyzing solid waste and contaminated site program parameters.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3735C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4/11/18</w:t>
      </w:r>
      <w:r>
        <w:rPr>
          <w:rFonts w:ascii="Times New Roman" w:hAnsi="Times New Roman"/>
          <w:b w:val="false"/>
          <w:i w:val="false"/>
          <w:color w:val="000000"/>
          <w:sz w:val="22"/>
        </w:rPr>
        <w:t xml:space="preserve">, effective 5/16/18. </w:t>
      </w:r>
    </w:p>
    <w:p>
      <w:pPr>
        <w:spacing w:before="210" w:after="0"/>
        <w:ind w:left="120"/>
        <w:jc w:val="both"/>
      </w:pPr>
      <w:r>
        <w:rPr>
          <w:rFonts w:ascii="Times New Roman" w:hAnsi="Times New Roman"/>
          <w:b/>
          <w:i w:val="false"/>
          <w:color w:val="000000"/>
          <w:sz w:val="22"/>
        </w:rPr>
        <w:t>567—83.5</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Procedures for certification of new laboratories or changes in certification. </w:t>
      </w:r>
      <w:r>
        <w:rPr>
          <w:rFonts w:ascii="Times New Roman" w:hAnsi="Times New Roman"/>
          <w:b w:val="false"/>
          <w:i w:val="false"/>
          <w:color w:val="000000"/>
          <w:sz w:val="22"/>
        </w:rPr>
        <w:t xml:space="preserve">Laboratories that wish to become certified to conduct testing for an analyte or a method after the deadline for initial certification has passed, and any laboratory seeking initial certification, shall follow the procedures specified in </w:t>
      </w:r>
      <w:hyperlink r:id="rId28">
        <w:r>
          <w:rPr>
            <w:rStyle w:val="Hyperlink"/>
            <w:rFonts w:ascii="Times New Roman" w:hAnsi="Times New Roman"/>
            <w:b w:val="false"/>
            <w:i w:val="false"/>
            <w:color w:val="000000"/>
            <w:sz w:val="22"/>
          </w:rPr>
          <w:t>567—83.6</w:t>
        </w:r>
      </w:hyperlink>
      <w:r>
        <w:rPr>
          <w:rFonts w:ascii="Times New Roman" w:hAnsi="Times New Roman"/>
          <w:b w:val="false"/>
          <w:i w:val="false"/>
          <w:color w:val="000000"/>
          <w:sz w:val="22"/>
        </w:rPr>
        <w:t>(455B) for laboratory recertification. For changes in certification, the relevant fee must accompany the application where appropriate.</w:t>
      </w:r>
    </w:p>
    <w:p>
      <w:pPr>
        <w:spacing w:before="0" w:after="0"/>
        <w:ind w:left="120"/>
        <w:jc w:val="both"/>
      </w:pPr>
      <w:r>
        <w:rPr>
          <w:rFonts w:ascii="Times New Roman" w:hAnsi="Times New Roman"/>
          <w:b/>
          <w:i w:val="false"/>
          <w:color w:val="000000"/>
          <w:sz w:val="22"/>
        </w:rPr>
        <w:t>567—83.6</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recertification. </w:t>
      </w:r>
      <w:r>
        <w:rPr>
          <w:rFonts w:ascii="Times New Roman" w:hAnsi="Times New Roman"/>
          <w:b w:val="false"/>
          <w:i w:val="false"/>
          <w:color w:val="000000"/>
          <w:sz w:val="22"/>
        </w:rPr>
        <w:t xml:space="preserve">Laboratories shall be recertified every two years after initial certification. Applications for recertification must be on forms provided by the department and must be postmarked at least 60 days prior to the renewal date. Applications shall be accompanied by the fee specified in </w:t>
      </w:r>
      <w:hyperlink r:id="rId29">
        <w:r>
          <w:rPr>
            <w:rStyle w:val="Hyperlink"/>
            <w:rFonts w:ascii="Times New Roman" w:hAnsi="Times New Roman"/>
            <w:b w:val="false"/>
            <w:i w:val="false"/>
            <w:color w:val="000000"/>
            <w:sz w:val="22"/>
          </w:rPr>
          <w:t>83.3(2)</w:t>
        </w:r>
      </w:hyperlink>
      <w:r>
        <w:rPr>
          <w:rFonts w:ascii="Times New Roman" w:hAnsi="Times New Roman"/>
          <w:b w:val="false"/>
          <w:i w:val="false"/>
          <w:color w:val="000000"/>
          <w:sz w:val="22"/>
        </w:rPr>
        <w:t>. To be recertified, laboratories must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83.6(1)</w:t>
      </w:r>
      <w:r>
        <w:rPr>
          <w:rFonts w:ascii="Times New Roman" w:hAnsi="Times New Roman"/>
          <w:b w:val="false"/>
          <w:i w:val="false"/>
          <w:color w:val="000000"/>
          <w:sz w:val="22"/>
        </w:rPr>
        <w:t> </w:t>
      </w:r>
      <w:r>
        <w:rPr>
          <w:rFonts w:ascii="Times New Roman" w:hAnsi="Times New Roman"/>
          <w:b w:val="false"/>
          <w:i/>
          <w:color w:val="000000"/>
          <w:sz w:val="22"/>
        </w:rPr>
        <w:t xml:space="preserve">Approved methodology required. </w:t>
      </w:r>
      <w:r>
        <w:rPr>
          <w:rFonts w:ascii="Times New Roman" w:hAnsi="Times New Roman"/>
          <w:b w:val="false"/>
          <w:i w:val="false"/>
          <w:color w:val="000000"/>
          <w:sz w:val="22"/>
        </w:rPr>
        <w:t>Laboratories must use the approved methodology for all analyses the results of which are to be submitted to the department. A laboratory may not analyze and report data from samples collected for an environmental program area until certified 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83.6(2)</w:t>
      </w:r>
      <w:r>
        <w:rPr>
          <w:rFonts w:ascii="Times New Roman" w:hAnsi="Times New Roman"/>
          <w:b w:val="false"/>
          <w:i w:val="false"/>
          <w:color w:val="000000"/>
          <w:sz w:val="22"/>
        </w:rPr>
        <w:t> </w:t>
      </w:r>
      <w:r>
        <w:rPr>
          <w:rFonts w:ascii="Times New Roman" w:hAnsi="Times New Roman"/>
          <w:b w:val="false"/>
          <w:i/>
          <w:color w:val="000000"/>
          <w:sz w:val="22"/>
        </w:rPr>
        <w:t xml:space="preserve">Performance evaluation (proficiency testing) samples required. </w:t>
      </w:r>
      <w:r>
        <w:rPr>
          <w:rFonts w:ascii="Times New Roman" w:hAnsi="Times New Roman"/>
          <w:b w:val="false"/>
          <w:i w:val="false"/>
          <w:color w:val="000000"/>
          <w:sz w:val="22"/>
        </w:rPr>
        <w:t>Certified laboratories must satisfactorily analyze PEs at least once every 12 months for each analyte by each method for which the laboratory wishes to retain certification unless a PE sample is not available for the particular analyte or method. Results must be submitted to Iowa department of natural resources and the state of Iowa hygienic laboratory, or as otherwise directed, along with a statement of the method used within 30 days of receipt from the provider. The laboratory must maintain records of all PE samples for a minimum of 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major changes. </w:t>
      </w:r>
      <w:r>
        <w:rPr>
          <w:rFonts w:ascii="Times New Roman" w:hAnsi="Times New Roman"/>
          <w:b w:val="false"/>
          <w:i w:val="false"/>
          <w:color w:val="000000"/>
          <w:sz w:val="22"/>
        </w:rPr>
        <w:t>Laboratories must notify the department, in writing, within 15 days of major changes in essential personnel, equipment, laboratory location, or other major change which might alter or impair analytical capability. An example of a major change in essential personnel includes the loss or replacement of the laboratory supervisor, or a trained and experienced analyst is no longer available to analyze a particular parameter for which certification has been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83.6(4)</w:t>
      </w:r>
      <w:r>
        <w:rPr>
          <w:rFonts w:ascii="Times New Roman" w:hAnsi="Times New Roman"/>
          <w:b w:val="false"/>
          <w:i w:val="false"/>
          <w:color w:val="000000"/>
          <w:sz w:val="22"/>
        </w:rPr>
        <w:t> </w:t>
      </w:r>
      <w:r>
        <w:rPr>
          <w:rFonts w:ascii="Times New Roman" w:hAnsi="Times New Roman"/>
          <w:b w:val="false"/>
          <w:i w:val="false"/>
          <w:color w:val="000000"/>
          <w:sz w:val="22"/>
        </w:rPr>
        <w:t>Site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the State of Iowa Hygienic Laboratory. </w:t>
      </w:r>
      <w:r>
        <w:rPr>
          <w:rFonts w:ascii="Times New Roman" w:hAnsi="Times New Roman"/>
          <w:b w:val="false"/>
          <w:i w:val="false"/>
          <w:color w:val="000000"/>
          <w:sz w:val="22"/>
        </w:rPr>
        <w:t>The department has designated the State of Iowa Hygienic Laboratory (SHL) as its appraisal authority for laboratory certification. The SHL is responsible for attaining and maintaining laboratory certification for the SDWA program that is acceptable to the U.S. Environmental Protection Agency (EPA). The SHL quality assurance officer is responsible for the certification of SHL for those programs with no available EPA certification program, including wastewater, underground storage tank, solid waste, and contaminated site programs. The SHL quality assurance officer reports directly to the office of the SHL director and operates independently of all areas of the laboratory generating data to ensure complete objectivity in the evaluation of laboratory operations. The quality assurance officer will schedule a biennial on-site inspection of the SHL and review results for acceptable performance. Inadequacies or unacceptable performance shall be reported by the quality assurance officer to the SHL and the department for correction. The department shall be notified if corrective action is not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On-site visits. </w:t>
      </w:r>
      <w:r>
        <w:rPr>
          <w:rFonts w:ascii="Times New Roman" w:hAnsi="Times New Roman"/>
          <w:b w:val="false"/>
          <w:i w:val="false"/>
          <w:color w:val="000000"/>
          <w:sz w:val="22"/>
        </w:rPr>
        <w:t>Laboratories must consent to a periodic site visit by the department or its designee, at least every two years. However, an on-site visit may be conducted more frequently if the laboratory undergoes a major change which may alter or impair analytical capability, fails a PE sample analysis, or if the department questions an aspect of data submitted which is not satisfactorily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83.6(5)</w:t>
      </w:r>
      <w:r>
        <w:rPr>
          <w:rFonts w:ascii="Times New Roman" w:hAnsi="Times New Roman"/>
          <w:b w:val="false"/>
          <w:i w:val="false"/>
          <w:color w:val="000000"/>
          <w:sz w:val="22"/>
        </w:rPr>
        <w:t> </w:t>
      </w:r>
      <w:r>
        <w:rPr>
          <w:rFonts w:ascii="Times New Roman" w:hAnsi="Times New Roman"/>
          <w:b w:val="false"/>
          <w:i w:val="false"/>
          <w:color w:val="000000"/>
          <w:sz w:val="22"/>
        </w:rPr>
        <w:t>Period of validity. Certification shall be valid for a period not to exceed two years from the date of issuance, except in the case of reciprocal certification of an out-of-state laboratory. Reciprocal certification shall be valid for a period equal to that of the resident state in which the laboratory is certified, but shall not exceed two years. Certification shall remain in effect provided a laboratory has submitted a timely and complete application, until certification is either renewed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83.6(6)</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Laboratories may not analyze or report sample results for any analyte, analytical series, or environmental program area until the initial certification status of “certified” or “temporary” has been granted by the department. Any data generated before certification status is granted will be considered invalid for compliance purposes. A laboratory with “provisional” status may analyze and report analyses for compliance purposes.</w:t>
      </w:r>
    </w:p>
    <w:p>
      <w:pPr>
        <w:spacing w:before="0" w:after="0"/>
        <w:ind w:left="120"/>
        <w:jc w:val="both"/>
      </w:pPr>
      <w:r>
        <w:rPr>
          <w:rFonts w:ascii="Times New Roman" w:hAnsi="Times New Roman"/>
          <w:b w:val="false"/>
          <w:i w:val="false"/>
          <w:color w:val="000000"/>
          <w:sz w:val="22"/>
        </w:rPr>
        <w:t>A certified laboratory may contract analyses to another certified laboratory. The responsibility lies with the primary certified laboratory contracting for services to verify that the secondary contracting laboratory is certified by the department and to ensure that reporting requirements and deadlines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laboratories must report to the department, or its designee, all analytical test results for all public water supplies in a manner acceptable to the department, using forms, including electronic forms, provided or approved by the department or by electronic means acceptable to the department. If a public water supply is required by the department to collect and analyze a sample for an analyte not normally required by </w:t>
      </w:r>
      <w:hyperlink r:id="rId30">
        <w:r>
          <w:rPr>
            <w:rStyle w:val="Hyperlink"/>
            <w:rFonts w:ascii="Times New Roman" w:hAnsi="Times New Roman"/>
            <w:b w:val="false"/>
            <w:i w:val="false"/>
            <w:color w:val="000000"/>
            <w:sz w:val="22"/>
          </w:rPr>
          <w:t>567—Chapters 41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the laboratory testing for that analyte must also be certified and report the results of that analyte to the department. It is the responsibility of the laboratory to correctly assign and track the sample identification number as well as facility ID and source/entry point data for all reported samples.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following are examples of sample types for which data results must be reported: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 a regular sample which includes samples collected for compliance purposes from such locations as the source/entry point and in the distribution system, at various sampling frequencies;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Repeat: a sample which must be collected after a positive result from a routine or previous repeat total coliform sample, per 567—paragraph 41.2(1)</w:t>
      </w:r>
      <w:r>
        <w:rPr>
          <w:rFonts w:ascii="Times New Roman" w:hAnsi="Times New Roman"/>
          <w:b w:val="false"/>
          <w:i/>
          <w:color w:val="000000"/>
          <w:sz w:val="22"/>
        </w:rPr>
        <w:t>“j.”</w:t>
      </w:r>
      <w:r>
        <w:rPr>
          <w:rFonts w:ascii="Times New Roman" w:hAnsi="Times New Roman"/>
          <w:b w:val="false"/>
          <w:i w:val="false"/>
          <w:color w:val="000000"/>
          <w:sz w:val="22"/>
        </w:rPr>
        <w:t xml:space="preserve"> Repeat samples must be analyzed at the same laboratory from which the associated original routine sample was analyzed;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a sample which verifies a routine sample, normally used in determination of compliance with a health-based standard, such as nitrate;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Special: a nonroutine sample, such as raw, plant, and troubleshooting samples, which cannot be used to comply with monitoring requirements assigned by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Maximum residence time: a sample which is collected at the maximum residence time location in the distribution system, usually for disinfection byproduct measurement;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Replacement: a sample which replaces a missed sample from a prior monitoring period resulting in a monitoring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additional types of data must be reported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Monthly Operation Report (MOR) data which has been specifically required by the department to demonstrate compliance with public health standards;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Chemical results not required to be analyzed but which are detected during analysis, such as detection of a synthetic organic chemical during a routine analysis of that related analytical series for compliance reporting;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Raw water sampling results specifically covered by </w:t>
      </w:r>
      <w:hyperlink r:id="rId32">
        <w:r>
          <w:rPr>
            <w:rStyle w:val="Hyperlink"/>
            <w:rFonts w:ascii="Times New Roman" w:hAnsi="Times New Roman"/>
            <w:b w:val="false"/>
            <w:i w:val="false"/>
            <w:color w:val="000000"/>
            <w:sz w:val="22"/>
          </w:rPr>
          <w:t>567—Chapters 40</w:t>
        </w:r>
      </w:hyperlink>
      <w:r>
        <w:rPr>
          <w:rFonts w:ascii="Times New Roman" w:hAnsi="Times New Roman"/>
          <w:b w:val="false"/>
          <w:i w:val="false"/>
          <w:color w:val="000000"/>
          <w:sz w:val="22"/>
        </w:rPr>
        <w:t xml:space="preserve"> to </w:t>
      </w:r>
      <w:hyperlink r:id="rId33">
        <w:r>
          <w:rPr>
            <w:rStyle w:val="Hyperlink"/>
            <w:rFonts w:ascii="Times New Roman" w:hAnsi="Times New Roman"/>
            <w:b w:val="false"/>
            <w:i w:val="false"/>
            <w:color w:val="000000"/>
            <w:sz w:val="22"/>
          </w:rPr>
          <w:t>43</w:t>
        </w:r>
      </w:hyperlink>
      <w:r>
        <w:rPr>
          <w:rFonts w:ascii="Times New Roman" w:hAnsi="Times New Roman"/>
          <w:b w:val="false"/>
          <w:i w:val="false"/>
          <w:color w:val="000000"/>
          <w:sz w:val="22"/>
        </w:rPr>
        <w:t xml:space="preserve"> for new surface water or groundwater sources, or reconstruction of groundwater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following are examples of data results that are not required to be reported by the laboratory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 MOR data;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Distribution samples for the Total Coliform Rule (567—subrule 41.2(1)) for water main repair or installation; or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Results for contaminants that are not required by the department to be analyzed, which are below detection level.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sample type cannot be changed after submittal to the laboratory, without written approval by the department. The prescreening, splitting, or selective reporting of compliance samples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laboratories must report all analytical results to the public water supply for which the analyses were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Analytical results must be reported to and received by the department by the seventh day of the month following the month in which the samples were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addition to the monthly reporting of the analytical results, the following results must be reported within 24 hours of the completion of the analysis to the department by email or other method acceptable to the department, and to the public water supply for which the analyses were conducted: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Results of positive routine coliform bacteria samples, and all repeat and follow-up samples, reported within 24 hours of the completion of each sample’s analysis.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Results of any contaminant which exceeds public drinking water standards (maximum contaminant level, treatment technique, action level, or health advisory), and any subsequent confirmation samples.</w:t>
      </w:r>
    </w:p>
    <w:p>
      <w:pPr>
        <w:spacing w:before="0" w:after="0"/>
        <w:ind w:left="120"/>
        <w:jc w:val="both"/>
      </w:pPr>
      <w:r>
        <w:rPr>
          <w:rFonts w:ascii="Times New Roman" w:hAnsi="Times New Roman"/>
          <w:b w:val="false"/>
          <w:i w:val="false"/>
          <w:color w:val="000000"/>
          <w:sz w:val="22"/>
        </w:rPr>
        <w:t>For results available outside of routine business hours, the results must also be reported to the department’s Environmental Emergency Reporting Hotline number at (515)725-8694.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requested by the department, certified laboratories shall report their method detection levels, levels of quantitation, and any other pertinent information when reporting results for public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program. </w:t>
      </w:r>
      <w:r>
        <w:rPr>
          <w:rFonts w:ascii="Times New Roman" w:hAnsi="Times New Roman"/>
          <w:b w:val="false"/>
          <w:i w:val="false"/>
          <w:color w:val="000000"/>
          <w:sz w:val="22"/>
        </w:rPr>
        <w:t xml:space="preserve">Certified laboratories must report to the client requesting the analysis and include the information required in </w:t>
      </w:r>
      <w:hyperlink r:id="rId34">
        <w:r>
          <w:rPr>
            <w:rStyle w:val="Hyperlink"/>
            <w:rFonts w:ascii="Times New Roman" w:hAnsi="Times New Roman"/>
            <w:b w:val="false"/>
            <w:i w:val="false"/>
            <w:color w:val="000000"/>
            <w:sz w:val="22"/>
          </w:rPr>
          <w:t>567—subrule 135.10(2)</w:t>
        </w:r>
      </w:hyperlink>
      <w:r>
        <w:rPr>
          <w:rFonts w:ascii="Times New Roman" w:hAnsi="Times New Roman"/>
          <w:b w:val="false"/>
          <w:i w:val="false"/>
          <w:color w:val="000000"/>
          <w:sz w:val="22"/>
        </w:rPr>
        <w:t xml:space="preserve"> in their laboratory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program. </w:t>
      </w:r>
      <w:r>
        <w:rPr>
          <w:rFonts w:ascii="Times New Roman" w:hAnsi="Times New Roman"/>
          <w:b w:val="false"/>
          <w:i w:val="false"/>
          <w:color w:val="000000"/>
          <w:sz w:val="22"/>
        </w:rPr>
        <w:t xml:space="preserve">Certified laboratories must report to the client requesting the analysis and include the information required in 567—paragraphs </w:t>
      </w:r>
      <w:hyperlink r:id="rId35">
        <w:r>
          <w:rPr>
            <w:rStyle w:val="Hyperlink"/>
            <w:rFonts w:ascii="Times New Roman" w:hAnsi="Times New Roman"/>
            <w:b w:val="false"/>
            <w:i w:val="false"/>
            <w:color w:val="000000"/>
            <w:sz w:val="22"/>
          </w:rPr>
          <w:t>63.2(2)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in their laboratory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 programs. </w:t>
      </w:r>
      <w:r>
        <w:rPr>
          <w:rFonts w:ascii="Times New Roman" w:hAnsi="Times New Roman"/>
          <w:b w:val="false"/>
          <w:i w:val="false"/>
          <w:color w:val="000000"/>
          <w:sz w:val="22"/>
        </w:rPr>
        <w:t xml:space="preserve">Certified laboratories must report to the client requesting the analysis and include the information required in paragraph </w:t>
      </w:r>
      <w:hyperlink r:id="rId36">
        <w:r>
          <w:rPr>
            <w:rStyle w:val="Hyperlink"/>
            <w:rFonts w:ascii="Times New Roman" w:hAnsi="Times New Roman"/>
            <w:b w:val="false"/>
            <w:i w:val="false"/>
            <w:color w:val="000000"/>
            <w:sz w:val="22"/>
          </w:rPr>
          <w:t>83.6(7)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567—subrule 103.2(8)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83.6(7)</w:t>
      </w:r>
      <w:r>
        <w:rPr>
          <w:rFonts w:ascii="Times New Roman" w:hAnsi="Times New Roman"/>
          <w:b w:val="false"/>
          <w:i w:val="false"/>
          <w:color w:val="000000"/>
          <w:sz w:val="22"/>
        </w:rPr>
        <w:t> </w:t>
      </w:r>
      <w:r>
        <w:rPr>
          <w:rFonts w:ascii="Times New Roman" w:hAnsi="Times New Roman"/>
          <w:b w:val="false"/>
          <w:i w:val="false"/>
          <w:color w:val="000000"/>
          <w:sz w:val="22"/>
        </w:rPr>
        <w:t>Performance evaluation (PE) and acceptance limits. All PE samples must be obtained from EPA; a provider accredited by EPA, the National Environmental Laboratory Accreditation Program (NELAP) or National Institute of Standards and Technology (NIST); or other provider acceptable to the department. All PE samples must have statistical acceptance limits. Certain environmental program areas may have specific PE requirements,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Water supply program. </w:t>
      </w:r>
      <w:r>
        <w:rPr>
          <w:rFonts w:ascii="Times New Roman" w:hAnsi="Times New Roman"/>
          <w:b w:val="false"/>
          <w:i w:val="false"/>
          <w:color w:val="000000"/>
          <w:sz w:val="22"/>
        </w:rPr>
        <w:t xml:space="preserve">Laboratories must be able to achieve at least the method detection limit for each specific analyte as listed in </w:t>
      </w:r>
      <w:hyperlink r:id="rId38">
        <w:r>
          <w:rPr>
            <w:rStyle w:val="Hyperlink"/>
            <w:rFonts w:ascii="Times New Roman" w:hAnsi="Times New Roman"/>
            <w:b w:val="false"/>
            <w:i w:val="false"/>
            <w:color w:val="000000"/>
            <w:sz w:val="22"/>
          </w:rPr>
          <w:t>567—Chapter 41</w:t>
        </w:r>
      </w:hyperlink>
      <w:r>
        <w:rPr>
          <w:rFonts w:ascii="Times New Roman" w:hAnsi="Times New Roman"/>
          <w:b w:val="false"/>
          <w:i w:val="false"/>
          <w:color w:val="000000"/>
          <w:sz w:val="22"/>
        </w:rPr>
        <w:t>, in addition to any method detection limit requirement listed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Volatile organic chemical (VOC). Analysis for VOCs shall only be conducted by laboratories certified by EPA or the department or its authorized designee according to the following conditions. To receive approval to conduct analyses for the VOC contaminants in 567—subparagraph </w:t>
      </w:r>
      <w:hyperlink r:id="rId39">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(1), except for vinyl chloride, the laboratory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provided by EPA, the department, or a third-party provider acceptable to the department, at least once a year by each method for which the laboratory desires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Achieve the quantitative acceptance limits for at least 80 percent of the regulated organic chemicals included in the PE sample, except for vinyl chloride.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Achieve quantitative results on the PE samples within plus or minus 20 percent of the actual amount of the substances when the actual amount is greater than or equal to 0.010 mg/L.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Achieve quantitative results on the PE samples within plus or minus 40 percent of the actual amount of the substances when the actual amount is less than 0.010 mg/L.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Achieve a VOC method detection limit of 0.0005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Vinyl chloride. To receive approval for vinyl chloride, the laboratory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which include vinyl chloride provided by EPA, the department, or a third-party provider acceptable to the department, at least once a year by each method for which the laboratory desires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Achieve quantitative results on the PE samples within plus or minus 40 percent of the actual amount of vinyl chloride.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Achieve a method detection limit of 0.0005 mg/L.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Synthetic organic chemical (SOC). Analysis for SOCs shall be conducted only by laboratories certified by EPA or the department or its authorized designee. To receive approval to conduct analyses for the SOC contaminants in 567—subparagraph </w:t>
      </w:r>
      <w:hyperlink r:id="rId40">
        <w:r>
          <w:rPr>
            <w:rStyle w:val="Hyperlink"/>
            <w:rFonts w:ascii="Times New Roman" w:hAnsi="Times New Roman"/>
            <w:b w:val="false"/>
            <w:i w:val="false"/>
            <w:color w:val="000000"/>
            <w:sz w:val="22"/>
          </w:rPr>
          <w:t>41.5(1)</w:t>
        </w:r>
      </w:hyperlink>
      <w:r>
        <w:rPr>
          <w:rFonts w:ascii="Times New Roman" w:hAnsi="Times New Roman"/>
          <w:b w:val="false"/>
          <w:i/>
          <w:color w:val="000000"/>
          <w:sz w:val="22"/>
        </w:rPr>
        <w:t>“b”</w:t>
      </w:r>
      <w:r>
        <w:rPr>
          <w:rFonts w:ascii="Times New Roman" w:hAnsi="Times New Roman"/>
          <w:b w:val="false"/>
          <w:i w:val="false"/>
          <w:color w:val="000000"/>
          <w:sz w:val="22"/>
        </w:rPr>
        <w:t>(2), the laboratory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which include those substances provided by EPA, the department, or a third-party provider acceptable to the department, at least once a year by each method for which the laboratory desires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each contaminant that has been included in the PE sample, achieve quantitative results on the analyses that are within the following acceptance limits:</w:t>
      </w:r>
    </w:p>
    <w:p>
      <w:pPr>
        <w:spacing w:before="60" w:after="0"/>
        <w:ind w:left="120"/>
        <w:jc w:val="center"/>
      </w:pPr>
      <w:r>
        <w:rPr>
          <w:rFonts w:ascii="Times New Roman" w:hAnsi="Times New Roman"/>
          <w:b w:val="false"/>
          <w:i w:val="false"/>
          <w:color w:val="000000"/>
          <w:sz w:val="22"/>
        </w:rPr>
        <w:t>ACCEPTANCE LIMITS</w:t>
      </w:r>
    </w:p>
    <w:tbl>
      <w:tblPr>
        <w:tblW w:w="5000" w:type="pct"/>
        <w:tblCellSpacing w:w="0" w:type="auto"/>
        <w:tblBorders>
          <w:top w:val="none"/>
          <w:left w:val="none"/>
          <w:bottom w:val="none"/>
          <w:right w:val="none"/>
          <w:insideH w:val="none"/>
          <w:insideV w:val="none"/>
        </w:tblBorders>
        <w:tblLayout w:type="fixed"/>
      </w:tblPr>
      <w:tblGrid>
        <w:gridCol w:w="6203"/>
        <w:gridCol w:w="4986"/>
      </w:tblGrid>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Contaminant</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Acceptance Limit, in percent</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Alachlor</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Aldicarb</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Aldicarb sulfoxide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Aldicarb sulfone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Atrazine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Benzo(a)pyrene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Carbofuran</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Chlordane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2,4-D</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50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Dalapon</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Dibromochloropropane (DBCP)</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Di(2-ethylhexyl)adipate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Di(2-ethylhexyl)phthalate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Dinoseb</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Diquat</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Endothall</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Endrin</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30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Ethylene dibromide (EDB)</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Glyphosate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Heptachlor</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Heptachlor epoxide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Hexachlorobenzene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Hexachlorocyclopentadiene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Lindane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Methoxychlor</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Oxamyl</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Pentachlorophenol</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50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Picloram</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39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Polychlorinated biphenyls</w:t>
            </w:r>
          </w:p>
          <w:p>
            <w:pPr>
              <w:spacing w:before="0" w:after="0"/>
              <w:ind w:left="160"/>
              <w:jc w:val="left"/>
            </w:pPr>
            <w:r>
              <w:rPr>
                <w:rFonts w:ascii="Times New Roman" w:hAnsi="Times New Roman"/>
                <w:b w:val="false"/>
                <w:i w:val="false"/>
                <w:color w:val="000000"/>
                <w:sz w:val="16"/>
              </w:rPr>
              <w:t>(PCBs as decachlorobiphenyl)</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0 - 200</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Simazine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2,3,7,8-TCDD (Dioxin)</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2,4,5-TP (Silvex)</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standard deviations</w:t>
            </w:r>
          </w:p>
        </w:tc>
      </w:tr>
      <w:tr>
        <w:trPr>
          <w:trHeight w:val="210" w:hRule="atLeast"/>
        </w:trPr>
        <w:tc>
          <w:tcPr>
            <w:tcW w:w="620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Toxaphene</w:t>
            </w:r>
          </w:p>
        </w:tc>
        <w:tc>
          <w:tcPr>
            <w:tcW w:w="4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or -) 45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Inorganic chemical (IOC). Analysis for IOCs shall be conducted only by laboratories certified by EPA or the department or its authorized designee. To receive approval to conduct analyses for ammonia, antimony, arsenic, asbestos, barium, beryllium, cadmium, chromium, cyanide, fluoride, mercury, nitrate, nitrite, selenium and thallium, the laboratory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provided by EPA, the department, or a third-party provider acceptable to the department, at least once a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each contaminant that has been included in the PE sample and for each method for which the laboratory desires certification, achieve quantitative results on the analyses that are within the following acceptance limits:</w:t>
      </w:r>
    </w:p>
    <w:p>
      <w:pPr>
        <w:spacing w:before="60" w:after="0"/>
        <w:ind w:left="120"/>
        <w:jc w:val="center"/>
      </w:pPr>
      <w:r>
        <w:rPr>
          <w:rFonts w:ascii="Times New Roman" w:hAnsi="Times New Roman"/>
          <w:b w:val="false"/>
          <w:i w:val="false"/>
          <w:color w:val="000000"/>
          <w:sz w:val="22"/>
        </w:rPr>
        <w:t>ACCEPTANCE LIMITS</w:t>
      </w:r>
    </w:p>
    <w:tbl>
      <w:tblPr>
        <w:tblW w:w="5000" w:type="pct"/>
        <w:tblCellSpacing w:w="0" w:type="auto"/>
        <w:tblBorders>
          <w:top w:val="none"/>
          <w:left w:val="none"/>
          <w:bottom w:val="none"/>
          <w:right w:val="none"/>
          <w:insideH w:val="none"/>
          <w:insideV w:val="none"/>
        </w:tblBorders>
        <w:tblLayout w:type="fixed"/>
      </w:tblPr>
      <w:tblGrid>
        <w:gridCol w:w="3427"/>
        <w:gridCol w:w="7763"/>
      </w:tblGrid>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Contaminant</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Acceptance Limit</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Ammonia</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20% at greater than or equal to 0.3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Antimony</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30% at greater than or equal to 0.006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Arsenic</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30% at greater than or equal to 0.003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Asbestos</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standard deviations based on study statistics</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Barium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15% at greater than or equal to 0.15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Beryllium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15% at greater than or equal to 0.001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Cadmium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20% at greater than or equal to 0.002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Chromium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15% at greater than or equal to 0.01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Cyanide</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25% at greater than or equal to 0.1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Fluoride</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10% at greater than or equal to 1 to 10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Mercury</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30% at greater than or equal to 0.0005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Nitrate</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10% at greater than or equal to 0.4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Nitrite</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15% at greater than or equal to 0.4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Selenium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20% at greater than or equal to 0.01 mg/L</w:t>
            </w:r>
          </w:p>
        </w:tc>
      </w:tr>
      <w:tr>
        <w:trPr>
          <w:trHeight w:val="210" w:hRule="atLeast"/>
        </w:trPr>
        <w:tc>
          <w:tcPr>
            <w:tcW w:w="342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Thallium</w:t>
            </w:r>
          </w:p>
        </w:tc>
        <w:tc>
          <w:tcPr>
            <w:tcW w:w="776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or -) 30% at greater than or equal to 0.002 mg/L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Lead and copper. To obtain certification to conduct analyses for lead and copper, laboratories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that include lead and copper provided by EPA, the department, or a third-party provider acceptable to the department, at least once a year by each method for which the laboratory desires certification;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Achieve quantitative results on the analyses that are within the following acceptance limits: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Lead: plus or minus 30 percent of the actual amount in the PE sample when the actual amount is greater than or equal to 0.005 mg/L. The practical quantitation level or PQL for lead is 0.005 mg/L;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Copper: plus or minus 10 percent of the actual amount in the PE sample when the actual amount is greater than or equal to 0.050 mg/L. The practical quantitation level or PQL for copper is 0.050 mg/L;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Be currently certified by EPA or the department to perform analyses to the specifications described in 567—paragraph </w:t>
      </w:r>
      <w:hyperlink r:id="rId41">
        <w:r>
          <w:rPr>
            <w:rStyle w:val="Hyperlink"/>
            <w:rFonts w:ascii="Times New Roman" w:hAnsi="Times New Roman"/>
            <w:b w:val="false"/>
            <w:i w:val="false"/>
            <w:color w:val="000000"/>
            <w:sz w:val="22"/>
          </w:rPr>
          <w:t>41.4(1)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Disinfection byproducts. To obtain certification to conduct analyses for disinfection byproducts listed in </w:t>
      </w:r>
      <w:hyperlink r:id="rId42">
        <w:r>
          <w:rPr>
            <w:rStyle w:val="Hyperlink"/>
            <w:rFonts w:ascii="Times New Roman" w:hAnsi="Times New Roman"/>
            <w:b w:val="false"/>
            <w:i w:val="false"/>
            <w:color w:val="000000"/>
            <w:sz w:val="22"/>
          </w:rPr>
          <w:t>567—paragraph 41.6(1)</w:t>
        </w:r>
        <w:r>
          <w:rPr>
            <w:rFonts w:ascii="Times New Roman" w:hAnsi="Times New Roman"/>
            <w:b w:val="false"/>
            <w:i/>
            <w:color w:val="000000"/>
            <w:sz w:val="22"/>
          </w:rPr>
          <w:t>“b,”</w:t>
        </w:r>
      </w:hyperlink>
      <w:r>
        <w:rPr>
          <w:rFonts w:ascii="Times New Roman" w:hAnsi="Times New Roman"/>
          <w:b w:val="false"/>
          <w:i w:val="false"/>
          <w:color w:val="000000"/>
          <w:sz w:val="22"/>
        </w:rPr>
        <w:t xml:space="preserve"> laboratories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Analyze PE samples approved by EPA, the department, or a third-party provider acceptable to the department at least once during each period of 12 consecutive months by each method for which the laboratory desires certification;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Achieve quantitative results on the PE sample analyses that are within the following acceptance limits: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5760"/>
      </w:tblGrid>
      <w:tr>
        <w:trPr>
          <w:trHeight w:val="600"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Disinfection Byproduct</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Acceptance limits (plus or minus this percent of true value) </w:t>
            </w:r>
          </w:p>
        </w:tc>
        <w:tc>
          <w:tcPr>
            <w:tcW w:w="576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Comments</w:t>
            </w:r>
          </w:p>
        </w:tc>
      </w:tr>
      <w:tr>
        <w:trPr>
          <w:trHeight w:val="42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Laboratory must meet all four individual THM acceptance limits in order to successfully pass a PE sample for TTHM.</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Bromoform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Bromodichloromethane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Chloroform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Dibromomethane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HAA5</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Laboratory must meet the acceptance limits for 4 of the 5 HAA5 compounds in order to successfully pass a PE sample for HAA5.</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Monobromoacetic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Dibromoacetic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Monochloroacetic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Trichloroacetic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Chlorite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w:t>
            </w:r>
          </w:p>
        </w:tc>
        <w:tc>
          <w:tcPr>
            <w:tcW w:w="288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Report quantitative data for concentrations at least as low as the levels listed in the following table for all disinfection byproduct samples analyzed for compliance with </w:t>
      </w:r>
      <w:hyperlink r:id="rId43">
        <w:r>
          <w:rPr>
            <w:rStyle w:val="Hyperlink"/>
            <w:rFonts w:ascii="Times New Roman" w:hAnsi="Times New Roman"/>
            <w:b w:val="false"/>
            <w:i w:val="false"/>
            <w:color w:val="000000"/>
            <w:sz w:val="22"/>
          </w:rPr>
          <w:t>567—41.6</w:t>
        </w:r>
      </w:hyperlink>
      <w:r>
        <w:rPr>
          <w:rFonts w:ascii="Times New Roman" w:hAnsi="Times New Roman"/>
          <w:b w:val="false"/>
          <w:i w:val="false"/>
          <w:color w:val="000000"/>
          <w:sz w:val="22"/>
        </w:rPr>
        <w:t>(455B).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880"/>
        <w:gridCol w:w="2880"/>
        <w:gridCol w:w="5760"/>
      </w:tblGrid>
      <w:tr>
        <w:trPr>
          <w:trHeight w:val="420" w:hRule="atLeast"/>
        </w:trPr>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Disinfection Byproduct</w:t>
            </w:r>
          </w:p>
        </w:tc>
        <w:tc>
          <w:tcPr>
            <w:tcW w:w="2880"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Minimum reporting level, mg/L</w:t>
            </w:r>
            <w:r>
              <w:rPr>
                <w:rFonts w:ascii="Times New Roman" w:hAnsi="Times New Roman"/>
                <w:b w:val="false"/>
                <w:i w:val="false"/>
                <w:color w:val="000000"/>
                <w:sz w:val="18"/>
                <w:vertAlign w:val="superscript"/>
              </w:rPr>
              <w:t>1</w:t>
            </w:r>
          </w:p>
        </w:tc>
        <w:tc>
          <w:tcPr>
            <w:tcW w:w="5760"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Comments</w:t>
            </w:r>
          </w:p>
        </w:tc>
      </w:tr>
      <w:tr>
        <w:trPr>
          <w:trHeight w:val="270"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TTHM</w:t>
            </w:r>
            <w:r>
              <w:rPr>
                <w:rFonts w:ascii="Times New Roman" w:hAnsi="Times New Roman"/>
                <w:b w:val="false"/>
                <w:i w:val="false"/>
                <w:color w:val="000000"/>
                <w:sz w:val="18"/>
                <w:vertAlign w:val="superscript"/>
              </w:rPr>
              <w:t>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Bromoform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Bromodichloromethane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Chloroform</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Dibromomethane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5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HAA5</w:t>
            </w:r>
            <w:r>
              <w:rPr>
                <w:rFonts w:ascii="Times New Roman" w:hAnsi="Times New Roman"/>
                <w:b w:val="false"/>
                <w:i w:val="false"/>
                <w:color w:val="000000"/>
                <w:sz w:val="18"/>
                <w:vertAlign w:val="superscript"/>
              </w:rPr>
              <w:t>2</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Monobromoacetic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Dibromoacetic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Monochloroacetic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Dichloroacetic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0"/>
              <w:jc w:val="left"/>
            </w:pPr>
            <w:r>
              <w:rPr>
                <w:rFonts w:ascii="Times New Roman" w:hAnsi="Times New Roman"/>
                <w:b w:val="false"/>
                <w:i w:val="false"/>
                <w:color w:val="000000"/>
                <w:sz w:val="16"/>
              </w:rPr>
              <w:t>Trichloroacetic Acid</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0.0010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8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Chlorite</w:t>
            </w:r>
          </w:p>
        </w:tc>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0.020</w:t>
            </w:r>
          </w:p>
        </w:tc>
        <w:tc>
          <w:tcPr>
            <w:tcW w:w="576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Applicable to chlorite monitoring conducted by a certified laboratory required under </w:t>
            </w:r>
            <w:hyperlink r:id="rId44">
              <w:r>
                <w:rPr>
                  <w:rStyle w:val="Hyperlink"/>
                  <w:rFonts w:ascii="Times New Roman" w:hAnsi="Times New Roman"/>
                  <w:b w:val="false"/>
                  <w:i w:val="false"/>
                  <w:color w:val="000000"/>
                  <w:sz w:val="16"/>
                </w:rPr>
                <w:t>567—paragraphs 41.6(1)</w:t>
              </w:r>
              <w:r>
                <w:rPr>
                  <w:rFonts w:ascii="Times New Roman" w:hAnsi="Times New Roman"/>
                  <w:b w:val="false"/>
                  <w:i/>
                  <w:color w:val="000000"/>
                  <w:sz w:val="16"/>
                </w:rPr>
                <w:t>“c”</w:t>
              </w:r>
              <w:r>
                <w:rPr>
                  <w:rFonts w:ascii="Times New Roman" w:hAnsi="Times New Roman"/>
                  <w:b w:val="false"/>
                  <w:i w:val="false"/>
                  <w:color w:val="000000"/>
                  <w:sz w:val="16"/>
                </w:rPr>
                <w:t>(3)</w:t>
              </w:r>
            </w:hyperlink>
            <w:r>
              <w:rPr>
                <w:rFonts w:ascii="Times New Roman" w:hAnsi="Times New Roman"/>
                <w:b w:val="false"/>
                <w:i w:val="false"/>
                <w:color w:val="000000"/>
                <w:sz w:val="16"/>
              </w:rPr>
              <w:t xml:space="preserve">“2” and </w:t>
            </w:r>
            <w:hyperlink r:id="rId45">
              <w:r>
                <w:rPr>
                  <w:rStyle w:val="Hyperlink"/>
                  <w:rFonts w:ascii="Times New Roman" w:hAnsi="Times New Roman"/>
                  <w:b w:val="false"/>
                  <w:i w:val="false"/>
                  <w:color w:val="000000"/>
                  <w:sz w:val="16"/>
                </w:rPr>
                <w:t>41.6(1)</w:t>
              </w:r>
              <w:r>
                <w:rPr>
                  <w:rFonts w:ascii="Times New Roman" w:hAnsi="Times New Roman"/>
                  <w:b w:val="false"/>
                  <w:i/>
                  <w:color w:val="000000"/>
                  <w:sz w:val="16"/>
                </w:rPr>
                <w:t>“c”</w:t>
              </w:r>
              <w:r>
                <w:rPr>
                  <w:rFonts w:ascii="Times New Roman" w:hAnsi="Times New Roman"/>
                  <w:b w:val="false"/>
                  <w:i w:val="false"/>
                  <w:color w:val="000000"/>
                  <w:sz w:val="16"/>
                </w:rPr>
                <w:t>(3)</w:t>
              </w:r>
            </w:hyperlink>
            <w:r>
              <w:rPr>
                <w:rFonts w:ascii="Times New Roman" w:hAnsi="Times New Roman"/>
                <w:b w:val="false"/>
                <w:i w:val="false"/>
                <w:color w:val="000000"/>
                <w:sz w:val="16"/>
              </w:rPr>
              <w:t>“3”</w:t>
            </w:r>
          </w:p>
        </w:tc>
      </w:tr>
      <w:tr>
        <w:trPr>
          <w:trHeight w:val="405" w:hRule="atLeast"/>
        </w:trPr>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Bromate</w:t>
            </w:r>
          </w:p>
        </w:tc>
        <w:tc>
          <w:tcPr>
            <w:tcW w:w="288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0.0050 or 0.0010</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Laboratories that use EPA Method 317.0 Revision 2, 321.8, or 326.0 must meet a 0.0010 mg/L MRL for bromate.</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16"/>
        </w:rPr>
        <w:t>The calibration curve must encompass the regulatory minimum reporting level (MRL) concentration. Data may be reported for concentrations lower than the regulatory MRL as long as the precision and accuracy criteria are met by analyzing an MRL check standard at the lowest reporting limit chosen by the laboratory. The laboratory must verify the accuracy of the calibration curve at the MRL concentration by analyzing an MRL check standard with a concentration less than or equal to 100 percent of the MRL with each batch of samples. The measured concentration for the MRL check standard must be plus or minus 50 percent of the expected value, if any field sample in the batch has a concentration less than five times the regulatory MRL. Method requirements to analyze higher concentration check standards and meet tighter acceptance criteria for them must be met in addition to the MRL check standard requirement.</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16"/>
        </w:rPr>
        <w:t>When adding the individual trihalomethanes or haloacetic acid concentrations to calculate the TTHM or HAA5 concentrations, respectively, a zero is used for any analytical result that is less than the MRL concentration for that disinfection byproduct,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Underground storage tank program. </w:t>
      </w:r>
      <w:r>
        <w:rPr>
          <w:rFonts w:ascii="Times New Roman" w:hAnsi="Times New Roman"/>
          <w:b w:val="false"/>
          <w:i w:val="false"/>
          <w:color w:val="000000"/>
          <w:sz w:val="22"/>
        </w:rPr>
        <w:t>A laboratory must achieve acceptable results on PE samples every 12 months within plus or minus 20 percent of the true value for individual compounds (i.e., benzene, ethylbenzene, toluene, xylene by OA-1) and plus or minus 40 percent of the true value for multicomponent materials (i.e., gasoline, diesel fuel, motor oil by either OA-1 or OA-2). The PE samples must be provided by EPA, the department, or a third-party provider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program. </w:t>
      </w:r>
      <w:r>
        <w:rPr>
          <w:rFonts w:ascii="Times New Roman" w:hAnsi="Times New Roman"/>
          <w:b w:val="false"/>
          <w:i w:val="false"/>
          <w:color w:val="000000"/>
          <w:sz w:val="22"/>
        </w:rPr>
        <w:t>Achieve acceptable quantitative results every 12 months on PE samples equivalent to those used in the Water Pollution (WP) proficiency program, or the Discharge Monitoring Report Quality Assurance (DMRQA) program, both of which are administered by EPA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Solid waste and contaminated site programs. </w:t>
      </w:r>
      <w:r>
        <w:rPr>
          <w:rFonts w:ascii="Times New Roman" w:hAnsi="Times New Roman"/>
          <w:b w:val="false"/>
          <w:i w:val="false"/>
          <w:color w:val="000000"/>
          <w:sz w:val="22"/>
        </w:rPr>
        <w:t>Achieve acceptable quantitative results every 12 months on PE samples provided by EPA, the department, or a third-party provider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83.6(8)</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r>
        <w:rPr>
          <w:rFonts w:ascii="Times New Roman" w:hAnsi="Times New Roman"/>
          <w:b w:val="false"/>
          <w:i w:val="false"/>
          <w:color w:val="000000"/>
          <w:sz w:val="22"/>
        </w:rPr>
        <w:t>The laboratory certification program appraisal authority must retain the records for on-site laboratory assessments and certification program reviews. The records must be maintained in an easily accessible manner for a period of at least six years to include the last two on-site audits. The records include correspondence used to determine compliance with the laboratory certification program requirements and may include checklists, corrective action reports, final reports, certificates, performance evaluation/proficiency testing study results, and any other related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9915B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567—83.7</w:t>
      </w:r>
      <w:r>
        <w:rPr>
          <w:rFonts w:ascii="Times New Roman" w:hAnsi="Times New Roman"/>
          <w:b/>
          <w:i w:val="false"/>
          <w:color w:val="000000"/>
          <w:sz w:val="22"/>
        </w:rPr>
        <w:t xml:space="preserve">(455B) </w:t>
      </w:r>
      <w:r>
        <w:rPr>
          <w:rFonts w:ascii="Times New Roman" w:hAnsi="Times New Roman"/>
          <w:b/>
          <w:i w:val="false"/>
          <w:color w:val="000000"/>
          <w:sz w:val="22"/>
        </w:rPr>
        <w:t xml:space="preserve">Criteria and procedure for provisional, suspended, and revoked laboratory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83.7(1)</w:t>
      </w: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downgrade certification to “provisional” status based on cause. The reasons for which a laboratory may be downgraded to “provisionally certified” status include, but are not limited to, the following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analyze a performance evaluation (PE) sample annually within Iowa acceptance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notify the department within 15 days of changes in essential personnel, equipment, laboratory facilities or other major change which might impair analytical 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maintaining the required standard of quality based on an on-site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report compliance data in a timely manner to the department or the client, thereby preventing timely compliance with environmental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assess an administrative penalty for a laboratory’s failure to comply with the laboratory certification or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laboratory will not be granted provisional certification by the department for water supply contaminants which pose an acute risk to human health, including nitrate, nitrite, and </w:t>
      </w:r>
      <w:r>
        <w:rPr>
          <w:rFonts w:ascii="Times New Roman" w:hAnsi="Times New Roman"/>
          <w:b w:val="false"/>
          <w:i/>
          <w:color w:val="000000"/>
          <w:sz w:val="22"/>
        </w:rPr>
        <w:t xml:space="preserve">Escherichia coli </w:t>
      </w:r>
      <w:r>
        <w:rPr>
          <w:rFonts w:ascii="Times New Roman" w:hAnsi="Times New Roman"/>
          <w:b w:val="false"/>
          <w:i w:val="false"/>
          <w:color w:val="000000"/>
          <w:sz w:val="22"/>
        </w:rPr>
        <w:t>bacteria.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83.7(2)</w:t>
      </w:r>
      <w:r>
        <w:rPr>
          <w:rFonts w:ascii="Times New Roman" w:hAnsi="Times New Roman"/>
          <w:b w:val="false"/>
          <w:i w:val="false"/>
          <w:color w:val="000000"/>
          <w:sz w:val="22"/>
        </w:rPr>
        <w:t> </w:t>
      </w:r>
      <w:r>
        <w:rPr>
          <w:rFonts w:ascii="Times New Roman" w:hAnsi="Times New Roman"/>
          <w:b w:val="false"/>
          <w:i/>
          <w:color w:val="000000"/>
          <w:sz w:val="22"/>
        </w:rPr>
        <w:t xml:space="preserve">Provisional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laboratory. </w:t>
      </w:r>
      <w:r>
        <w:rPr>
          <w:rFonts w:ascii="Times New Roman" w:hAnsi="Times New Roman"/>
          <w:b w:val="false"/>
          <w:i w:val="false"/>
          <w:color w:val="000000"/>
          <w:sz w:val="22"/>
        </w:rPr>
        <w:t xml:space="preserve">If a laboratory is subject to downgrading to “provisional” status on the basis of </w:t>
      </w:r>
      <w:hyperlink r:id="rId46">
        <w:r>
          <w:rPr>
            <w:rStyle w:val="Hyperlink"/>
            <w:rFonts w:ascii="Times New Roman" w:hAnsi="Times New Roman"/>
            <w:b w:val="false"/>
            <w:i w:val="false"/>
            <w:color w:val="000000"/>
            <w:sz w:val="22"/>
          </w:rPr>
          <w:t>83.7(1)</w:t>
        </w:r>
      </w:hyperlink>
      <w:r>
        <w:rPr>
          <w:rFonts w:ascii="Times New Roman" w:hAnsi="Times New Roman"/>
          <w:b w:val="false"/>
          <w:i w:val="false"/>
          <w:color w:val="000000"/>
          <w:sz w:val="22"/>
        </w:rPr>
        <w:t>, the department will notify the laboratory or owner in writing of the downgraded status. Certification may be downgraded to provisional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 xml:space="preserve">A provisionally certified laboratory may continue to analyze samples for compliance purposes, but must notify the laboratory’s IDNR-regulated clientele and other state certifying agencies of the change in laboratory certification status. If there is cause to question the quality of the data generated by the laboratory, the department may suspend the laboratory’s ability to submit data to the department for any or all analytes, pursuant to </w:t>
      </w:r>
      <w:hyperlink r:id="rId47">
        <w:r>
          <w:rPr>
            <w:rStyle w:val="Hyperlink"/>
            <w:rFonts w:ascii="Times New Roman" w:hAnsi="Times New Roman"/>
            <w:b w:val="false"/>
            <w:i w:val="false"/>
            <w:color w:val="000000"/>
            <w:sz w:val="22"/>
          </w:rPr>
          <w:t>83.7(3)</w:t>
        </w:r>
      </w:hyperlink>
      <w:r>
        <w:rPr>
          <w:rFonts w:ascii="Times New Roman" w:hAnsi="Times New Roman"/>
          <w:b w:val="false"/>
          <w:i w:val="false"/>
          <w:color w:val="000000"/>
          <w:sz w:val="22"/>
        </w:rPr>
        <w:t>, which includes suspension of the ability of the laboratory’s client to report the data of questionable quality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There is no appeal for this process, as it does not affect a laboratory’s ability to analyze and report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laboratory failed to analyze a PE sample within acceptance limits, the laboratory has 60 days from receipt of the notification of the failure to identify and correct the problem to the department’s satisfaction, and analyze a second PE sample. If the laboratory fails to analyze this second sample within acceptance limits and has had acceptable PE sample results within the last year, the department will downgrade the laboratory to “provisionally certified” status and notify the laboratory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department notifies a laboratory in writing that it has been downgraded to “provisionally certified” status, the laboratory must correct the problem within the following time frames, unless a written extension is obtained from the department. If the problem is not corrected, the laboratory is subject to suspension or revocation for that analyte, related analytical series, environmental program area, or the entire laboratory.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Unacceptable PE sample result within two months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Procedural deficiency within three months of notification.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Administrative deficiency within three months of notification.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Minor equipment deficiency within three months of notification. Examples of a minor equipment deficiency are inadequate analytical balances or incubators.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review the problems cited and, within the time period designated by the department, specify in writing to the department the corrective actions being taken, including an appropriate implementation schedule. The department shall consider the adequacy of the response and notify the laboratory of its certification status in a timely basis by mail, and may follow up to ensure corrective actions have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Certification will be reinstated when the laboratory can demonstrate that all conditions for laboratory certification have been met to the satisfaction of the department and that the deficiencies which resulted in provisional certification status have been corrected. This may include an on-site visit, successful analysis of PE samples, or any other measure that the department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83.7(3)</w:t>
      </w: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downgrade certification to “suspended” status based on cause. The reasons for which a laboratory may be downgraded to “suspended” status include, but are not limited to, the following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analyze a PE sample annually for water supply contaminants which pose an acute risk to human health, including nitrate, nitrite,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bacteria, or which pose an imminent risk to the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analyze a PE sample annually within Iowa acceptance limits for water supply contaminants which pose an acute risk to human health, including nitrate, nitrite, and </w:t>
      </w:r>
      <w:r>
        <w:rPr>
          <w:rFonts w:ascii="Times New Roman" w:hAnsi="Times New Roman"/>
          <w:b w:val="false"/>
          <w:i/>
          <w:color w:val="000000"/>
          <w:sz w:val="22"/>
        </w:rPr>
        <w:t>Escherichia coli</w:t>
      </w:r>
      <w:r>
        <w:rPr>
          <w:rFonts w:ascii="Times New Roman" w:hAnsi="Times New Roman"/>
          <w:b w:val="false"/>
          <w:i w:val="false"/>
          <w:color w:val="000000"/>
          <w:sz w:val="22"/>
        </w:rPr>
        <w:t xml:space="preserve"> bacteria, or which pose an imminent risk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correct previously identified deficiencies, which resulted in “provisional” certification status, within the prescribed time frames of </w:t>
      </w:r>
      <w:hyperlink r:id="rId48">
        <w:r>
          <w:rPr>
            <w:rStyle w:val="Hyperlink"/>
            <w:rFonts w:ascii="Times New Roman" w:hAnsi="Times New Roman"/>
            <w:b w:val="false"/>
            <w:i w:val="false"/>
            <w:color w:val="000000"/>
            <w:sz w:val="22"/>
          </w:rPr>
          <w:t>83.7(2)</w:t>
        </w:r>
      </w:hyperlink>
      <w:r>
        <w:rPr>
          <w:rFonts w:ascii="Times New Roman" w:hAnsi="Times New Roman"/>
          <w:b w:val="false"/>
          <w:i/>
          <w:color w:val="000000"/>
          <w:sz w:val="22"/>
        </w:rPr>
        <w:t>“d”</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Failure to analyze a PE sample within Iowa acceptance limits when there is not a reliable history of successful PE sample analysis within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producing accurate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penalty. The department may assess an administrative penalty for a laboratory’s failure to comply with the laboratory certification or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certification suspension. The department may suspend certification without providing notice and opportunity to the laboratory to be heard if the department finds that the public health, safety, or welfare imperatively requires emergency action, and incorporates a finding to that effect in its administrative order, pursuant to </w:t>
      </w:r>
      <w:hyperlink r:id="rId49">
        <w:r>
          <w:rPr>
            <w:rStyle w:val="Hyperlink"/>
            <w:rFonts w:ascii="Times New Roman" w:hAnsi="Times New Roman"/>
            <w:b w:val="false"/>
            <w:i w:val="false"/>
            <w:color w:val="000000"/>
            <w:sz w:val="22"/>
          </w:rPr>
          <w:t>561—subrule 7.16(6)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83.7(4)</w:t>
      </w:r>
      <w:r>
        <w:rPr>
          <w:rFonts w:ascii="Times New Roman" w:hAnsi="Times New Roman"/>
          <w:b w:val="false"/>
          <w:i w:val="false"/>
          <w:color w:val="000000"/>
          <w:sz w:val="22"/>
        </w:rPr>
        <w:t> </w:t>
      </w:r>
      <w:r>
        <w:rPr>
          <w:rFonts w:ascii="Times New Roman" w:hAnsi="Times New Roman"/>
          <w:b w:val="false"/>
          <w:i/>
          <w:color w:val="000000"/>
          <w:sz w:val="22"/>
        </w:rPr>
        <w:t xml:space="preserve">Suspended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laboratory. </w:t>
      </w:r>
      <w:r>
        <w:rPr>
          <w:rFonts w:ascii="Times New Roman" w:hAnsi="Times New Roman"/>
          <w:b w:val="false"/>
          <w:i w:val="false"/>
          <w:color w:val="000000"/>
          <w:sz w:val="22"/>
        </w:rPr>
        <w:t xml:space="preserve">If a laboratory is subject to downgrading to “suspended” status on the basis of </w:t>
      </w:r>
      <w:hyperlink r:id="rId50">
        <w:r>
          <w:rPr>
            <w:rStyle w:val="Hyperlink"/>
            <w:rFonts w:ascii="Times New Roman" w:hAnsi="Times New Roman"/>
            <w:b w:val="false"/>
            <w:i w:val="false"/>
            <w:color w:val="000000"/>
            <w:sz w:val="22"/>
          </w:rPr>
          <w:t>83.7(3)</w:t>
        </w:r>
      </w:hyperlink>
      <w:r>
        <w:rPr>
          <w:rFonts w:ascii="Times New Roman" w:hAnsi="Times New Roman"/>
          <w:b w:val="false"/>
          <w:i w:val="false"/>
          <w:color w:val="000000"/>
          <w:sz w:val="22"/>
        </w:rPr>
        <w:t xml:space="preserve">, the department will notify the laboratory or owner in writing of its intent to suspend certification in accordance with </w:t>
      </w:r>
      <w:hyperlink r:id="rId51">
        <w:r>
          <w:rPr>
            <w:rStyle w:val="Hyperlink"/>
            <w:rFonts w:ascii="Times New Roman" w:hAnsi="Times New Roman"/>
            <w:b w:val="false"/>
            <w:i w:val="false"/>
            <w:color w:val="000000"/>
            <w:sz w:val="22"/>
          </w:rPr>
          <w:t>561—7.16(17A,455A)</w:t>
        </w:r>
      </w:hyperlink>
      <w:r>
        <w:rPr>
          <w:rFonts w:ascii="Times New Roman" w:hAnsi="Times New Roman"/>
          <w:b w:val="false"/>
          <w:i w:val="false"/>
          <w:color w:val="000000"/>
          <w:sz w:val="22"/>
        </w:rPr>
        <w:t>. Certification may be suspended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Once the suspension is effective, a laboratory must immediately discontinue analysis and reporting of compliance samples, may not analyze or report samples for compliance with departmental standards, and must notify the laboratory’s Iowa regulated clientele and other state certifying agencies of the change of the laboratory certification status. Any results generated during the period of suspension may not be used for compliance purposes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may appeal this decision by filing a written notice of appeal and request an administrative hearing with the department director within 30 days of receipt of the notice of suspension of certification. Contested case procedures under </w:t>
      </w:r>
      <w:hyperlink r:id="rId52">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shall govern administration of the appeal.</w:t>
      </w:r>
    </w:p>
    <w:p>
      <w:pPr>
        <w:spacing w:before="0" w:after="0"/>
        <w:ind w:left="120"/>
        <w:jc w:val="both"/>
      </w:pPr>
      <w:r>
        <w:rPr>
          <w:rFonts w:ascii="Times New Roman" w:hAnsi="Times New Roman"/>
          <w:b w:val="false"/>
          <w:i w:val="false"/>
          <w:color w:val="000000"/>
          <w:sz w:val="22"/>
        </w:rPr>
        <w:t>The appeal must identify the specific portion(s) of the department action being appealed and be supported with a statement of the reason(s) for the challenge and must be signed by a responsible official from the laboratory such as the president or owner for a commercial laboratory, or the laboratory supervisor in the case of a municipal laboratory, or the laboratory director for a state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timely notice of appeal is filed, suspension is effective 30 days after receipt of the notice of suspension unless an emergency suspension order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laboratory failed to analyze a PE sample within acceptance limits, the laboratory has 30 days from receipt of the notification of the failure to identify and correct the problem to the department’s satisfaction. If the laboratory fails to analyze this second sample within acceptance limits, the department will downgrade the laboratory to “suspended” status and notify the laboratory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department notifies a laboratory in writing that it has been downgraded to suspended status, the laboratory must correct the problem within the following timetable, unless a written extension is obtained from the department. If the problem is not corrected, the laboratory is subject to revocation for that analyte, related analytical series, environmental program area, or the entire laboratory.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Unacceptable PE sample result within two months of notification.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Procedural deficiency within three months of notification.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Administrative deficiency within three months of notification.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Minor equipment deficiency within three months of notification. Examples of a minor equipment deficiency are inadequate analytical balances or incubators.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Major equipment deficiency within six months of notification. An example of a major equipment deficiency would be the inability of existing complex analytical equipment to produce acceptable results, such as a chromatograph or spectrophotometer.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laboratory shall review the problems cited and, within the time period designated by the department, specify in writing to the department the corrective actions being taken including an appropriate implementation schedule. The department shall consider the adequacy of the response and notify the laboratory of its certification status in a timely basis by mail, and may follow up to ensure that corrective actions have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laboratory will not be required to pay an additional fee if recertification affects an analyte or related analytical series, provided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laboratory is currently certified for other analytes,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fee was paid within the two-year certification period for that related analytical series and the laboratory is certified for other parameters within that related analytical series.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fee will be required if suspension affects a related analytical series effectively deleting that fee group from certification (such as all microbiological parameters in SDWA-MICRO), an environmental program area, or the entire laboratory. A fee will also be required if an additional on-site visit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will be reinstated when the laboratory can demonstrate that all conditions for laboratory certification have been met to the department’s satisfaction and, in particular, that the deficiencies which produced the suspension have been corrected. This may include an on-site visit, successful analysis of unknown samples, or any other measure that the department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83.7(5)</w:t>
      </w: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certification for cause. The reasons for which a laboratory’s certification may be revoked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laboratories of any status, failure to analyze a PE sample within Iowa acceptance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has corrected deficiencies identified during the on-site visit within three months for a procedural or administrative deficiency or within six months for an equipment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Submission of a PE sample to another laboratory for analysis and reporting the data as its 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Falsification of data or other deceptive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to use required analytical methodology for analyses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to satisfy the department that the laboratory is maintaining the required standard of quality based on the on-site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Persistent failure to report compliance data to the regulated client or the department in a timely manner, thereby preventing compliance with state regulations and endangering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Subverting compliance with state regulations by actions such as changing the sample type for a noncompliance sample to a compliance sample after its submission to the laboratory, allowing compliance samples to be changed to other noncompliance sample types, or selective reporting of split sample results;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laboratories certified through a reciprocal agreement with another state or third-party accreditation program, loss of certification in either the resident state or third-party accreditation program is cause for immediate revocation of certification in Iowa for the same parameters or program areas for which certification was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either downgrade or revoke certification based on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revocation. The department may revoke certification without providing notice and opportunity to the laboratory to be heard if the department finds that the public health, safety, or welfare imperatively requires emergency action, and incorporates a finding to that effect in its administrative order, pursuant to </w:t>
      </w:r>
      <w:hyperlink r:id="rId53">
        <w:r>
          <w:rPr>
            <w:rStyle w:val="Hyperlink"/>
            <w:rFonts w:ascii="Times New Roman" w:hAnsi="Times New Roman"/>
            <w:b w:val="false"/>
            <w:i w:val="false"/>
            <w:color w:val="000000"/>
            <w:sz w:val="22"/>
          </w:rPr>
          <w:t>561—subrule 7.16(6)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Laboratory-requested revocation. The department may revoke certification upon receipt of a written request by the certified laboratory for removal from the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83.7(6)</w:t>
      </w:r>
      <w:r>
        <w:rPr>
          <w:rFonts w:ascii="Times New Roman" w:hAnsi="Times New Roman"/>
          <w:b w:val="false"/>
          <w:i w:val="false"/>
          <w:color w:val="000000"/>
          <w:sz w:val="22"/>
        </w:rPr>
        <w:t> </w:t>
      </w:r>
      <w:r>
        <w:rPr>
          <w:rFonts w:ascii="Times New Roman" w:hAnsi="Times New Roman"/>
          <w:b w:val="false"/>
          <w:i/>
          <w:color w:val="000000"/>
          <w:sz w:val="22"/>
        </w:rPr>
        <w:t xml:space="preserve">Revoked certification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laboratory. </w:t>
      </w:r>
      <w:r>
        <w:rPr>
          <w:rFonts w:ascii="Times New Roman" w:hAnsi="Times New Roman"/>
          <w:b w:val="false"/>
          <w:i w:val="false"/>
          <w:color w:val="000000"/>
          <w:sz w:val="22"/>
        </w:rPr>
        <w:t xml:space="preserve">Except for the instance when the laboratory voluntarily requests revocation in </w:t>
      </w:r>
      <w:hyperlink r:id="rId54">
        <w:r>
          <w:rPr>
            <w:rStyle w:val="Hyperlink"/>
            <w:rFonts w:ascii="Times New Roman" w:hAnsi="Times New Roman"/>
            <w:b w:val="false"/>
            <w:i w:val="false"/>
            <w:color w:val="000000"/>
            <w:sz w:val="22"/>
          </w:rPr>
          <w:t>83.7(5)</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laboratory is subject to revocation on the basis of </w:t>
      </w:r>
      <w:hyperlink r:id="rId55">
        <w:r>
          <w:rPr>
            <w:rStyle w:val="Hyperlink"/>
            <w:rFonts w:ascii="Times New Roman" w:hAnsi="Times New Roman"/>
            <w:b w:val="false"/>
            <w:i w:val="false"/>
            <w:color w:val="000000"/>
            <w:sz w:val="22"/>
          </w:rPr>
          <w:t>83.7(5)</w:t>
        </w:r>
      </w:hyperlink>
      <w:r>
        <w:rPr>
          <w:rFonts w:ascii="Times New Roman" w:hAnsi="Times New Roman"/>
          <w:b w:val="false"/>
          <w:i w:val="false"/>
          <w:color w:val="000000"/>
          <w:sz w:val="22"/>
        </w:rPr>
        <w:t xml:space="preserve">, the department will notify the party in writing of its intent to revoke certification in accordance with </w:t>
      </w:r>
      <w:hyperlink r:id="rId56">
        <w:r>
          <w:rPr>
            <w:rStyle w:val="Hyperlink"/>
            <w:rFonts w:ascii="Times New Roman" w:hAnsi="Times New Roman"/>
            <w:b w:val="false"/>
            <w:i w:val="false"/>
            <w:color w:val="000000"/>
            <w:sz w:val="22"/>
          </w:rPr>
          <w:t>561—7.16</w:t>
        </w:r>
      </w:hyperlink>
      <w:r>
        <w:rPr>
          <w:rFonts w:ascii="Times New Roman" w:hAnsi="Times New Roman"/>
          <w:b w:val="false"/>
          <w:i w:val="false"/>
          <w:color w:val="000000"/>
          <w:sz w:val="22"/>
        </w:rPr>
        <w:t>(17A,455A). Certification may be revoked for an analyte, a related analytical series, an environmental program area, or the entire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Once revocation is effective, a laboratory must immediately discontinue analysis and reporting of compliance samples, shall not analyze or report samples for compliance with departmental standards, and must notify the laboratory’s Iowa-regulated clientele and other state certifying agencies of the change of the laboratory certification status within three business days of receipt of the final notice. Any results generated after revocation may not be used for compliance purposes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 xml:space="preserve">There is no appeal process for revocation of an analyte or a related analytical series unless the analyte(s) represents an entire environmental program area, such as underground storage tank parameters, or the entire laboratory. When the laboratory requests revocation pursuant to </w:t>
      </w:r>
      <w:hyperlink r:id="rId57">
        <w:r>
          <w:rPr>
            <w:rStyle w:val="Hyperlink"/>
            <w:rFonts w:ascii="Times New Roman" w:hAnsi="Times New Roman"/>
            <w:b w:val="false"/>
            <w:i w:val="false"/>
            <w:color w:val="000000"/>
            <w:sz w:val="22"/>
          </w:rPr>
          <w:t>83.7(5)</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revocation will be issued promptly and will be effective immediately with no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environmental program area or for the entire laboratory, the laboratory may appeal this decision by filing a written notice of appeal and request for an administrative hearing with the department director within 30 days of receipt of the notice of revocation of certification. Contested case procedures under </w:t>
      </w:r>
      <w:hyperlink r:id="rId58">
        <w:r>
          <w:rPr>
            <w:rStyle w:val="Hyperlink"/>
            <w:rFonts w:ascii="Times New Roman" w:hAnsi="Times New Roman"/>
            <w:b w:val="false"/>
            <w:i w:val="false"/>
            <w:color w:val="000000"/>
            <w:sz w:val="22"/>
          </w:rPr>
          <w:t>561—Chapter 7</w:t>
        </w:r>
      </w:hyperlink>
      <w:r>
        <w:rPr>
          <w:rFonts w:ascii="Times New Roman" w:hAnsi="Times New Roman"/>
          <w:b w:val="false"/>
          <w:i w:val="false"/>
          <w:color w:val="000000"/>
          <w:sz w:val="22"/>
        </w:rPr>
        <w:t xml:space="preserve"> shall govern further administration of the appeal.</w:t>
      </w:r>
    </w:p>
    <w:p>
      <w:pPr>
        <w:spacing w:before="0" w:after="0"/>
        <w:ind w:left="120"/>
        <w:jc w:val="both"/>
      </w:pPr>
      <w:r>
        <w:rPr>
          <w:rFonts w:ascii="Times New Roman" w:hAnsi="Times New Roman"/>
          <w:b w:val="false"/>
          <w:i w:val="false"/>
          <w:color w:val="000000"/>
          <w:sz w:val="22"/>
        </w:rPr>
        <w:t>The appeal must identify the specific portion(s) of the department action being appealed and be supported with a statement of the reason(s) for the challenge and must be signed by a responsible official from the laboratory such as the president or owner for a commercial laboratory, or the laboratory supervisor in the case of a municipal laboratory, or the laboratory director for a state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timely notice of appeal is filed within the 30-day time period, revocation is effective 30 days after receipt of the notice of intent.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A laboratory which has had its certification revoked may apply for certification in accordance with </w:t>
      </w:r>
      <w:hyperlink r:id="rId59">
        <w:r>
          <w:rPr>
            <w:rStyle w:val="Hyperlink"/>
            <w:rFonts w:ascii="Times New Roman" w:hAnsi="Times New Roman"/>
            <w:b w:val="false"/>
            <w:i w:val="false"/>
            <w:color w:val="000000"/>
            <w:sz w:val="22"/>
          </w:rPr>
          <w:t>567—83.3</w:t>
        </w:r>
      </w:hyperlink>
      <w:r>
        <w:rPr>
          <w:rFonts w:ascii="Times New Roman" w:hAnsi="Times New Roman"/>
          <w:b w:val="false"/>
          <w:i w:val="false"/>
          <w:color w:val="000000"/>
          <w:sz w:val="22"/>
        </w:rPr>
        <w:t>(455B) once the deficiencies have been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3735C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0">
        <w:r>
          <w:rPr>
            <w:rStyle w:val="Hyperlink"/>
            <w:rFonts w:ascii="Times New Roman" w:hAnsi="Times New Roman"/>
            <w:b w:val="false"/>
            <w:i w:val="false"/>
            <w:color w:val="000000"/>
            <w:sz w:val="22"/>
          </w:rPr>
          <w:t>455B.113 through 455B.115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8/22/86—published 9/10/86, effective 8/22/86]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emergency 9/30/88—published 10/19/88, effective 9/30/88]</w:t>
      </w:r>
    </w:p>
    <w:p>
      <w:pPr>
        <w:spacing w:before="0" w:after="0"/>
        <w:ind w:left="120"/>
        <w:jc w:val="center"/>
      </w:pPr>
      <w:r>
        <w:rPr>
          <w:rFonts w:ascii="Times New Roman" w:hAnsi="Times New Roman"/>
          <w:b w:val="false"/>
          <w:i w:val="false"/>
          <w:color w:val="000000"/>
          <w:sz w:val="21"/>
        </w:rPr>
        <w:t>[Filed 9/25/92, Notice 6/10/92—published 10/14/92, effective 11/18/92]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3/26/93, Notice 1/20/93—published 4/14/93, effective 5/19/93]</w:t>
      </w:r>
    </w:p>
    <w:p>
      <w:pPr>
        <w:spacing w:before="0" w:after="0"/>
        <w:ind w:left="120"/>
        <w:jc w:val="center"/>
      </w:pPr>
      <w:r>
        <w:rPr>
          <w:rFonts w:ascii="Times New Roman" w:hAnsi="Times New Roman"/>
          <w:b w:val="false"/>
          <w:i w:val="false"/>
          <w:color w:val="000000"/>
          <w:sz w:val="21"/>
        </w:rPr>
        <w:t>[Filed 7/30/93, Notice 5/12/93—published 8/18/93, effective 9/22/93]</w:t>
      </w:r>
    </w:p>
    <w:p>
      <w:pPr>
        <w:spacing w:before="0" w:after="0"/>
        <w:ind w:left="120"/>
        <w:jc w:val="center"/>
      </w:pPr>
      <w:r>
        <w:rPr>
          <w:rFonts w:ascii="Times New Roman" w:hAnsi="Times New Roman"/>
          <w:b w:val="false"/>
          <w:i w:val="false"/>
          <w:color w:val="000000"/>
          <w:sz w:val="21"/>
        </w:rPr>
        <w:t>[Filed 1/27/95, Notice 11/9/94—published 2/15/95, effective 3/22/95]</w:t>
      </w:r>
    </w:p>
    <w:p>
      <w:pPr>
        <w:spacing w:before="0" w:after="0"/>
        <w:ind w:left="120"/>
        <w:jc w:val="center"/>
      </w:pPr>
      <w:r>
        <w:rPr>
          <w:rFonts w:ascii="Times New Roman" w:hAnsi="Times New Roman"/>
          <w:b w:val="false"/>
          <w:i w:val="false"/>
          <w:color w:val="000000"/>
          <w:sz w:val="21"/>
        </w:rPr>
        <w:t>[Filed 3/22/96, Notice 11/8/95—published 4/10/96, effective 5/15/96]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7/23/99, Notice 4/7/99—published 8/11/99, effective 9/15/99]</w:t>
      </w:r>
    </w:p>
    <w:p>
      <w:pPr>
        <w:spacing w:before="0" w:after="0"/>
        <w:ind w:left="120"/>
        <w:jc w:val="center"/>
      </w:pPr>
      <w:r>
        <w:rPr>
          <w:rFonts w:ascii="Times New Roman" w:hAnsi="Times New Roman"/>
          <w:b w:val="false"/>
          <w:i w:val="false"/>
          <w:color w:val="000000"/>
          <w:sz w:val="21"/>
        </w:rPr>
        <w:t>[Filed 9/29/00, Notice 6/14/00—published 10/18/00, effective 11/22/00]</w:t>
      </w:r>
    </w:p>
    <w:p>
      <w:pPr>
        <w:spacing w:before="0" w:after="0"/>
        <w:ind w:left="120"/>
        <w:jc w:val="center"/>
      </w:pPr>
      <w:r>
        <w:rPr>
          <w:rFonts w:ascii="Times New Roman" w:hAnsi="Times New Roman"/>
          <w:b w:val="false"/>
          <w:i w:val="false"/>
          <w:color w:val="000000"/>
          <w:sz w:val="21"/>
        </w:rPr>
        <w:t>[Filed 12/17/03, Notice 9/17/03—published 1/7/04, effective 2/11/04]</w:t>
      </w:r>
    </w:p>
    <w:p>
      <w:pPr>
        <w:spacing w:before="0" w:after="0"/>
        <w:ind w:left="120"/>
        <w:jc w:val="center"/>
      </w:pPr>
      <w:r>
        <w:rPr>
          <w:rFonts w:ascii="Times New Roman" w:hAnsi="Times New Roman"/>
          <w:b w:val="false"/>
          <w:i w:val="false"/>
          <w:color w:val="000000"/>
          <w:sz w:val="21"/>
        </w:rPr>
        <w:t>[Filed ARC 9915B</w:t>
      </w:r>
      <w:r>
        <w:rPr>
          <w:rFonts w:ascii="Times New Roman" w:hAnsi="Times New Roman"/>
          <w:b w:val="false"/>
          <w:i w:val="false"/>
          <w:color w:val="000000"/>
          <w:sz w:val="21"/>
        </w:rPr>
        <w:t xml:space="preserve"> (Notice ARC 9737B, IAB 9/7/11)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3735C</w:t>
      </w:r>
      <w:r>
        <w:rPr>
          <w:rFonts w:ascii="Times New Roman" w:hAnsi="Times New Roman"/>
          <w:b w:val="false"/>
          <w:i w:val="false"/>
          <w:color w:val="000000"/>
          <w:sz w:val="21"/>
        </w:rPr>
        <w:t xml:space="preserve"> (Notice ARC 3568C, IAB 1/17/18)</w:t>
      </w:r>
      <w:r>
        <w:rPr>
          <w:rFonts w:ascii="Times New Roman" w:hAnsi="Times New Roman"/>
          <w:b w:val="false"/>
          <w:i w:val="false"/>
          <w:color w:val="000000"/>
          <w:sz w:val="21"/>
        </w:rPr>
        <w:t>, IAB 4/11/18, effective 5/16/18]</w:t>
      </w:r>
    </w:p>
    <w:p>
      <w:pPr>
        <w:pBdr>
          <w:bottom w:space="2"/>
        </w:pBdr>
        <w:spacing w:before="0" w:after="0"/>
        <w:ind w:left="120"/>
        <w:jc w:val="both"/>
      </w:pPr>
      <w:r>
        <w:rPr>
          <w:rFonts w:ascii="Times New Roman" w:hAnsi="Times New Roman"/>
          <w:b w:val="false"/>
          <w:i w:val="false"/>
          <w:color w:val="000000"/>
          <w:sz w:val="22"/>
        </w:rPr>
        <w:t>Effective date of 42.2(1)</w:t>
      </w:r>
      <w:r>
        <w:rPr>
          <w:rFonts w:ascii="Times New Roman" w:hAnsi="Times New Roman"/>
          <w:b w:val="false"/>
          <w:i/>
          <w:color w:val="000000"/>
          <w:sz w:val="22"/>
        </w:rPr>
        <w:t>“b”</w:t>
      </w:r>
      <w:r>
        <w:rPr>
          <w:rFonts w:ascii="Times New Roman" w:hAnsi="Times New Roman"/>
          <w:b w:val="false"/>
          <w:i w:val="false"/>
          <w:color w:val="000000"/>
          <w:sz w:val="22"/>
        </w:rPr>
        <w:t>(9) and (10) delayed 70 days by the Administrative Rules Review Committee at its meeting held November 10, 1992.</w:t>
      </w:r>
    </w:p>
    <w:p>
      <w:pPr>
        <w:pBdr>
          <w:bottom w:space="2"/>
        </w:pBdr>
        <w:spacing w:before="0" w:after="0"/>
        <w:ind w:left="120"/>
        <w:jc w:val="both"/>
      </w:pPr>
      <w:r>
        <w:rPr>
          <w:rFonts w:ascii="Times New Roman" w:hAnsi="Times New Roman"/>
          <w:b w:val="false"/>
          <w:i w:val="false"/>
          <w:color w:val="000000"/>
          <w:sz w:val="22"/>
        </w:rPr>
        <w:t>Effective date of Ch 83 delayed 70 days by the Administrative Rules Review Committee at its meeting held May 14, 1996.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13.pdf" Type="http://schemas.openxmlformats.org/officeDocument/2006/relationships/hyperlink" Id="rId5"/>
    <Relationship TargetMode="External" Target="https://www.legis.iowa.gov/docs/ico/chapter/455B.114.pdf" Type="http://schemas.openxmlformats.org/officeDocument/2006/relationships/hyperlink" Id="rId6"/>
    <Relationship TargetMode="External" Target="https://www.legis.iowa.gov/docs/iac/chapter/567.40.pdf" Type="http://schemas.openxmlformats.org/officeDocument/2006/relationships/hyperlink" Id="rId7"/>
    <Relationship TargetMode="External" Target="https://www.legis.iowa.gov/docs/iac/chapter/567.41.pdf" Type="http://schemas.openxmlformats.org/officeDocument/2006/relationships/hyperlink" Id="rId8"/>
    <Relationship TargetMode="External" Target="https://www.legis.iowa.gov/docs/iac/chapter/567.42.pdf" Type="http://schemas.openxmlformats.org/officeDocument/2006/relationships/hyperlink" Id="rId9"/>
    <Relationship TargetMode="External" Target="https://www.legis.iowa.gov/docs/iac/chapter/567.43.pdf" Type="http://schemas.openxmlformats.org/officeDocument/2006/relationships/hyperlink" Id="rId10"/>
    <Relationship TargetMode="External" Target="https://www.legis.iowa.gov/docs/iac/chapter/567.81.pdf" Type="http://schemas.openxmlformats.org/officeDocument/2006/relationships/hyperlink" Id="rId11"/>
    <Relationship TargetMode="External" Target="https://www.legis.iowa.gov/docs/iac/chapter/567.81.pdf" Type="http://schemas.openxmlformats.org/officeDocument/2006/relationships/hyperlink" Id="rId12"/>
    <Relationship TargetMode="External" Target="https://www.legis.iowa.gov/docs/iac/chapter/567.135.pdf" Type="http://schemas.openxmlformats.org/officeDocument/2006/relationships/hyperlink" Id="rId13"/>
    <Relationship TargetMode="External" Target="https://www.legis.iowa.gov/docs/iac/chapter/567.63.pdf" Type="http://schemas.openxmlformats.org/officeDocument/2006/relationships/hyperlink" Id="rId14"/>
    <Relationship TargetMode="External" Target="https://www.legis.iowa.gov/docs/iac/chapter/567.67.pdf" Type="http://schemas.openxmlformats.org/officeDocument/2006/relationships/hyperlink" Id="rId15"/>
    <Relationship TargetMode="External" Target="https://www.legis.iowa.gov/docs/iac/chapter/567.69.pdf" Type="http://schemas.openxmlformats.org/officeDocument/2006/relationships/hyperlink" Id="rId16"/>
    <Relationship TargetMode="External" Target="https://www.legis.iowa.gov/docs/iac/rule/567.63.3.pdf" Type="http://schemas.openxmlformats.org/officeDocument/2006/relationships/hyperlink" Id="rId17"/>
    <Relationship TargetMode="External" Target="https://www.legis.iowa.gov/docs/iac/chapter/567.100.pdf" Type="http://schemas.openxmlformats.org/officeDocument/2006/relationships/hyperlink" Id="rId18"/>
    <Relationship TargetMode="External" Target="https://www.legis.iowa.gov/docs/iac/chapter/567.130.pdf" Type="http://schemas.openxmlformats.org/officeDocument/2006/relationships/hyperlink" Id="rId19"/>
    <Relationship TargetMode="External" Target="https://www.legis.iowa.gov/docs/iac/chapter/567.133.pdf" Type="http://schemas.openxmlformats.org/officeDocument/2006/relationships/hyperlink" Id="rId20"/>
    <Relationship TargetMode="External" Target="https://www.legis.iowa.gov/docs/iac/chapter/567.137.pdf" Type="http://schemas.openxmlformats.org/officeDocument/2006/relationships/hyperlink" Id="rId21"/>
    <Relationship TargetMode="External" Target="https://www.legis.iowa.gov/docs/iac/chapter/567.135.pdf" Type="http://schemas.openxmlformats.org/officeDocument/2006/relationships/hyperlink" Id="rId22"/>
    <Relationship TargetMode="External" Target="https://www.legis.iowa.gov/docs/iac/rule/567.83.1.pdf" Type="http://schemas.openxmlformats.org/officeDocument/2006/relationships/hyperlink" Id="rId23"/>
    <Relationship TargetMode="External" Target="https://www.legis.iowa.gov/docs/iac/rule/567.83.7.pdf" Type="http://schemas.openxmlformats.org/officeDocument/2006/relationships/hyperlink" Id="rId24"/>
    <Relationship TargetMode="External" Target="https://www.legis.iowa.gov/docs/iac/rule/567.83.7.pdf" Type="http://schemas.openxmlformats.org/officeDocument/2006/relationships/hyperlink" Id="rId25"/>
    <Relationship TargetMode="External" Target="https://www.legis.iowa.gov/docs/iac/rule/567.83.3.pdf" Type="http://schemas.openxmlformats.org/officeDocument/2006/relationships/hyperlink" Id="rId26"/>
    <Relationship TargetMode="External" Target="https://www.legis.iowa.gov/docs/iac/rule/567.83.7.pdf" Type="http://schemas.openxmlformats.org/officeDocument/2006/relationships/hyperlink" Id="rId27"/>
    <Relationship TargetMode="External" Target="https://www.legis.iowa.gov/docs/iac/rule/567.83.6.pdf" Type="http://schemas.openxmlformats.org/officeDocument/2006/relationships/hyperlink" Id="rId28"/>
    <Relationship TargetMode="External" Target="https://www.legis.iowa.gov/docs/iac/rule/567.83.3.pdf" Type="http://schemas.openxmlformats.org/officeDocument/2006/relationships/hyperlink" Id="rId29"/>
    <Relationship TargetMode="External" Target="https://www.legis.iowa.gov/docs/iac/chapter/567.41.pdf" Type="http://schemas.openxmlformats.org/officeDocument/2006/relationships/hyperlink" Id="rId30"/>
    <Relationship TargetMode="External" Target="https://www.legis.iowa.gov/docs/iac/chapter/567.43.pdf" Type="http://schemas.openxmlformats.org/officeDocument/2006/relationships/hyperlink" Id="rId31"/>
    <Relationship TargetMode="External" Target="https://www.legis.iowa.gov/docs/iac/chapter/567.40.pdf" Type="http://schemas.openxmlformats.org/officeDocument/2006/relationships/hyperlink" Id="rId32"/>
    <Relationship TargetMode="External" Target="https://www.legis.iowa.gov/docs/iac/chapter/567.43.pdf" Type="http://schemas.openxmlformats.org/officeDocument/2006/relationships/hyperlink" Id="rId33"/>
    <Relationship TargetMode="External" Target="https://www.legis.iowa.gov/docs/iac/rule/567.135.10.pdf" Type="http://schemas.openxmlformats.org/officeDocument/2006/relationships/hyperlink" Id="rId34"/>
    <Relationship TargetMode="External" Target="https://www.legis.iowa.gov/docs/iac/rule/567.63.2.pdf" Type="http://schemas.openxmlformats.org/officeDocument/2006/relationships/hyperlink" Id="rId35"/>
    <Relationship TargetMode="External" Target="https://www.legis.iowa.gov/docs/iac/rule/567.83.6.pdf" Type="http://schemas.openxmlformats.org/officeDocument/2006/relationships/hyperlink" Id="rId36"/>
    <Relationship TargetMode="External" Target="https://www.legis.iowa.gov/docs/iac/rule/567.103.2.pdf" Type="http://schemas.openxmlformats.org/officeDocument/2006/relationships/hyperlink" Id="rId37"/>
    <Relationship TargetMode="External" Target="https://www.legis.iowa.gov/docs/iac/chapter/567.41.pdf" Type="http://schemas.openxmlformats.org/officeDocument/2006/relationships/hyperlink" Id="rId38"/>
    <Relationship TargetMode="External" Target="https://www.legis.iowa.gov/docs/iac/rule/567.41.5.pdf" Type="http://schemas.openxmlformats.org/officeDocument/2006/relationships/hyperlink" Id="rId39"/>
    <Relationship TargetMode="External" Target="https://www.legis.iowa.gov/docs/iac/rule/567.41.5.pdf" Type="http://schemas.openxmlformats.org/officeDocument/2006/relationships/hyperlink" Id="rId40"/>
    <Relationship TargetMode="External" Target="https://www.legis.iowa.gov/docs/iac/rule/567.41.4.pdf" Type="http://schemas.openxmlformats.org/officeDocument/2006/relationships/hyperlink" Id="rId41"/>
    <Relationship TargetMode="External" Target="https://www.legis.iowa.gov/docs/iac/rule/567.41.6.pdf" Type="http://schemas.openxmlformats.org/officeDocument/2006/relationships/hyperlink" Id="rId42"/>
    <Relationship TargetMode="External" Target="https://www.legis.iowa.gov/docs/iac/rule/567.41.6.pdf" Type="http://schemas.openxmlformats.org/officeDocument/2006/relationships/hyperlink" Id="rId43"/>
    <Relationship TargetMode="External" Target="https://www.legis.iowa.gov/docs/iac/rule/567.41.6.pdf" Type="http://schemas.openxmlformats.org/officeDocument/2006/relationships/hyperlink" Id="rId44"/>
    <Relationship TargetMode="External" Target="https://www.legis.iowa.gov/docs/iac/rule/567.41.6.pdf" Type="http://schemas.openxmlformats.org/officeDocument/2006/relationships/hyperlink" Id="rId45"/>
    <Relationship TargetMode="External" Target="https://www.legis.iowa.gov/docs/iac/rule/567.83.7.pdf" Type="http://schemas.openxmlformats.org/officeDocument/2006/relationships/hyperlink" Id="rId46"/>
    <Relationship TargetMode="External" Target="https://www.legis.iowa.gov/docs/iac/rule/567.83.7.pdf" Type="http://schemas.openxmlformats.org/officeDocument/2006/relationships/hyperlink" Id="rId47"/>
    <Relationship TargetMode="External" Target="https://www.legis.iowa.gov/docs/iac/rule/567.83.7.pdf" Type="http://schemas.openxmlformats.org/officeDocument/2006/relationships/hyperlink" Id="rId48"/>
    <Relationship TargetMode="External" Target="https://www.legis.iowa.gov/docs/iac/rule/561.7.16.pdf" Type="http://schemas.openxmlformats.org/officeDocument/2006/relationships/hyperlink" Id="rId49"/>
    <Relationship TargetMode="External" Target="https://www.legis.iowa.gov/docs/iac/rule/567.83.7.pdf" Type="http://schemas.openxmlformats.org/officeDocument/2006/relationships/hyperlink" Id="rId50"/>
    <Relationship TargetMode="External" Target="https://www.legis.iowa.gov/docs/iac/rule/561.7.16.pdf" Type="http://schemas.openxmlformats.org/officeDocument/2006/relationships/hyperlink" Id="rId51"/>
    <Relationship TargetMode="External" Target="https://www.legis.iowa.gov/docs/iac/chapter/561.7.pdf" Type="http://schemas.openxmlformats.org/officeDocument/2006/relationships/hyperlink" Id="rId52"/>
    <Relationship TargetMode="External" Target="https://www.legis.iowa.gov/docs/iac/rule/561.7.16.pdf" Type="http://schemas.openxmlformats.org/officeDocument/2006/relationships/hyperlink" Id="rId53"/>
    <Relationship TargetMode="External" Target="https://www.legis.iowa.gov/docs/iac/rule/567.83.7.pdf" Type="http://schemas.openxmlformats.org/officeDocument/2006/relationships/hyperlink" Id="rId54"/>
    <Relationship TargetMode="External" Target="https://www.legis.iowa.gov/docs/iac/rule/567.83.7.pdf" Type="http://schemas.openxmlformats.org/officeDocument/2006/relationships/hyperlink" Id="rId55"/>
    <Relationship TargetMode="External" Target="https://www.legis.iowa.gov/docs/iac/rule/561.7.16.pdf" Type="http://schemas.openxmlformats.org/officeDocument/2006/relationships/hyperlink" Id="rId56"/>
    <Relationship TargetMode="External" Target="https://www.legis.iowa.gov/docs/iac/rule/567.83.7.pdf" Type="http://schemas.openxmlformats.org/officeDocument/2006/relationships/hyperlink" Id="rId57"/>
    <Relationship TargetMode="External" Target="https://www.legis.iowa.gov/docs/iac/chapter/561.7.pdf" Type="http://schemas.openxmlformats.org/officeDocument/2006/relationships/hyperlink" Id="rId58"/>
    <Relationship TargetMode="External" Target="https://www.legis.iowa.gov/docs/iac/rule/567.83.3.pdf" Type="http://schemas.openxmlformats.org/officeDocument/2006/relationships/hyperlink" Id="rId59"/>
    <Relationship TargetMode="External" Target="https://www.legis.iowa.gov/docs/ico/chapter/455B.113-115.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