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OPERATOR CERTIFICATION: PUBLIC WATER SUPPLY SYSTEMS</w:t>
      </w:r>
      <w:r>
        <w:br/>
      </w:r>
      <w:r>
        <w:rPr>
          <w:rFonts w:ascii="Times New Roman" w:hAnsi="Times New Roman"/>
          <w:b w:val="false"/>
          <w:i w:val="false"/>
          <w:color w:val="000000"/>
          <w:sz w:val="21"/>
        </w:rPr>
        <w:t>AND WASTEWATER TREATMENT SYSTEMS</w:t>
      </w:r>
    </w:p>
    <w:p>
      <w:pPr>
        <w:spacing w:before="0" w:after="0"/>
        <w:ind w:left="120"/>
        <w:jc w:val="center"/>
      </w:pPr>
      <w:r>
        <w:rPr>
          <w:rFonts w:ascii="Times New Roman" w:hAnsi="Times New Roman"/>
          <w:b w:val="false"/>
          <w:i w:val="false"/>
          <w:color w:val="000000"/>
          <w:sz w:val="14"/>
        </w:rPr>
        <w:t>[Prior to 7/1/83, DEQ Ch 21]</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567—81.1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 </w:t>
      </w:r>
      <w:hyperlink r:id="rId5">
        <w:r>
          <w:rPr>
            <w:rStyle w:val="Hyperlink"/>
            <w:rFonts w:ascii="Times New Roman" w:hAnsi="Times New Roman"/>
            <w:b w:val="false"/>
            <w:i w:val="false"/>
            <w:color w:val="000000"/>
            <w:sz w:val="22"/>
          </w:rPr>
          <w:t>455B.211</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“Activated sludge system” </w:t>
      </w:r>
      <w:r>
        <w:rPr>
          <w:rFonts w:ascii="Times New Roman" w:hAnsi="Times New Roman"/>
          <w:b w:val="false"/>
          <w:i w:val="false"/>
          <w:color w:val="000000"/>
          <w:sz w:val="22"/>
        </w:rPr>
        <w:t>means a biological wastewater treatment process in which a mixture of wastewater and sludge floc, produced in a raw or settled wastewater by the growth of microorganisms, is agitated and aerated in the presence of a sufficient concentration of dissolved oxygen, followed by sedimentation. Examples include, but are not limited to, conventional activated sludge systems, extended aeration activated sludge systems, oxidation ditches, and sequencing batch reactors.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aerated lagoon system” </w:t>
      </w:r>
      <w:r>
        <w:rPr>
          <w:rFonts w:ascii="Times New Roman" w:hAnsi="Times New Roman"/>
          <w:b w:val="false"/>
          <w:i w:val="false"/>
          <w:color w:val="000000"/>
          <w:sz w:val="22"/>
        </w:rPr>
        <w:t>means an aerated lagoon system that has been augmented by adding other treatment processes. Examples include, but are not limited to, covered lagoon systems with enhanced aeration and mixing, the addition of fixed film processes to the lagoon process, or the utilization of algal-based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“Aerated lagoon system” </w:t>
      </w:r>
      <w:r>
        <w:rPr>
          <w:rFonts w:ascii="Times New Roman" w:hAnsi="Times New Roman"/>
          <w:b w:val="false"/>
          <w:i w:val="false"/>
          <w:color w:val="000000"/>
          <w:sz w:val="22"/>
        </w:rPr>
        <w:t>means a lagoon system which utilizes aeration to enhance oxygen transfer and mixing in the cell.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“Aeration” </w:t>
      </w:r>
      <w:r>
        <w:rPr>
          <w:rFonts w:ascii="Times New Roman" w:hAnsi="Times New Roman"/>
          <w:b w:val="false"/>
          <w:i w:val="false"/>
          <w:color w:val="000000"/>
          <w:sz w:val="22"/>
        </w:rPr>
        <w:t>means the process of initiating contact between air and water. Examples include, but are not limited to, spraying the water in the air, bubbling air through the water, or forcing the air into the water by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daily pumpage” </w:t>
      </w:r>
      <w:r>
        <w:rPr>
          <w:rFonts w:ascii="Times New Roman" w:hAnsi="Times New Roman"/>
          <w:b w:val="false"/>
          <w:i w:val="false"/>
          <w:color w:val="000000"/>
          <w:sz w:val="22"/>
        </w:rPr>
        <w:t>means the total quantity of water pumped during the most recent one-year period of record divided by 365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“Chlorination” </w:t>
      </w:r>
      <w:r>
        <w:rPr>
          <w:rFonts w:ascii="Times New Roman" w:hAnsi="Times New Roman"/>
          <w:b w:val="false"/>
          <w:i w:val="false"/>
          <w:color w:val="000000"/>
          <w:sz w:val="22"/>
        </w:rPr>
        <w:t>means the addition of a chlorine compound or chlorine gas to water to inactivate pathogenic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means the type of plant or distribution system: wastewater treatment plants, water treatment plants, or water distribution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“Coagulation” </w:t>
      </w:r>
      <w:r>
        <w:rPr>
          <w:rFonts w:ascii="Times New Roman" w:hAnsi="Times New Roman"/>
          <w:b w:val="false"/>
          <w:i w:val="false"/>
          <w:color w:val="000000"/>
          <w:sz w:val="22"/>
        </w:rPr>
        <w:t>means a process using coagulation chemicals and mixing by which colloidal and suspended materials are destabilized and agglomerated into flocs.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water system (CWS)” </w:t>
      </w:r>
      <w:r>
        <w:rPr>
          <w:rFonts w:ascii="Times New Roman" w:hAnsi="Times New Roman"/>
          <w:b w:val="false"/>
          <w:i w:val="false"/>
          <w:color w:val="000000"/>
          <w:sz w:val="22"/>
        </w:rPr>
        <w:t>means a public water supply system which has at least 15 service connections used by year-round residents or regularly serves at least 25 year-round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 (CEU)” </w:t>
      </w:r>
      <w:r>
        <w:rPr>
          <w:rFonts w:ascii="Times New Roman" w:hAnsi="Times New Roman"/>
          <w:b w:val="false"/>
          <w:i w:val="false"/>
          <w:color w:val="000000"/>
          <w:sz w:val="22"/>
        </w:rPr>
        <w:t>means ten contact hours of participation in an organized education experience approved by an accredited college, university, technical institute, or issuing agency, or by the department, and must be directly related to the subject matter of the particular certificate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related post-high school education” </w:t>
      </w:r>
      <w:r>
        <w:rPr>
          <w:rFonts w:ascii="Times New Roman" w:hAnsi="Times New Roman"/>
          <w:b w:val="false"/>
          <w:i w:val="false"/>
          <w:color w:val="000000"/>
          <w:sz w:val="22"/>
        </w:rPr>
        <w:t>means post-high school education in chemistry, microbiology, biology, math, engineering, water, wastewater, or other curriculum pertaining to plant and distribution system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responsible charge (DRC)” </w:t>
      </w:r>
      <w:r>
        <w:rPr>
          <w:rFonts w:ascii="Times New Roman" w:hAnsi="Times New Roman"/>
          <w:b w:val="false"/>
          <w:i w:val="false"/>
          <w:color w:val="000000"/>
          <w:sz w:val="22"/>
        </w:rPr>
        <w:t>means, where shift operation is not required, accountability for and performance of active, daily on-site operation of the plant or distribution system, or of a major segment of the plant or distribution system. Where shift operation is required, “direct responsible charge” means accountability for and performance of active, daily on-site operation of an operating shift, or a major segment of the plant or distribution system. A city manager, superintendent of public works, city clerk, council member, business manager, or other administrative official shall not be deemed to have direct responsible charge of a plant or distribution system unless this person’s duties include the active, daily on-site operation of the plant or distribution system. On-site operation may not necessarily mean full-time attendance at the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surface water filtration” </w:t>
      </w:r>
      <w:r>
        <w:rPr>
          <w:rFonts w:ascii="Times New Roman" w:hAnsi="Times New Roman"/>
          <w:b w:val="false"/>
          <w:i w:val="false"/>
          <w:color w:val="000000"/>
          <w:sz w:val="22"/>
        </w:rPr>
        <w:t xml:space="preserve">means a water treatment system that applies surface water and groundwater under the influence (influenced groundwater as defined in rule </w:t>
      </w:r>
      <w:hyperlink r:id="rId6">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directly to the filters after chemical treatment consisting of coagulation and flocculation or chemical treatment consisting of coagulation. This type of system eliminates the sedimentation unit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r>
        <w:rPr>
          <w:rFonts w:ascii="Times New Roman" w:hAnsi="Times New Roman"/>
          <w:b w:val="false"/>
          <w:i w:val="false"/>
          <w:color w:val="000000"/>
          <w:sz w:val="22"/>
        </w:rPr>
        <w:t>means a process which inactivates pathogenic organisms in water by chemical oxidants or equivalent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“Electrodialysis” </w:t>
      </w:r>
      <w:r>
        <w:rPr>
          <w:rFonts w:ascii="Times New Roman" w:hAnsi="Times New Roman"/>
          <w:b w:val="false"/>
          <w:i w:val="false"/>
          <w:color w:val="000000"/>
          <w:sz w:val="22"/>
        </w:rPr>
        <w:t>means the demineralization of water by the removal of ions through special membranes under the influence of a direct-current electric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“Fixed film biological treatment” </w:t>
      </w:r>
      <w:r>
        <w:rPr>
          <w:rFonts w:ascii="Times New Roman" w:hAnsi="Times New Roman"/>
          <w:b w:val="false"/>
          <w:i w:val="false"/>
          <w:color w:val="000000"/>
          <w:sz w:val="22"/>
        </w:rPr>
        <w:t>means a treatment process in which wastewater is passed over a media onto which are attached biological organisms capable of oxidizing the organic matter, normally followed by sedimentation. Examples include, but are not limited to, trickling filters, rotating biological contactors, packed towers and activated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“Fluoridation” </w:t>
      </w:r>
      <w:r>
        <w:rPr>
          <w:rFonts w:ascii="Times New Roman" w:hAnsi="Times New Roman"/>
          <w:b w:val="false"/>
          <w:i w:val="false"/>
          <w:color w:val="000000"/>
          <w:sz w:val="22"/>
        </w:rPr>
        <w:t>means the addition of fluoride to produce the optimum fluoride concentration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means one of seven certification levels, designated as A, W, I, IL, II, III, or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“Ion exchange” </w:t>
      </w:r>
      <w:r>
        <w:rPr>
          <w:rFonts w:ascii="Times New Roman" w:hAnsi="Times New Roman"/>
          <w:b w:val="false"/>
          <w:i w:val="false"/>
          <w:color w:val="000000"/>
          <w:sz w:val="22"/>
        </w:rPr>
        <w:t>means the process of using ion exchange materials such as resin or zeolites to remove undesirable ions from water and substituting acceptable ions, for example, ion exchange for nitrate removal or ion exchange for softening.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agency” </w:t>
      </w:r>
      <w:r>
        <w:rPr>
          <w:rFonts w:ascii="Times New Roman" w:hAnsi="Times New Roman"/>
          <w:b w:val="false"/>
          <w:i w:val="false"/>
          <w:color w:val="000000"/>
          <w:sz w:val="22"/>
        </w:rPr>
        <w:t>means a professional, technical/educational organization authorized by the department to provide continuing education for certification renewal or upgrade in accordance with the commitments and guidelines detailed in the written issuing agency agreement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7">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or in the organized reserves of the United States, as provided in 10 U.S.C. Section 10101.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means an individual requesting credit toward certification for military education, training, or service obtained or completed in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“Nontransient noncommunity water system (NTNC)” </w:t>
      </w:r>
      <w:r>
        <w:rPr>
          <w:rFonts w:ascii="Times New Roman" w:hAnsi="Times New Roman"/>
          <w:b w:val="false"/>
          <w:i w:val="false"/>
          <w:color w:val="000000"/>
          <w:sz w:val="22"/>
        </w:rPr>
        <w:t>means a public water system other than a community water system which regularly serves at least 25 of the same persons four hours or more per day for four or more days per week for 26 or more weeks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shift” </w:t>
      </w:r>
      <w:r>
        <w:rPr>
          <w:rFonts w:ascii="Times New Roman" w:hAnsi="Times New Roman"/>
          <w:b w:val="false"/>
          <w:i w:val="false"/>
          <w:color w:val="000000"/>
          <w:sz w:val="22"/>
        </w:rPr>
        <w:t>means a specified period of time when an operator is present to conduct testing or evaluation to control operations of the plant or distribution system, to make process control changes, and to be responsible for the repair or maintenance of a plant or distribution system. An operating shift may include on-call shifts.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“Operator-in-charge” </w:t>
      </w:r>
      <w:r>
        <w:rPr>
          <w:rFonts w:ascii="Times New Roman" w:hAnsi="Times New Roman"/>
          <w:b w:val="false"/>
          <w:i w:val="false"/>
          <w:color w:val="000000"/>
          <w:sz w:val="22"/>
        </w:rPr>
        <w:t>means a person or persons on site in direct responsible charge for a plant or distribution system. A city manager, superintendent of public works, city clerk, council member, business manager, or other administrative official shall not be deemed to be the operator-in-charge of a plant or distribution system unless this person’s duties include the active, daily on-site operation of the plant or distribution system. On-site operation may not necessarily mean full-time attendance at the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w:t>
      </w:r>
      <w:r>
        <w:rPr>
          <w:rFonts w:ascii="Times New Roman" w:hAnsi="Times New Roman"/>
          <w:b w:val="false"/>
          <w:i w:val="false"/>
          <w:color w:val="000000"/>
          <w:sz w:val="22"/>
        </w:rPr>
        <w:t>means those facilities which are identified as either a water treatment plant, defined as that portion of the water supply system which in some way alters the physical, chemical, or bacteriological quality of the water, or a wastewater treatment plant, defined as the facility or group of units used for the treatment of wastewater from public sewer systems and for the reduction and handling of solids removed from such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 equivalent” </w:t>
      </w:r>
      <w:r>
        <w:rPr>
          <w:rFonts w:ascii="Times New Roman" w:hAnsi="Times New Roman"/>
          <w:b w:val="false"/>
          <w:i w:val="false"/>
          <w:color w:val="000000"/>
          <w:sz w:val="22"/>
        </w:rPr>
        <w:t>for a wastewater treatment plant means the calculated number of people who would contribute the same biochemical oxygen demand (BOD) per day as the system in question, assuming that each person contributes 0.167 pounds of five-day, 20°C, BOD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“Post-high school education” </w:t>
      </w:r>
      <w:r>
        <w:rPr>
          <w:rFonts w:ascii="Times New Roman" w:hAnsi="Times New Roman"/>
          <w:b w:val="false"/>
          <w:i w:val="false"/>
          <w:color w:val="000000"/>
          <w:sz w:val="22"/>
        </w:rPr>
        <w:t>means credit received for completion of courses given or cosponsored by an accredited college, university, technical institute, or issuing agency. Courses offered by regulatory agencies may also be recognized as post-high school education. One year of post-high school education is 30 semester hours or 45 quarter hours or 45 CEUs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treatment” </w:t>
      </w:r>
      <w:r>
        <w:rPr>
          <w:rFonts w:ascii="Times New Roman" w:hAnsi="Times New Roman"/>
          <w:b w:val="false"/>
          <w:i w:val="false"/>
          <w:color w:val="000000"/>
          <w:sz w:val="22"/>
        </w:rPr>
        <w:t>means a treatment process designed to remove organic and inorganic settleable solids from wastewater by the physical process of sedimentation.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system certificate” </w:t>
      </w:r>
      <w:r>
        <w:rPr>
          <w:rFonts w:ascii="Times New Roman" w:hAnsi="Times New Roman"/>
          <w:b w:val="false"/>
          <w:i w:val="false"/>
          <w:color w:val="000000"/>
          <w:sz w:val="22"/>
        </w:rPr>
        <w:t>means a certificate issued by the department certifying that an operator has successfully completed the certification requirements of this chapter. The certificate specifies the grades and classifications for which the certificate is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“Reverse osmosis” </w:t>
      </w:r>
      <w:r>
        <w:rPr>
          <w:rFonts w:ascii="Times New Roman" w:hAnsi="Times New Roman"/>
          <w:b w:val="false"/>
          <w:i w:val="false"/>
          <w:color w:val="000000"/>
          <w:sz w:val="22"/>
        </w:rPr>
        <w:t>means the process in which external pressure is applied to mineralized water against a semipermeable membrane to effectively reduce total dissolved solids (TDS) and radionuclides content as the water is forced through the membrane.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water district” </w:t>
      </w:r>
      <w:r>
        <w:rPr>
          <w:rFonts w:ascii="Times New Roman" w:hAnsi="Times New Roman"/>
          <w:b w:val="false"/>
          <w:i w:val="false"/>
          <w:color w:val="000000"/>
          <w:sz w:val="22"/>
        </w:rPr>
        <w:t xml:space="preserve">means a water supply incorporated and organized as such pursuant to Iowa Code chapter </w:t>
      </w:r>
      <w:hyperlink r:id="rId8">
        <w:r>
          <w:rPr>
            <w:rStyle w:val="Hyperlink"/>
            <w:rFonts w:ascii="Times New Roman" w:hAnsi="Times New Roman"/>
            <w:b w:val="false"/>
            <w:i w:val="false"/>
            <w:color w:val="000000"/>
            <w:sz w:val="22"/>
          </w:rPr>
          <w:t>357</w:t>
        </w:r>
      </w:hyperlink>
      <w:r>
        <w:rPr>
          <w:rFonts w:ascii="Times New Roman" w:hAnsi="Times New Roman"/>
          <w:b w:val="false"/>
          <w:i w:val="false"/>
          <w:color w:val="000000"/>
          <w:sz w:val="22"/>
        </w:rPr>
        <w:t>, </w:t>
      </w:r>
      <w:hyperlink r:id="rId9">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“Shift operator” </w:t>
      </w:r>
      <w:r>
        <w:rPr>
          <w:rFonts w:ascii="Times New Roman" w:hAnsi="Times New Roman"/>
          <w:b w:val="false"/>
          <w:i w:val="false"/>
          <w:color w:val="000000"/>
          <w:sz w:val="22"/>
        </w:rPr>
        <w:t>means the operator on site who has responsibility for making process control changes and adjustments to the operation, repair, and maintenance of a plant or distribution system during any operating shift. Duties include testing or evaluation to control operations of the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“Stabilization” </w:t>
      </w:r>
      <w:r>
        <w:rPr>
          <w:rFonts w:ascii="Times New Roman" w:hAnsi="Times New Roman"/>
          <w:b w:val="false"/>
          <w:i w:val="false"/>
          <w:color w:val="000000"/>
          <w:sz w:val="22"/>
        </w:rPr>
        <w:t>means the addition of chemical compounds to water to maintain an ionic equilibrium whereby the water is not in a depository or corrosive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 individual who meets the definition of “veteran” in Iowa Code section </w:t>
      </w:r>
      <w:hyperlink r:id="rId11">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stabilization lagoon” </w:t>
      </w:r>
      <w:r>
        <w:rPr>
          <w:rFonts w:ascii="Times New Roman" w:hAnsi="Times New Roman"/>
          <w:b w:val="false"/>
          <w:i w:val="false"/>
          <w:color w:val="000000"/>
          <w:sz w:val="22"/>
        </w:rPr>
        <w:t>means an excavation designed and constructed to receive raw or pretreated wastewater in which stabilization is accomplished by several natural self-purification processes. This definition includes both anaerobic and aerobic lagoons.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“Wastewater treatment plant” </w:t>
      </w:r>
      <w:r>
        <w:rPr>
          <w:rFonts w:ascii="Times New Roman" w:hAnsi="Times New Roman"/>
          <w:b w:val="false"/>
          <w:i w:val="false"/>
          <w:color w:val="000000"/>
          <w:sz w:val="22"/>
        </w:rPr>
        <w:t>means the facility or group of units used for the treatment of wastewater from public sewer systems and for the reduction and handling of solids removed from such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distribution system” </w:t>
      </w:r>
      <w:r>
        <w:rPr>
          <w:rFonts w:ascii="Times New Roman" w:hAnsi="Times New Roman"/>
          <w:b w:val="false"/>
          <w:i w:val="false"/>
          <w:color w:val="000000"/>
          <w:sz w:val="22"/>
        </w:rPr>
        <w:t>means that portion of the water supply system in which water is conveyed from the water treatment plant or other supply point to the premises of the consumer, including storage facilities and pumping stations. For the purposes of this chapter, a water distribution system does not include individual service lines to the premises of the consumer, which are not under the control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supply system” </w:t>
      </w:r>
      <w:r>
        <w:rPr>
          <w:rFonts w:ascii="Times New Roman" w:hAnsi="Times New Roman"/>
          <w:b w:val="false"/>
          <w:i w:val="false"/>
          <w:color w:val="000000"/>
          <w:sz w:val="22"/>
        </w:rPr>
        <w:t>means the system of pipes, structures, and facilities through which water for a public water supply is obtained, treated, sold or distributed for human consumption or household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treatment plant” </w:t>
      </w:r>
      <w:r>
        <w:rPr>
          <w:rFonts w:ascii="Times New Roman" w:hAnsi="Times New Roman"/>
          <w:b w:val="false"/>
          <w:i w:val="false"/>
          <w:color w:val="000000"/>
          <w:sz w:val="22"/>
        </w:rPr>
        <w:t>means that portion of the water supply system which in some way alters the physical, chemical, or microbiological quality of the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1911C</w:t>
      </w:r>
      <w:r>
        <w:rPr>
          <w:rFonts w:ascii="Times New Roman" w:hAnsi="Times New Roman"/>
          <w:b w:val="false"/>
          <w:i w:val="false"/>
          <w:color w:val="000000"/>
          <w:sz w:val="16"/>
        </w:rPr>
        <w:t>, IAB 3/18/15, effective 4/22/15</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6193C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567—81.2</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Plant grade for system with multiple treatment processes. </w:t>
      </w:r>
      <w:r>
        <w:rPr>
          <w:rFonts w:ascii="Times New Roman" w:hAnsi="Times New Roman"/>
          <w:b w:val="false"/>
          <w:i w:val="false"/>
          <w:color w:val="000000"/>
          <w:sz w:val="22"/>
        </w:rPr>
        <w:t>A plant having a combination of treatment processes that are in different grades shall be assigned the highest numerical plant grade of that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Increase in facility grade for complex systems. </w:t>
      </w:r>
      <w:r>
        <w:rPr>
          <w:rFonts w:ascii="Times New Roman" w:hAnsi="Times New Roman"/>
          <w:b w:val="false"/>
          <w:i w:val="false"/>
          <w:color w:val="000000"/>
          <w:sz w:val="22"/>
        </w:rPr>
        <w:t xml:space="preserve">The director may increase a plant or water distribution system grade above that indicated in rules </w:t>
      </w:r>
      <w:hyperlink r:id="rId12">
        <w:r>
          <w:rPr>
            <w:rStyle w:val="Hyperlink"/>
            <w:rFonts w:ascii="Times New Roman" w:hAnsi="Times New Roman"/>
            <w:b w:val="false"/>
            <w:i w:val="false"/>
            <w:color w:val="000000"/>
            <w:sz w:val="22"/>
          </w:rPr>
          <w:t>567—81.3</w:t>
        </w:r>
      </w:hyperlink>
      <w:r>
        <w:rPr>
          <w:rFonts w:ascii="Times New Roman" w:hAnsi="Times New Roman"/>
          <w:b w:val="false"/>
          <w:i w:val="false"/>
          <w:color w:val="000000"/>
          <w:sz w:val="22"/>
        </w:rPr>
        <w:t xml:space="preserve">(455B) to </w:t>
      </w:r>
      <w:hyperlink r:id="rId13">
        <w:r>
          <w:rPr>
            <w:rStyle w:val="Hyperlink"/>
            <w:rFonts w:ascii="Times New Roman" w:hAnsi="Times New Roman"/>
            <w:b w:val="false"/>
            <w:i w:val="false"/>
            <w:color w:val="000000"/>
            <w:sz w:val="22"/>
          </w:rPr>
          <w:t>567—81.6</w:t>
        </w:r>
      </w:hyperlink>
      <w:r>
        <w:rPr>
          <w:rFonts w:ascii="Times New Roman" w:hAnsi="Times New Roman"/>
          <w:b w:val="false"/>
          <w:i w:val="false"/>
          <w:color w:val="000000"/>
          <w:sz w:val="22"/>
        </w:rPr>
        <w:t>(455B) for those systems which in the judgment of the director include unusually complex treatment processes, complex distribution systems, or which present unusual operation or maintenance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color w:val="000000"/>
          <w:sz w:val="22"/>
        </w:rPr>
        <w:t xml:space="preserve">Operator-in-charge certification requirement. </w:t>
      </w:r>
      <w:r>
        <w:rPr>
          <w:rFonts w:ascii="Times New Roman" w:hAnsi="Times New Roman"/>
          <w:b w:val="false"/>
          <w:i w:val="false"/>
          <w:color w:val="000000"/>
          <w:sz w:val="22"/>
        </w:rPr>
        <w:t>The operator-in-charge shall hold a certificate of the same classification of the plant or water distribution system and of equal or higher grade than the grade designated for that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color w:val="000000"/>
          <w:sz w:val="22"/>
        </w:rPr>
        <w:t xml:space="preserve">Shift operator certification. </w:t>
      </w:r>
      <w:r>
        <w:rPr>
          <w:rFonts w:ascii="Times New Roman" w:hAnsi="Times New Roman"/>
          <w:b w:val="false"/>
          <w:i w:val="false"/>
          <w:color w:val="000000"/>
          <w:sz w:val="22"/>
        </w:rPr>
        <w:t xml:space="preserve">Any person who is responsible for the operation of an operating shift of a plant or distribution system or major segment of the plant or distribution system and is under the supervision of the operator-in-charge identified in </w:t>
      </w:r>
      <w:hyperlink r:id="rId14">
        <w:r>
          <w:rPr>
            <w:rStyle w:val="Hyperlink"/>
            <w:rFonts w:ascii="Times New Roman" w:hAnsi="Times New Roman"/>
            <w:b w:val="false"/>
            <w:i w:val="false"/>
            <w:color w:val="000000"/>
            <w:sz w:val="22"/>
          </w:rPr>
          <w:t>81.2(3)</w:t>
        </w:r>
      </w:hyperlink>
      <w:r>
        <w:rPr>
          <w:rFonts w:ascii="Times New Roman" w:hAnsi="Times New Roman"/>
          <w:b w:val="false"/>
          <w:i w:val="false"/>
          <w:color w:val="000000"/>
          <w:sz w:val="22"/>
        </w:rPr>
        <w:t xml:space="preserve"> shall be certified in a grade no less than a Grade II level for Grade III and IV plants and distribution systems and Grade I for Grade I and II plants and distribution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81.2(5)</w:t>
      </w:r>
      <w:r>
        <w:rPr>
          <w:rFonts w:ascii="Times New Roman" w:hAnsi="Times New Roman"/>
          <w:b w:val="false"/>
          <w:i w:val="false"/>
          <w:color w:val="000000"/>
          <w:sz w:val="22"/>
        </w:rPr>
        <w:t> </w:t>
      </w:r>
      <w:r>
        <w:rPr>
          <w:rFonts w:ascii="Times New Roman" w:hAnsi="Times New Roman"/>
          <w:b w:val="false"/>
          <w:i/>
          <w:color w:val="000000"/>
          <w:sz w:val="22"/>
        </w:rPr>
        <w:t xml:space="preserve">Public water system certificate requirement. </w:t>
      </w:r>
      <w:r>
        <w:rPr>
          <w:rFonts w:ascii="Times New Roman" w:hAnsi="Times New Roman"/>
          <w:b w:val="false"/>
          <w:i w:val="false"/>
          <w:color w:val="000000"/>
          <w:sz w:val="22"/>
        </w:rPr>
        <w:t xml:space="preserve">The operator who is designated by the owner to be the operator-in-charge of both the water treatment plant and the water distribution system shall hold a public water system (PWS) certificate valid for water treatment and water distribution in accordance with </w:t>
      </w:r>
      <w:hyperlink r:id="rId15">
        <w:r>
          <w:rPr>
            <w:rStyle w:val="Hyperlink"/>
            <w:rFonts w:ascii="Times New Roman" w:hAnsi="Times New Roman"/>
            <w:b w:val="false"/>
            <w:i w:val="false"/>
            <w:color w:val="000000"/>
            <w:sz w:val="22"/>
          </w:rPr>
          <w:t>81.2(3)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81.2(6)</w:t>
      </w:r>
      <w:r>
        <w:rPr>
          <w:rFonts w:ascii="Times New Roman" w:hAnsi="Times New Roman"/>
          <w:b w:val="false"/>
          <w:i w:val="false"/>
          <w:color w:val="000000"/>
          <w:sz w:val="22"/>
        </w:rPr>
        <w:t> </w:t>
      </w:r>
      <w:r>
        <w:rPr>
          <w:rFonts w:ascii="Times New Roman" w:hAnsi="Times New Roman"/>
          <w:b w:val="false"/>
          <w:i/>
          <w:color w:val="000000"/>
          <w:sz w:val="22"/>
        </w:rPr>
        <w:t xml:space="preserve">PWS certificate. </w:t>
      </w:r>
      <w:r>
        <w:rPr>
          <w:rFonts w:ascii="Times New Roman" w:hAnsi="Times New Roman"/>
          <w:b w:val="false"/>
          <w:i w:val="false"/>
          <w:color w:val="000000"/>
          <w:sz w:val="22"/>
        </w:rPr>
        <w:t>A PWS certificate shall be issued to an operator successfully completing water treatment or water distribution certification. The PWS certificate shall specify the grade and classification for which the certificate is valid. An operator successfully completing both water treatment and water distribution certification shall be issued a PWS certificate valid for both classifications. For purposes of renewal, all renewal fees and CEU requirements shall be applied as one certification. The number of CEUs required shall be determined by the highest certification grade on the operator’s public water system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81.2(7)</w:t>
      </w:r>
      <w:r>
        <w:rPr>
          <w:rFonts w:ascii="Times New Roman" w:hAnsi="Times New Roman"/>
          <w:b w:val="false"/>
          <w:i w:val="false"/>
          <w:color w:val="000000"/>
          <w:sz w:val="22"/>
        </w:rPr>
        <w:t> </w:t>
      </w:r>
      <w:r>
        <w:rPr>
          <w:rFonts w:ascii="Times New Roman" w:hAnsi="Times New Roman"/>
          <w:b w:val="false"/>
          <w:i/>
          <w:color w:val="000000"/>
          <w:sz w:val="22"/>
        </w:rPr>
        <w:t xml:space="preserve">PWS certificate issuance.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81.2(8)</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for a personnel change in the operator-in-charge. </w:t>
      </w:r>
      <w:r>
        <w:rPr>
          <w:rFonts w:ascii="Times New Roman" w:hAnsi="Times New Roman"/>
          <w:b w:val="false"/>
          <w:i w:val="false"/>
          <w:color w:val="000000"/>
          <w:sz w:val="22"/>
        </w:rPr>
        <w:t>The owner of a plant or distribution system must notify the department of a change in operator(s)-in-charge within 30 days after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81.2(9)</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or employment. </w:t>
      </w:r>
      <w:r>
        <w:rPr>
          <w:rFonts w:ascii="Times New Roman" w:hAnsi="Times New Roman"/>
          <w:b w:val="false"/>
          <w:i w:val="false"/>
          <w:color w:val="000000"/>
          <w:sz w:val="22"/>
        </w:rPr>
        <w:t>Certified operators must report to the department a change in address or employment within 30 days after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81.2(10)</w:t>
      </w:r>
      <w:r>
        <w:rPr>
          <w:rFonts w:ascii="Times New Roman" w:hAnsi="Times New Roman"/>
          <w:b w:val="false"/>
          <w:i w:val="false"/>
          <w:color w:val="000000"/>
          <w:sz w:val="22"/>
        </w:rPr>
        <w:t> </w:t>
      </w:r>
      <w:r>
        <w:rPr>
          <w:rFonts w:ascii="Times New Roman" w:hAnsi="Times New Roman"/>
          <w:b w:val="false"/>
          <w:i/>
          <w:color w:val="000000"/>
          <w:sz w:val="22"/>
        </w:rPr>
        <w:t xml:space="preserve">Owner reporting requirements. </w:t>
      </w:r>
      <w:r>
        <w:rPr>
          <w:rFonts w:ascii="Times New Roman" w:hAnsi="Times New Roman"/>
          <w:b w:val="false"/>
          <w:i w:val="false"/>
          <w:color w:val="000000"/>
          <w:sz w:val="22"/>
        </w:rPr>
        <w:t>All owners of plants and distribution systems must report, when requested by the department, the method of treatment provided, the average daily pumpage, and the operator(s)-in-charge.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81.2(11)</w:t>
      </w:r>
      <w:r>
        <w:rPr>
          <w:rFonts w:ascii="Times New Roman" w:hAnsi="Times New Roman"/>
          <w:b w:val="false"/>
          <w:i w:val="false"/>
          <w:color w:val="000000"/>
          <w:sz w:val="22"/>
        </w:rPr>
        <w:t> </w:t>
      </w:r>
      <w:r>
        <w:rPr>
          <w:rFonts w:ascii="Times New Roman" w:hAnsi="Times New Roman"/>
          <w:b w:val="false"/>
          <w:i/>
          <w:color w:val="000000"/>
          <w:sz w:val="22"/>
        </w:rPr>
        <w:t xml:space="preserve">Compliance plan. </w:t>
      </w:r>
      <w:r>
        <w:rPr>
          <w:rFonts w:ascii="Times New Roman" w:hAnsi="Times New Roman"/>
          <w:b w:val="false"/>
          <w:i w:val="false"/>
          <w:color w:val="000000"/>
          <w:sz w:val="22"/>
        </w:rPr>
        <w:t>When the director allows the owner of a plant or distribution system required to have a certified operator time to obtain an operator, the owner must submit a compliance plan indicating what action will be taken to obtain a certified operator. The plan must be on Form 52, Compliance Plan 542-3120, provided by the department and must be submitted within 30 days of the facility owner’s receipt of a notice of violation.</w:t>
      </w:r>
    </w:p>
    <w:p>
      <w:pPr>
        <w:spacing w:before="0" w:after="0"/>
        <w:ind w:left="120"/>
        <w:jc w:val="both"/>
      </w:pPr>
      <w:r>
        <w:rPr>
          <w:rFonts w:ascii="Times New Roman" w:hAnsi="Times New Roman"/>
          <w:b/>
          <w:i w:val="false"/>
          <w:color w:val="000000"/>
          <w:sz w:val="22"/>
        </w:rPr>
        <w:t>567—81.3</w:t>
      </w:r>
      <w:r>
        <w:rPr>
          <w:rFonts w:ascii="Times New Roman" w:hAnsi="Times New Roman"/>
          <w:b/>
          <w:i w:val="false"/>
          <w:color w:val="000000"/>
          <w:sz w:val="22"/>
        </w:rPr>
        <w:t xml:space="preserve">(455B) </w:t>
      </w:r>
      <w:r>
        <w:rPr>
          <w:rFonts w:ascii="Times New Roman" w:hAnsi="Times New Roman"/>
          <w:b/>
          <w:i w:val="false"/>
          <w:color w:val="000000"/>
          <w:sz w:val="22"/>
        </w:rPr>
        <w:t xml:space="preserve">Wastewater treatment plant grades.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Classifications. </w:t>
      </w:r>
      <w:r>
        <w:rPr>
          <w:rFonts w:ascii="Times New Roman" w:hAnsi="Times New Roman"/>
          <w:b w:val="false"/>
          <w:i w:val="false"/>
          <w:color w:val="000000"/>
          <w:sz w:val="22"/>
        </w:rPr>
        <w:t>The wastewater treatment plant classifications are listed in the following table:</w:t>
      </w:r>
    </w:p>
    <w:p>
      <w:pPr>
        <w:spacing w:before="60" w:after="0"/>
        <w:ind w:left="120"/>
        <w:jc w:val="center"/>
      </w:pPr>
      <w:r>
        <w:rPr>
          <w:rFonts w:ascii="Times New Roman" w:hAnsi="Times New Roman"/>
          <w:b w:val="false"/>
          <w:i w:val="false"/>
          <w:color w:val="000000"/>
          <w:sz w:val="22"/>
        </w:rPr>
        <w:t>Wastewater Treatment Plant Classifications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3"/>
        <w:gridCol w:w="1297"/>
        <w:gridCol w:w="1464"/>
        <w:gridCol w:w="1379"/>
        <w:gridCol w:w="1501"/>
        <w:gridCol w:w="1559"/>
        <w:gridCol w:w="256"/>
      </w:tblGrid>
      <w:tr>
        <w:trPr>
          <w:trHeight w:val="225" w:hRule="atLeast"/>
        </w:trPr>
        <w:tc>
          <w:tcPr>
            <w:tcW w:w="3733" w:type="dxa"/>
            <w:vMerge w:val="restart"/>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Treatment Type</w:t>
            </w:r>
          </w:p>
        </w:tc>
        <w:tc>
          <w:tcPr>
            <w:tcW w:w="0" w:type="auto"/>
            <w:gridSpan w:val="5"/>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Grade</w:t>
            </w:r>
          </w:p>
        </w:tc>
      </w:tr>
      <w:tr>
        <w:trPr>
          <w:trHeight w:val="285" w:hRule="atLeast"/>
        </w:trPr>
        <w:tc>
          <w:tcPr>
            <w:tcW w:w="0" w:type="auto"/>
            <w:vMerge/>
            <w:tcBorders>
              <w:top w:val="nil"/>
              <w:right w:val="single" w:color="000000" w:sz="8"/>
            </w:tcBorders>
          </w:tcPr>
          <w:p/>
        </w:tc>
        <w:tc>
          <w:tcPr>
            <w:tcW w:w="12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Based on Design Pounds of BOD</w:t>
            </w:r>
            <w:r>
              <w:rPr>
                <w:rFonts w:ascii="Times New Roman" w:hAnsi="Times New Roman"/>
                <w:b w:val="false"/>
                <w:i w:val="false"/>
                <w:color w:val="000000"/>
                <w:sz w:val="18"/>
                <w:vertAlign w:val="subscript"/>
              </w:rPr>
              <w:t>5</w:t>
            </w:r>
            <w:r>
              <w:rPr>
                <w:rFonts w:ascii="Times New Roman" w:hAnsi="Times New Roman"/>
                <w:b w:val="false"/>
                <w:i w:val="false"/>
                <w:color w:val="000000"/>
                <w:sz w:val="16"/>
              </w:rPr>
              <w:t>/day</w:t>
            </w:r>
          </w:p>
        </w:tc>
      </w:tr>
      <w:tr>
        <w:trPr>
          <w:trHeight w:val="225" w:hRule="atLeast"/>
        </w:trPr>
        <w:tc>
          <w:tcPr>
            <w:tcW w:w="0" w:type="auto"/>
            <w:vMerge/>
            <w:tcBorders>
              <w:top w:val="nil"/>
              <w:right w:val="single" w:color="000000" w:sz="8"/>
            </w:tcBorders>
          </w:tcPr>
          <w:p/>
        </w:tc>
        <w:tc>
          <w:tcPr>
            <w:tcW w:w="12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less than 334</w:t>
            </w:r>
          </w:p>
        </w:tc>
        <w:tc>
          <w:tcPr>
            <w:tcW w:w="14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334-835</w:t>
            </w:r>
          </w:p>
        </w:tc>
        <w:tc>
          <w:tcPr>
            <w:tcW w:w="13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836-2,505</w:t>
            </w:r>
          </w:p>
        </w:tc>
        <w:tc>
          <w:tcPr>
            <w:tcW w:w="150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2,506-8,350</w:t>
            </w:r>
          </w:p>
        </w:tc>
        <w:tc>
          <w:tcPr>
            <w:tcW w:w="155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more than 8,350</w:t>
            </w:r>
          </w:p>
        </w:tc>
      </w:tr>
      <w:tr>
        <w:trPr>
          <w:trHeight w:val="225" w:hRule="atLeast"/>
        </w:trPr>
        <w:tc>
          <w:tcPr>
            <w:tcW w:w="3733"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Based on Design Population Equivalent</w:t>
            </w:r>
          </w:p>
        </w:tc>
      </w:tr>
      <w:tr>
        <w:trPr>
          <w:trHeight w:val="405" w:hRule="atLeast"/>
        </w:trPr>
        <w:tc>
          <w:tcPr>
            <w:tcW w:w="0" w:type="auto"/>
            <w:vMerge/>
            <w:tcBorders>
              <w:top w:val="nil"/>
              <w:bottom w:val="single" w:color="000000" w:sz="8"/>
              <w:right w:val="single" w:color="000000" w:sz="8"/>
            </w:tcBorders>
          </w:tcPr>
          <w:p/>
        </w:tc>
        <w:tc>
          <w:tcPr>
            <w:tcW w:w="12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less than 2,000</w:t>
            </w:r>
          </w:p>
        </w:tc>
        <w:tc>
          <w:tcPr>
            <w:tcW w:w="14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2,000-5,000</w:t>
            </w:r>
          </w:p>
        </w:tc>
        <w:tc>
          <w:tcPr>
            <w:tcW w:w="1379"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5,001-</w:t>
            </w:r>
          </w:p>
          <w:p>
            <w:pPr>
              <w:spacing w:before="0" w:after="0"/>
              <w:ind w:left="160"/>
              <w:jc w:val="center"/>
            </w:pPr>
            <w:r>
              <w:rPr>
                <w:rFonts w:ascii="Times New Roman" w:hAnsi="Times New Roman"/>
                <w:b w:val="false"/>
                <w:i w:val="false"/>
                <w:color w:val="000000"/>
                <w:sz w:val="16"/>
              </w:rPr>
              <w:t>15,000</w:t>
            </w:r>
          </w:p>
        </w:tc>
        <w:tc>
          <w:tcPr>
            <w:tcW w:w="1501"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15,001-</w:t>
            </w:r>
          </w:p>
          <w:p>
            <w:pPr>
              <w:spacing w:before="0" w:after="0"/>
              <w:ind w:left="160"/>
              <w:jc w:val="center"/>
            </w:pPr>
            <w:r>
              <w:rPr>
                <w:rFonts w:ascii="Times New Roman" w:hAnsi="Times New Roman"/>
                <w:b w:val="false"/>
                <w:i w:val="false"/>
                <w:color w:val="000000"/>
                <w:sz w:val="16"/>
              </w:rPr>
              <w:t>50,000</w:t>
            </w:r>
          </w:p>
        </w:tc>
        <w:tc>
          <w:tcPr>
            <w:tcW w:w="155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more than 50,000</w:t>
            </w:r>
          </w:p>
        </w:tc>
      </w:tr>
      <w:tr>
        <w:trPr>
          <w:trHeight w:val="405" w:hRule="atLeast"/>
        </w:trPr>
        <w:tc>
          <w:tcPr>
            <w:tcW w:w="373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1. Onsite Treatment System</w:t>
            </w:r>
          </w:p>
        </w:tc>
        <w:tc>
          <w:tcPr>
            <w:tcW w:w="12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w:t>
            </w:r>
          </w:p>
        </w:tc>
        <w:tc>
          <w:tcPr>
            <w:tcW w:w="14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Not Applicable</w:t>
            </w:r>
          </w:p>
        </w:tc>
        <w:tc>
          <w:tcPr>
            <w:tcW w:w="13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Not Applicable</w:t>
            </w:r>
          </w:p>
        </w:tc>
        <w:tc>
          <w:tcPr>
            <w:tcW w:w="150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Not Applicable</w:t>
            </w:r>
          </w:p>
        </w:tc>
        <w:tc>
          <w:tcPr>
            <w:tcW w:w="155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Not Applicable</w:t>
            </w:r>
          </w:p>
        </w:tc>
      </w:tr>
      <w:tr>
        <w:trPr>
          <w:trHeight w:val="225" w:hRule="atLeast"/>
        </w:trPr>
        <w:tc>
          <w:tcPr>
            <w:tcW w:w="373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2. Waste Stabilization Lagoon System</w:t>
            </w:r>
          </w:p>
        </w:tc>
        <w:tc>
          <w:tcPr>
            <w:tcW w:w="12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4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3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50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55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r>
      <w:tr>
        <w:trPr>
          <w:trHeight w:val="225" w:hRule="atLeast"/>
        </w:trPr>
        <w:tc>
          <w:tcPr>
            <w:tcW w:w="373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3. Aerated Lagoon System</w:t>
            </w:r>
          </w:p>
        </w:tc>
        <w:tc>
          <w:tcPr>
            <w:tcW w:w="12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4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3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w:t>
            </w:r>
          </w:p>
        </w:tc>
        <w:tc>
          <w:tcPr>
            <w:tcW w:w="150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w:t>
            </w:r>
          </w:p>
        </w:tc>
        <w:tc>
          <w:tcPr>
            <w:tcW w:w="155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w:t>
            </w:r>
          </w:p>
        </w:tc>
      </w:tr>
      <w:tr>
        <w:trPr>
          <w:trHeight w:val="225" w:hRule="atLeast"/>
        </w:trPr>
        <w:tc>
          <w:tcPr>
            <w:tcW w:w="37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4. Advanced Aerated Lagoon System</w:t>
            </w:r>
          </w:p>
        </w:tc>
        <w:tc>
          <w:tcPr>
            <w:tcW w:w="12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c>
          <w:tcPr>
            <w:tcW w:w="14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c>
          <w:tcPr>
            <w:tcW w:w="13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c>
          <w:tcPr>
            <w:tcW w:w="150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c>
          <w:tcPr>
            <w:tcW w:w="155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r>
      <w:tr>
        <w:trPr>
          <w:trHeight w:val="405" w:hRule="atLeast"/>
        </w:trPr>
        <w:tc>
          <w:tcPr>
            <w:tcW w:w="37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5. Fixed Film Biological Treatment System</w:t>
            </w:r>
          </w:p>
        </w:tc>
        <w:tc>
          <w:tcPr>
            <w:tcW w:w="12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w:t>
            </w:r>
          </w:p>
        </w:tc>
        <w:tc>
          <w:tcPr>
            <w:tcW w:w="14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w:t>
            </w:r>
          </w:p>
        </w:tc>
        <w:tc>
          <w:tcPr>
            <w:tcW w:w="137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III</w:t>
            </w:r>
          </w:p>
        </w:tc>
        <w:tc>
          <w:tcPr>
            <w:tcW w:w="150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III</w:t>
            </w:r>
          </w:p>
        </w:tc>
        <w:tc>
          <w:tcPr>
            <w:tcW w:w="155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IV</w:t>
            </w:r>
          </w:p>
        </w:tc>
      </w:tr>
      <w:tr>
        <w:trPr>
          <w:trHeight w:val="225" w:hRule="atLeast"/>
        </w:trPr>
        <w:tc>
          <w:tcPr>
            <w:tcW w:w="3733"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6. Activated Sludge System</w:t>
            </w:r>
          </w:p>
        </w:tc>
        <w:tc>
          <w:tcPr>
            <w:tcW w:w="129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w:t>
            </w:r>
          </w:p>
        </w:tc>
        <w:tc>
          <w:tcPr>
            <w:tcW w:w="1464"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III</w:t>
            </w:r>
          </w:p>
        </w:tc>
        <w:tc>
          <w:tcPr>
            <w:tcW w:w="137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III</w:t>
            </w:r>
          </w:p>
        </w:tc>
        <w:tc>
          <w:tcPr>
            <w:tcW w:w="1501"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IV</w:t>
            </w:r>
          </w:p>
        </w:tc>
        <w:tc>
          <w:tcPr>
            <w:tcW w:w="1559"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IV</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Unknown design BOD</w:t>
      </w:r>
      <w:r>
        <w:rPr>
          <w:rFonts w:ascii="Times New Roman" w:hAnsi="Times New Roman"/>
          <w:b w:val="false"/>
          <w:i/>
          <w:color w:val="000000"/>
          <w:sz w:val="18"/>
          <w:vertAlign w:val="subscript"/>
        </w:rPr>
        <w:t>5</w:t>
      </w:r>
      <w:r>
        <w:rPr>
          <w:rFonts w:ascii="Times New Roman" w:hAnsi="Times New Roman"/>
          <w:b w:val="false"/>
          <w:i/>
          <w:color w:val="000000"/>
          <w:sz w:val="22"/>
        </w:rPr>
        <w:t xml:space="preserve"> loading. </w:t>
      </w:r>
      <w:r>
        <w:rPr>
          <w:rFonts w:ascii="Times New Roman" w:hAnsi="Times New Roman"/>
          <w:b w:val="false"/>
          <w:i w:val="false"/>
          <w:color w:val="000000"/>
          <w:sz w:val="22"/>
        </w:rPr>
        <w:t>When the design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loading is unknown, the plant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loading shall be determined by using the average pounds of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of the 24-hour composite influent samples taken in the last 12 months. If 24-hour composite influent samples are not available, then grab samples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IL wastewater operator requirements. </w:t>
      </w:r>
      <w:r>
        <w:rPr>
          <w:rFonts w:ascii="Times New Roman" w:hAnsi="Times New Roman"/>
          <w:b w:val="false"/>
          <w:i w:val="false"/>
          <w:color w:val="000000"/>
          <w:sz w:val="22"/>
        </w:rPr>
        <w:t xml:space="preserve">A Grade I, II, III, or IV wastewater treatment certificate will satisfy the certification requirements for a Grade IL plant.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color w:val="000000"/>
          <w:sz w:val="22"/>
        </w:rPr>
        <w:t xml:space="preserve">Grade W onsite wastewater classification. </w:t>
      </w:r>
      <w:r>
        <w:rPr>
          <w:rFonts w:ascii="Times New Roman" w:hAnsi="Times New Roman"/>
          <w:b w:val="false"/>
          <w:i w:val="false"/>
          <w:color w:val="000000"/>
          <w:sz w:val="22"/>
        </w:rPr>
        <w:t xml:space="preserve">Any wastewater treatment plant that discharges to a water of the state and that utilizes onsite wastewater treatment technologies, such as those specified in </w:t>
      </w:r>
      <w:hyperlink r:id="rId17">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but excluding waste stabilization ponds, shall be classified as an onsite treatment system (Grade 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567—81.4</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treatment plant grades.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color w:val="000000"/>
          <w:sz w:val="22"/>
        </w:rPr>
        <w:t xml:space="preserve">Classifications. </w:t>
      </w:r>
      <w:r>
        <w:rPr>
          <w:rFonts w:ascii="Times New Roman" w:hAnsi="Times New Roman"/>
          <w:b w:val="false"/>
          <w:i w:val="false"/>
          <w:color w:val="000000"/>
          <w:sz w:val="22"/>
        </w:rPr>
        <w:t>The water treatment plant classifications are listed in the following table:</w:t>
      </w:r>
    </w:p>
    <w:p>
      <w:pPr>
        <w:spacing w:before="60" w:after="0"/>
        <w:ind w:left="120"/>
        <w:jc w:val="center"/>
      </w:pPr>
      <w:r>
        <w:rPr>
          <w:rFonts w:ascii="Times New Roman" w:hAnsi="Times New Roman"/>
          <w:b w:val="false"/>
          <w:i w:val="false"/>
          <w:color w:val="000000"/>
          <w:sz w:val="22"/>
        </w:rPr>
        <w:t>Water Treatment Plant Classifications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034"/>
        <w:gridCol w:w="749"/>
        <w:gridCol w:w="1056"/>
        <w:gridCol w:w="1056"/>
        <w:gridCol w:w="705"/>
        <w:gridCol w:w="1590"/>
      </w:tblGrid>
      <w:tr>
        <w:trPr>
          <w:trHeight w:val="225" w:hRule="atLeast"/>
        </w:trPr>
        <w:tc>
          <w:tcPr>
            <w:tcW w:w="603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Treatment Type</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w:t>
            </w:r>
          </w:p>
        </w:tc>
      </w:tr>
      <w:tr>
        <w:trPr>
          <w:trHeight w:val="225" w:hRule="atLeast"/>
        </w:trPr>
        <w:tc>
          <w:tcPr>
            <w:tcW w:w="0" w:type="auto"/>
            <w:vMerge/>
            <w:tcBorders>
              <w:top w:val="nil"/>
              <w:bottom w:val="single" w:color="000000" w:sz="8"/>
              <w:right w:val="single" w:color="000000" w:sz="8"/>
            </w:tcBorders>
          </w:tcPr>
          <w:p/>
        </w:tc>
        <w:tc>
          <w:tcPr>
            <w:tcW w:w="7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Average Daily Pumpage in MGD</w:t>
            </w:r>
          </w:p>
        </w:tc>
      </w:tr>
      <w:tr>
        <w:trPr>
          <w:trHeight w:val="240" w:hRule="atLeast"/>
        </w:trPr>
        <w:tc>
          <w:tcPr>
            <w:tcW w:w="0" w:type="auto"/>
            <w:vMerge/>
            <w:tcBorders>
              <w:top w:val="nil"/>
              <w:bottom w:val="single" w:color="000000" w:sz="8"/>
              <w:right w:val="single" w:color="000000" w:sz="8"/>
            </w:tcBorders>
          </w:tcP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w:t>
            </w:r>
          </w:p>
        </w:tc>
        <w:tc>
          <w:tcPr>
            <w:tcW w:w="105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&gt;0.1-0.5</w:t>
            </w:r>
          </w:p>
        </w:tc>
        <w:tc>
          <w:tcPr>
            <w:tcW w:w="105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&gt;0.5-1.5</w:t>
            </w:r>
          </w:p>
        </w:tc>
        <w:tc>
          <w:tcPr>
            <w:tcW w:w="70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&gt;1.5</w:t>
            </w:r>
          </w:p>
        </w:tc>
      </w:tr>
      <w:tr>
        <w:trPr>
          <w:trHeight w:val="585" w:hRule="atLeast"/>
        </w:trPr>
        <w:tc>
          <w:tcPr>
            <w:tcW w:w="603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1. Iron or manganese removal; aeration; chlorination; fluoridation; stabilization; any other chemical addition; or any combination of these processes</w:t>
            </w:r>
          </w:p>
        </w:tc>
        <w:tc>
          <w:tcPr>
            <w:tcW w:w="749"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w:t>
            </w:r>
          </w:p>
        </w:tc>
        <w:tc>
          <w:tcPr>
            <w:tcW w:w="105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w:t>
            </w:r>
          </w:p>
        </w:tc>
        <w:tc>
          <w:tcPr>
            <w:tcW w:w="105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w:t>
            </w:r>
          </w:p>
        </w:tc>
        <w:tc>
          <w:tcPr>
            <w:tcW w:w="705"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r>
      <w:tr>
        <w:trPr>
          <w:trHeight w:val="225" w:hRule="atLeast"/>
        </w:trPr>
        <w:tc>
          <w:tcPr>
            <w:tcW w:w="603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2. Ion exchange</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70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r>
      <w:tr>
        <w:trPr>
          <w:trHeight w:val="225" w:hRule="atLeast"/>
        </w:trPr>
        <w:tc>
          <w:tcPr>
            <w:tcW w:w="603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3. Direct surface water filtration</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70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r>
      <w:tr>
        <w:trPr>
          <w:trHeight w:val="585" w:hRule="atLeast"/>
        </w:trPr>
        <w:tc>
          <w:tcPr>
            <w:tcW w:w="603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4. Utilization of lime, soda ash or other chemical addition for pH adjustment in the precipitation and coagulation of iron or manganese</w:t>
            </w:r>
          </w:p>
        </w:tc>
        <w:tc>
          <w:tcPr>
            <w:tcW w:w="749"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w:t>
            </w:r>
          </w:p>
        </w:tc>
        <w:tc>
          <w:tcPr>
            <w:tcW w:w="105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w:t>
            </w:r>
          </w:p>
        </w:tc>
        <w:tc>
          <w:tcPr>
            <w:tcW w:w="105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c>
          <w:tcPr>
            <w:tcW w:w="705"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r>
      <w:tr>
        <w:trPr>
          <w:trHeight w:val="405" w:hRule="atLeast"/>
        </w:trPr>
        <w:tc>
          <w:tcPr>
            <w:tcW w:w="603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5. Complete surface water clarification or lime softening of surface water or groundwater</w:t>
            </w:r>
          </w:p>
        </w:tc>
        <w:tc>
          <w:tcPr>
            <w:tcW w:w="749"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c>
          <w:tcPr>
            <w:tcW w:w="105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c>
          <w:tcPr>
            <w:tcW w:w="105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c>
          <w:tcPr>
            <w:tcW w:w="705"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IV</w:t>
            </w:r>
          </w:p>
        </w:tc>
      </w:tr>
      <w:tr>
        <w:trPr>
          <w:trHeight w:val="225" w:hRule="atLeast"/>
        </w:trPr>
        <w:tc>
          <w:tcPr>
            <w:tcW w:w="603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6. Reverse osmosis and electrodialysis</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70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r>
        <w:trPr>
          <w:trHeight w:val="225" w:hRule="atLeast"/>
        </w:trPr>
        <w:tc>
          <w:tcPr>
            <w:tcW w:w="6034" w:type="dxa"/>
            <w:tcBorders>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7. Activated carbon for THM or synthetic organics removal</w:t>
            </w:r>
          </w:p>
        </w:tc>
        <w:tc>
          <w:tcPr>
            <w:tcW w:w="74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05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05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70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bl>
    <w:p>
      <w:pPr>
        <w:spacing w:before="0" w:after="0"/>
        <w:ind w:left="120"/>
        <w:jc w:val="both"/>
      </w:pPr>
      <w:r>
        <w:rPr>
          <w:rFonts w:ascii="Times New Roman" w:hAnsi="Times New Roman"/>
          <w:b w:val="false"/>
          <w:i w:val="false"/>
          <w:color w:val="000000"/>
          <w:sz w:val="22"/>
        </w:rPr>
        <w:t xml:space="preserve">*For Grade A water supply classification, see subrule </w:t>
      </w:r>
      <w:hyperlink r:id="rId18">
        <w:r>
          <w:rPr>
            <w:rStyle w:val="Hyperlink"/>
            <w:rFonts w:ascii="Times New Roman" w:hAnsi="Times New Roman"/>
            <w:b w:val="false"/>
            <w:i w:val="false"/>
            <w:color w:val="000000"/>
            <w:sz w:val="22"/>
          </w:rPr>
          <w:t>81.6(1)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Average daily pumpage. </w:t>
      </w:r>
      <w:r>
        <w:rPr>
          <w:rFonts w:ascii="Times New Roman" w:hAnsi="Times New Roman"/>
          <w:b w:val="false"/>
          <w:i w:val="false"/>
          <w:color w:val="000000"/>
          <w:sz w:val="22"/>
        </w:rPr>
        <w:t>When the average daily pumpage is unknown, the plant grade will be determined from the population of the most recent census and an evaluation of commercial, industrial, and other users.</w:t>
      </w:r>
    </w:p>
    <w:p>
      <w:pPr>
        <w:spacing w:before="0" w:after="0"/>
        <w:ind w:left="120"/>
        <w:jc w:val="both"/>
      </w:pPr>
      <w:r>
        <w:rPr>
          <w:rFonts w:ascii="Times New Roman" w:hAnsi="Times New Roman"/>
          <w:b/>
          <w:i w:val="false"/>
          <w:color w:val="000000"/>
          <w:sz w:val="22"/>
        </w:rPr>
        <w:t>567—81.5</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distribution system grades.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color w:val="000000"/>
          <w:sz w:val="22"/>
        </w:rPr>
        <w:t xml:space="preserve">Classifications. </w:t>
      </w:r>
      <w:r>
        <w:rPr>
          <w:rFonts w:ascii="Times New Roman" w:hAnsi="Times New Roman"/>
          <w:b w:val="false"/>
          <w:i w:val="false"/>
          <w:color w:val="000000"/>
          <w:sz w:val="22"/>
        </w:rPr>
        <w:t>The water distribution plant classifications are listed in the following table:</w:t>
      </w:r>
    </w:p>
    <w:p>
      <w:pPr>
        <w:spacing w:before="60" w:after="0"/>
        <w:ind w:left="120"/>
        <w:jc w:val="center"/>
      </w:pPr>
      <w:r>
        <w:rPr>
          <w:rFonts w:ascii="Times New Roman" w:hAnsi="Times New Roman"/>
          <w:b w:val="false"/>
          <w:i w:val="false"/>
          <w:color w:val="000000"/>
          <w:sz w:val="22"/>
        </w:rPr>
        <w:t>Water Distribution System Classifications*</w:t>
      </w:r>
    </w:p>
    <w:tbl>
      <w:tblPr>
        <w:tblW w:w="5000" w:type="pct"/>
        <w:tblCellSpacing w:w="0" w:type="auto"/>
        <w:tblBorders>
          <w:top w:val="none"/>
          <w:left w:val="none"/>
          <w:bottom w:val="none"/>
          <w:right w:val="none"/>
          <w:insideH w:val="none"/>
          <w:insideV w:val="none"/>
        </w:tblBorders>
        <w:tblLayout w:type="fixed"/>
      </w:tblPr>
      <w:tblGrid>
        <w:gridCol w:w="5942"/>
        <w:gridCol w:w="1206"/>
        <w:gridCol w:w="1416"/>
        <w:gridCol w:w="1416"/>
        <w:gridCol w:w="1209"/>
      </w:tblGrid>
      <w:tr>
        <w:trPr>
          <w:trHeight w:val="225" w:hRule="atLeast"/>
        </w:trPr>
        <w:tc>
          <w:tcPr>
            <w:tcW w:w="59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w:t>
            </w:r>
          </w:p>
        </w:tc>
      </w:tr>
      <w:tr>
        <w:trPr>
          <w:trHeight w:val="225" w:hRule="atLeast"/>
        </w:trPr>
        <w:tc>
          <w:tcPr>
            <w:tcW w:w="5942"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System Type</w:t>
            </w:r>
          </w:p>
          <w:p>
            <w:pPr>
              <w:spacing w:before="0" w:after="0"/>
              <w:ind w:left="160"/>
              <w:jc w:val="left"/>
            </w:pPr>
            <w:r>
              <w:rPr>
                <w:rFonts w:ascii="Times New Roman" w:hAnsi="Times New Roman"/>
                <w:b w:val="false"/>
                <w:i w:val="false"/>
                <w:color w:val="000000"/>
                <w:sz w:val="16"/>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Average Daily Pumpage in MGD</w:t>
            </w:r>
          </w:p>
        </w:tc>
      </w:tr>
      <w:tr>
        <w:trPr>
          <w:trHeight w:val="240" w:hRule="atLeast"/>
        </w:trPr>
        <w:tc>
          <w:tcPr>
            <w:tcW w:w="0" w:type="auto"/>
            <w:vMerge/>
            <w:tcBorders>
              <w:top w:val="nil"/>
              <w:bottom w:val="single" w:color="000000" w:sz="8"/>
              <w:right w:val="single" w:color="000000" w:sz="8"/>
            </w:tcBorders>
          </w:tcPr>
          <w:p/>
        </w:tc>
        <w:tc>
          <w:tcPr>
            <w:tcW w:w="120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w:t>
            </w:r>
          </w:p>
        </w:tc>
        <w:tc>
          <w:tcPr>
            <w:tcW w:w="14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&gt;0.1-1.5</w:t>
            </w:r>
          </w:p>
        </w:tc>
        <w:tc>
          <w:tcPr>
            <w:tcW w:w="14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&gt;1.5-5</w:t>
            </w:r>
          </w:p>
        </w:tc>
        <w:tc>
          <w:tcPr>
            <w:tcW w:w="1209"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&gt;5</w:t>
            </w:r>
          </w:p>
        </w:tc>
      </w:tr>
      <w:tr>
        <w:trPr>
          <w:trHeight w:val="240" w:hRule="atLeast"/>
        </w:trPr>
        <w:tc>
          <w:tcPr>
            <w:tcW w:w="59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municipal water systems</w:t>
            </w:r>
          </w:p>
        </w:tc>
        <w:tc>
          <w:tcPr>
            <w:tcW w:w="120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14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4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2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r>
        <w:trPr>
          <w:trHeight w:val="210" w:hRule="atLeast"/>
        </w:trPr>
        <w:tc>
          <w:tcPr>
            <w:tcW w:w="59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Community water systems not classified as a Grade A water system</w:t>
            </w:r>
          </w:p>
        </w:tc>
        <w:tc>
          <w:tcPr>
            <w:tcW w:w="120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14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4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2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r>
        <w:trPr>
          <w:trHeight w:val="390" w:hRule="atLeast"/>
        </w:trPr>
        <w:tc>
          <w:tcPr>
            <w:tcW w:w="59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Nontransient noncommunity water systems not classified as a Grade A water system</w:t>
            </w:r>
          </w:p>
        </w:tc>
        <w:tc>
          <w:tcPr>
            <w:tcW w:w="120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14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4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2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r>
        <w:trPr>
          <w:trHeight w:val="390" w:hRule="atLeast"/>
        </w:trPr>
        <w:tc>
          <w:tcPr>
            <w:tcW w:w="59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Transient noncommunity water systems not classified as a Grade A water system</w:t>
            </w:r>
          </w:p>
        </w:tc>
        <w:tc>
          <w:tcPr>
            <w:tcW w:w="120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w:t>
            </w:r>
          </w:p>
        </w:tc>
        <w:tc>
          <w:tcPr>
            <w:tcW w:w="1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II</w:t>
            </w:r>
          </w:p>
        </w:tc>
        <w:tc>
          <w:tcPr>
            <w:tcW w:w="1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III</w:t>
            </w:r>
          </w:p>
        </w:tc>
        <w:tc>
          <w:tcPr>
            <w:tcW w:w="12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IV</w:t>
            </w:r>
          </w:p>
        </w:tc>
      </w:tr>
      <w:tr>
        <w:trPr>
          <w:trHeight w:val="225" w:hRule="atLeast"/>
        </w:trPr>
        <w:tc>
          <w:tcPr>
            <w:tcW w:w="5942" w:type="dxa"/>
            <w:vMerge w:val="restart"/>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Rural water districts</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Miles of Pipe</w:t>
            </w:r>
          </w:p>
        </w:tc>
      </w:tr>
      <w:tr>
        <w:trPr>
          <w:trHeight w:val="405" w:hRule="atLeast"/>
        </w:trPr>
        <w:tc>
          <w:tcPr>
            <w:tcW w:w="0" w:type="auto"/>
            <w:vMerge/>
            <w:tcBorders>
              <w:top w:val="nil"/>
              <w:right w:val="single" w:color="000000" w:sz="8"/>
            </w:tcBorders>
          </w:tcPr>
          <w:p/>
        </w:tc>
        <w:tc>
          <w:tcPr>
            <w:tcW w:w="120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0-100</w:t>
            </w:r>
          </w:p>
        </w:tc>
        <w:tc>
          <w:tcPr>
            <w:tcW w:w="14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&gt;100-</w:t>
            </w:r>
          </w:p>
          <w:p>
            <w:pPr>
              <w:spacing w:before="0" w:after="0"/>
              <w:ind w:left="160"/>
              <w:jc w:val="center"/>
            </w:pPr>
            <w:r>
              <w:rPr>
                <w:rFonts w:ascii="Times New Roman" w:hAnsi="Times New Roman"/>
                <w:b w:val="false"/>
                <w:i w:val="false"/>
                <w:color w:val="000000"/>
                <w:sz w:val="16"/>
              </w:rPr>
              <w:t>1,000</w:t>
            </w:r>
          </w:p>
        </w:tc>
        <w:tc>
          <w:tcPr>
            <w:tcW w:w="14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&gt;1,000-</w:t>
            </w:r>
          </w:p>
          <w:p>
            <w:pPr>
              <w:spacing w:before="0" w:after="0"/>
              <w:ind w:left="160"/>
              <w:jc w:val="center"/>
            </w:pPr>
            <w:r>
              <w:rPr>
                <w:rFonts w:ascii="Times New Roman" w:hAnsi="Times New Roman"/>
                <w:b w:val="false"/>
                <w:i w:val="false"/>
                <w:color w:val="000000"/>
                <w:sz w:val="16"/>
              </w:rPr>
              <w:t>2,500</w:t>
            </w:r>
          </w:p>
        </w:tc>
        <w:tc>
          <w:tcPr>
            <w:tcW w:w="12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&gt;2,500</w:t>
            </w:r>
          </w:p>
        </w:tc>
      </w:tr>
      <w:tr>
        <w:trPr>
          <w:trHeight w:val="225" w:hRule="atLeast"/>
        </w:trPr>
        <w:tc>
          <w:tcPr>
            <w:tcW w:w="0" w:type="auto"/>
            <w:vMerge/>
            <w:tcBorders>
              <w:top w:val="nil"/>
              <w:right w:val="single" w:color="000000" w:sz="8"/>
            </w:tcBorders>
          </w:tcPr>
          <w:p/>
        </w:tc>
        <w:tc>
          <w:tcPr>
            <w:tcW w:w="120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4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4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2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bl>
    <w:p>
      <w:pPr>
        <w:spacing w:before="0" w:after="0"/>
        <w:ind w:left="120"/>
        <w:jc w:val="both"/>
      </w:pPr>
      <w:r>
        <w:rPr>
          <w:rFonts w:ascii="Times New Roman" w:hAnsi="Times New Roman"/>
          <w:b w:val="false"/>
          <w:i w:val="false"/>
          <w:color w:val="000000"/>
          <w:sz w:val="22"/>
        </w:rPr>
        <w:t>*Note: A public water system with a well, storage, and a distribution system shall be classified as a water distribution system if no treatment is provided.</w:t>
      </w:r>
    </w:p>
    <w:p>
      <w:pPr>
        <w:spacing w:before="0" w:after="0"/>
        <w:ind w:left="120"/>
        <w:jc w:val="both"/>
      </w:pPr>
      <w:r>
        <w:rPr>
          <w:rFonts w:ascii="Times New Roman" w:hAnsi="Times New Roman"/>
          <w:b w:val="false"/>
          <w:i w:val="false"/>
          <w:color w:val="000000"/>
          <w:sz w:val="22"/>
        </w:rPr>
        <w:t xml:space="preserve">**For Grade A water system classification, see subrule </w:t>
      </w:r>
      <w:hyperlink r:id="rId19">
        <w:r>
          <w:rPr>
            <w:rStyle w:val="Hyperlink"/>
            <w:rFonts w:ascii="Times New Roman" w:hAnsi="Times New Roman"/>
            <w:b w:val="false"/>
            <w:i w:val="false"/>
            <w:color w:val="000000"/>
            <w:sz w:val="22"/>
          </w:rPr>
          <w:t>81.6(1)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color w:val="000000"/>
          <w:sz w:val="22"/>
        </w:rPr>
        <w:t xml:space="preserve">Average daily pumpage. </w:t>
      </w:r>
      <w:r>
        <w:rPr>
          <w:rFonts w:ascii="Times New Roman" w:hAnsi="Times New Roman"/>
          <w:b w:val="false"/>
          <w:i w:val="false"/>
          <w:color w:val="000000"/>
          <w:sz w:val="22"/>
        </w:rPr>
        <w:t>When the average daily pumpage is unknown, the system grade will be determined from the population of the most recent census and an evaluation of commercial, industrial, and other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color w:val="000000"/>
          <w:sz w:val="22"/>
        </w:rPr>
        <w:t xml:space="preserve">IR certificate holders.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567—81.6</w:t>
      </w:r>
      <w:r>
        <w:rPr>
          <w:rFonts w:ascii="Times New Roman" w:hAnsi="Times New Roman"/>
          <w:b/>
          <w:i w:val="false"/>
          <w:color w:val="000000"/>
          <w:sz w:val="22"/>
        </w:rPr>
        <w:t xml:space="preserve">(455B) </w:t>
      </w:r>
      <w:r>
        <w:rPr>
          <w:rFonts w:ascii="Times New Roman" w:hAnsi="Times New Roman"/>
          <w:b/>
          <w:i w:val="false"/>
          <w:color w:val="000000"/>
          <w:sz w:val="22"/>
        </w:rPr>
        <w:t xml:space="preserve">Grade A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Grade A water system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water system. </w:t>
      </w:r>
      <w:r>
        <w:rPr>
          <w:rFonts w:ascii="Times New Roman" w:hAnsi="Times New Roman"/>
          <w:b w:val="false"/>
          <w:i w:val="false"/>
          <w:color w:val="000000"/>
          <w:sz w:val="22"/>
        </w:rPr>
        <w:t>A community water system, other than a municipal or rural water system, which serves a population of 250 persons or less and provides no treatment other than hypochlorination or treatment which does not require any chemical addition, process adjustment, backwashing or media regeneration by an operator shall be classified as a Grade A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Nontransient noncommunity water system. </w:t>
      </w:r>
      <w:r>
        <w:rPr>
          <w:rFonts w:ascii="Times New Roman" w:hAnsi="Times New Roman"/>
          <w:b w:val="false"/>
          <w:i w:val="false"/>
          <w:color w:val="000000"/>
          <w:sz w:val="22"/>
        </w:rPr>
        <w:t>A nontransient noncommunity water system which serves a population of 500 persons or less and provides no treatment other than hypochlorination or treatment which does not require any chemical addition, process adjustment, backwashing or media regeneration by an operator shall be classified as a Grade A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Transient noncommunity water system. </w:t>
      </w:r>
      <w:r>
        <w:rPr>
          <w:rFonts w:ascii="Times New Roman" w:hAnsi="Times New Roman"/>
          <w:b w:val="false"/>
          <w:i w:val="false"/>
          <w:color w:val="000000"/>
          <w:sz w:val="22"/>
        </w:rPr>
        <w:t>A transient noncommunity water system which serves a population of 500 or fewer persons and provides no treatment other than hypochlorination or treatment which does not require any chemical addition, process adjustment, backwashing or media regeneration by an operator shall be classified as a Grade A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requirements for Grade A water systems. </w:t>
      </w:r>
      <w:r>
        <w:rPr>
          <w:rFonts w:ascii="Times New Roman" w:hAnsi="Times New Roman"/>
          <w:b w:val="false"/>
          <w:i w:val="false"/>
          <w:color w:val="000000"/>
          <w:sz w:val="22"/>
        </w:rPr>
        <w:t>Any grade of water treatment certification will satisfy the certification requirements for a Grade A water system with hypochlorination. Any grade of water distribution certification will satisfy the certification requirements for a Grade A water system without hypochlorination.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567—81.7</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Operator education and experience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requirements. </w:t>
      </w:r>
      <w:r>
        <w:rPr>
          <w:rFonts w:ascii="Times New Roman" w:hAnsi="Times New Roman"/>
          <w:b w:val="false"/>
          <w:i w:val="false"/>
          <w:color w:val="000000"/>
          <w:sz w:val="22"/>
        </w:rPr>
        <w:t xml:space="preserve">All applicants shall meet the education and experience requirements for the grade of certificate shown in the table below prior to being allowed to take the examination. Experience shall be in the same classification for which the applicant is applying except that partial credit may be given in accordance with subrules </w:t>
      </w:r>
      <w:hyperlink r:id="rId20">
        <w:r>
          <w:rPr>
            <w:rStyle w:val="Hyperlink"/>
            <w:rFonts w:ascii="Times New Roman" w:hAnsi="Times New Roman"/>
            <w:b w:val="false"/>
            <w:i w:val="false"/>
            <w:color w:val="000000"/>
            <w:sz w:val="22"/>
          </w:rPr>
          <w:t>81.7(2)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81.7(3)</w:t>
        </w:r>
      </w:hyperlink>
      <w:r>
        <w:rPr>
          <w:rFonts w:ascii="Times New Roman" w:hAnsi="Times New Roman"/>
          <w:b w:val="false"/>
          <w:i w:val="false"/>
          <w:color w:val="000000"/>
          <w:sz w:val="22"/>
        </w:rPr>
        <w:t xml:space="preserve">. Directly related post-high school education shall be in the same subject matter as the classification in which the applicant is applying. The director will determine which courses qualify as “directly related” in cases which are not clearly defined. A military service applicant may apply for credit for verified military education, training, or service toward any education or experience requirement for certification, pursuant to subrule </w:t>
      </w:r>
      <w:hyperlink r:id="rId22">
        <w:r>
          <w:rPr>
            <w:rStyle w:val="Hyperlink"/>
            <w:rFonts w:ascii="Times New Roman" w:hAnsi="Times New Roman"/>
            <w:b w:val="false"/>
            <w:i w:val="false"/>
            <w:color w:val="000000"/>
            <w:sz w:val="22"/>
          </w:rPr>
          <w:t>81.7(4)</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val="false"/>
          <w:i w:val="false"/>
          <w:color w:val="000000"/>
          <w:sz w:val="22"/>
        </w:rPr>
        <w:t>Operator Education and Experience Qualifications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44"/>
        <w:gridCol w:w="2718"/>
        <w:gridCol w:w="1721"/>
        <w:gridCol w:w="2718"/>
        <w:gridCol w:w="2889"/>
      </w:tblGrid>
      <w:tr>
        <w:trPr>
          <w:trHeight w:val="420" w:hRule="atLeast"/>
        </w:trPr>
        <w:tc>
          <w:tcPr>
            <w:tcW w:w="1144"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Grade</w:t>
            </w:r>
          </w:p>
        </w:tc>
        <w:tc>
          <w:tcPr>
            <w:tcW w:w="2718"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Education</w:t>
            </w:r>
          </w:p>
        </w:tc>
        <w:tc>
          <w:tcPr>
            <w:tcW w:w="1721" w:type="dxa"/>
            <w:tcBorders>
              <w:bottom w:val="doub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Substitution for</w:t>
            </w:r>
          </w:p>
          <w:p>
            <w:pPr>
              <w:spacing w:before="0" w:after="0"/>
              <w:ind w:left="160"/>
              <w:jc w:val="center"/>
            </w:pPr>
            <w:r>
              <w:rPr>
                <w:rFonts w:ascii="Times New Roman" w:hAnsi="Times New Roman"/>
                <w:b w:val="false"/>
                <w:i w:val="false"/>
                <w:color w:val="000000"/>
                <w:sz w:val="16"/>
              </w:rPr>
              <w:t>Education</w:t>
            </w:r>
          </w:p>
        </w:tc>
        <w:tc>
          <w:tcPr>
            <w:tcW w:w="2718"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Experience</w:t>
            </w:r>
          </w:p>
        </w:tc>
        <w:tc>
          <w:tcPr>
            <w:tcW w:w="2889"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Substitution for Experience</w:t>
            </w:r>
          </w:p>
        </w:tc>
      </w:tr>
      <w:tr>
        <w:trPr>
          <w:trHeight w:val="555" w:hRule="atLeast"/>
        </w:trPr>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school diploma or GED</w:t>
            </w:r>
          </w:p>
        </w:tc>
        <w:tc>
          <w:tcPr>
            <w:tcW w:w="17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Completion of an IDNR-approved training course</w:t>
            </w:r>
          </w:p>
        </w:tc>
        <w:tc>
          <w:tcPr>
            <w:tcW w:w="28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r>
      <w:tr>
        <w:trPr>
          <w:trHeight w:val="405" w:hRule="atLeast"/>
        </w:trPr>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W</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school diploma or GED</w:t>
            </w:r>
          </w:p>
        </w:tc>
        <w:tc>
          <w:tcPr>
            <w:tcW w:w="17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Completion of an IDNR-approved training course</w:t>
            </w:r>
          </w:p>
        </w:tc>
        <w:tc>
          <w:tcPr>
            <w:tcW w:w="28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r>
      <w:tr>
        <w:trPr>
          <w:trHeight w:val="405" w:hRule="atLeast"/>
        </w:trPr>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school diploma or GED</w:t>
            </w:r>
          </w:p>
        </w:tc>
        <w:tc>
          <w:tcPr>
            <w:tcW w:w="17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year</w:t>
            </w:r>
          </w:p>
        </w:tc>
        <w:tc>
          <w:tcPr>
            <w:tcW w:w="288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See </w:t>
            </w:r>
            <w:hyperlink r:id="rId23">
              <w:r>
                <w:rPr>
                  <w:rStyle w:val="Hyperlink"/>
                  <w:rFonts w:ascii="Times New Roman" w:hAnsi="Times New Roman"/>
                  <w:b w:val="false"/>
                  <w:i w:val="false"/>
                  <w:color w:val="000000"/>
                  <w:sz w:val="16"/>
                </w:rPr>
                <w:t>81.7(3)</w:t>
              </w:r>
              <w:r>
                <w:rPr>
                  <w:rFonts w:ascii="Times New Roman" w:hAnsi="Times New Roman"/>
                  <w:b w:val="false"/>
                  <w:i/>
                  <w:color w:val="000000"/>
                  <w:sz w:val="16"/>
                </w:rPr>
                <w:t>“b”</w:t>
              </w:r>
              <w:r>
                <w:rPr>
                  <w:rFonts w:ascii="Times New Roman" w:hAnsi="Times New Roman"/>
                  <w:b w:val="false"/>
                  <w:i w:val="false"/>
                  <w:color w:val="000000"/>
                  <w:sz w:val="16"/>
                </w:rPr>
                <w:t>(1)</w:t>
              </w:r>
            </w:hyperlink>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(3) to (5)</w:t>
            </w:r>
          </w:p>
        </w:tc>
      </w:tr>
      <w:tr>
        <w:trPr>
          <w:trHeight w:val="405" w:hRule="atLeast"/>
        </w:trPr>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IL</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school diploma or GED</w:t>
            </w:r>
          </w:p>
        </w:tc>
        <w:tc>
          <w:tcPr>
            <w:tcW w:w="17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year</w:t>
            </w:r>
          </w:p>
        </w:tc>
        <w:tc>
          <w:tcPr>
            <w:tcW w:w="288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See </w:t>
            </w:r>
            <w:hyperlink r:id="rId24">
              <w:r>
                <w:rPr>
                  <w:rStyle w:val="Hyperlink"/>
                  <w:rFonts w:ascii="Times New Roman" w:hAnsi="Times New Roman"/>
                  <w:b w:val="false"/>
                  <w:i w:val="false"/>
                  <w:color w:val="000000"/>
                  <w:sz w:val="16"/>
                </w:rPr>
                <w:t>81.7(3)</w:t>
              </w:r>
              <w:r>
                <w:rPr>
                  <w:rFonts w:ascii="Times New Roman" w:hAnsi="Times New Roman"/>
                  <w:b w:val="false"/>
                  <w:i/>
                  <w:color w:val="000000"/>
                  <w:sz w:val="16"/>
                </w:rPr>
                <w:t>“b”</w:t>
              </w:r>
              <w:r>
                <w:rPr>
                  <w:rFonts w:ascii="Times New Roman" w:hAnsi="Times New Roman"/>
                  <w:b w:val="false"/>
                  <w:i w:val="false"/>
                  <w:color w:val="000000"/>
                  <w:sz w:val="16"/>
                </w:rPr>
                <w:t>(1)</w:t>
              </w:r>
            </w:hyperlink>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(3) to (5)</w:t>
            </w:r>
          </w:p>
        </w:tc>
      </w:tr>
      <w:tr>
        <w:trPr>
          <w:trHeight w:val="405" w:hRule="atLeast"/>
        </w:trPr>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school diploma or GED</w:t>
            </w:r>
          </w:p>
        </w:tc>
        <w:tc>
          <w:tcPr>
            <w:tcW w:w="17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88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See </w:t>
            </w:r>
            <w:hyperlink r:id="rId25">
              <w:r>
                <w:rPr>
                  <w:rStyle w:val="Hyperlink"/>
                  <w:rFonts w:ascii="Times New Roman" w:hAnsi="Times New Roman"/>
                  <w:b w:val="false"/>
                  <w:i w:val="false"/>
                  <w:color w:val="000000"/>
                  <w:sz w:val="16"/>
                </w:rPr>
                <w:t>81.7(3)</w:t>
              </w:r>
              <w:r>
                <w:rPr>
                  <w:rFonts w:ascii="Times New Roman" w:hAnsi="Times New Roman"/>
                  <w:b w:val="false"/>
                  <w:i/>
                  <w:color w:val="000000"/>
                  <w:sz w:val="16"/>
                </w:rPr>
                <w:t>“b”</w:t>
              </w:r>
              <w:r>
                <w:rPr>
                  <w:rFonts w:ascii="Times New Roman" w:hAnsi="Times New Roman"/>
                  <w:b w:val="false"/>
                  <w:i w:val="false"/>
                  <w:color w:val="000000"/>
                  <w:sz w:val="16"/>
                </w:rPr>
                <w:t>(2)</w:t>
              </w:r>
            </w:hyperlink>
          </w:p>
          <w:p>
            <w:pPr>
              <w:spacing w:before="0" w:after="0"/>
              <w:ind w:left="160"/>
              <w:jc w:val="left"/>
            </w:pPr>
            <w:r>
              <w:rPr>
                <w:rFonts w:ascii="Times New Roman" w:hAnsi="Times New Roman"/>
                <w:b w:val="false"/>
                <w:i w:val="false"/>
                <w:color w:val="000000"/>
                <w:sz w:val="16"/>
              </w:rPr>
              <w:t>to (5)</w:t>
            </w:r>
          </w:p>
        </w:tc>
      </w:tr>
      <w:tr>
        <w:trPr>
          <w:trHeight w:val="765" w:hRule="atLeast"/>
        </w:trPr>
        <w:tc>
          <w:tcPr>
            <w:tcW w:w="11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school diploma or GED and 2 years of post-high school education (1 year must be directly related)</w:t>
            </w:r>
          </w:p>
        </w:tc>
        <w:tc>
          <w:tcPr>
            <w:tcW w:w="172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See </w:t>
            </w:r>
            <w:hyperlink r:id="rId26">
              <w:r>
                <w:rPr>
                  <w:rStyle w:val="Hyperlink"/>
                  <w:rFonts w:ascii="Times New Roman" w:hAnsi="Times New Roman"/>
                  <w:b w:val="false"/>
                  <w:i w:val="false"/>
                  <w:color w:val="000000"/>
                  <w:sz w:val="16"/>
                </w:rPr>
                <w:t>81.7(3)</w:t>
              </w:r>
            </w:hyperlink>
            <w:r>
              <w:rPr>
                <w:rFonts w:ascii="Times New Roman" w:hAnsi="Times New Roman"/>
                <w:b w:val="false"/>
                <w:i/>
                <w:color w:val="000000"/>
                <w:sz w:val="16"/>
              </w:rPr>
              <w:t>“a”</w:t>
            </w:r>
          </w:p>
          <w:p>
            <w:pPr>
              <w:spacing w:before="0" w:after="0"/>
              <w:ind w:left="160"/>
              <w:jc w:val="center"/>
            </w:pPr>
            <w:r>
              <w:rPr>
                <w:rFonts w:ascii="Times New Roman" w:hAnsi="Times New Roman"/>
                <w:b w:val="false"/>
                <w:i w:val="false"/>
                <w:color w:val="000000"/>
                <w:sz w:val="16"/>
              </w:rPr>
              <w:t>(1), (3)</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years of experience in a Grade I or higher</w:t>
            </w:r>
          </w:p>
        </w:tc>
        <w:tc>
          <w:tcPr>
            <w:tcW w:w="28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w:t>
            </w:r>
            <w:hyperlink r:id="rId27">
              <w:r>
                <w:rPr>
                  <w:rStyle w:val="Hyperlink"/>
                  <w:rFonts w:ascii="Times New Roman" w:hAnsi="Times New Roman"/>
                  <w:b w:val="false"/>
                  <w:i w:val="false"/>
                  <w:color w:val="000000"/>
                  <w:sz w:val="16"/>
                </w:rPr>
                <w:t>81.7(3)</w:t>
              </w:r>
              <w:r>
                <w:rPr>
                  <w:rFonts w:ascii="Times New Roman" w:hAnsi="Times New Roman"/>
                  <w:b w:val="false"/>
                  <w:i/>
                  <w:color w:val="000000"/>
                  <w:sz w:val="16"/>
                </w:rPr>
                <w:t>“b”</w:t>
              </w:r>
              <w:r>
                <w:rPr>
                  <w:rFonts w:ascii="Times New Roman" w:hAnsi="Times New Roman"/>
                  <w:b w:val="false"/>
                  <w:i w:val="false"/>
                  <w:color w:val="000000"/>
                  <w:sz w:val="16"/>
                </w:rPr>
                <w:t>(2),</w:t>
              </w:r>
            </w:hyperlink>
            <w:r>
              <w:rPr>
                <w:rFonts w:ascii="Times New Roman" w:hAnsi="Times New Roman"/>
                <w:b w:val="false"/>
                <w:i w:val="false"/>
                <w:color w:val="000000"/>
                <w:sz w:val="16"/>
              </w:rPr>
              <w:t xml:space="preserve"> (3)</w:t>
            </w:r>
          </w:p>
        </w:tc>
      </w:tr>
      <w:tr>
        <w:trPr>
          <w:trHeight w:val="765" w:hRule="atLeast"/>
        </w:trPr>
        <w:tc>
          <w:tcPr>
            <w:tcW w:w="11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c>
          <w:tcPr>
            <w:tcW w:w="271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school diploma or GED and 4 years of post-high school education (2 years must be directly related)</w:t>
            </w:r>
          </w:p>
        </w:tc>
        <w:tc>
          <w:tcPr>
            <w:tcW w:w="1721"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See </w:t>
            </w:r>
            <w:hyperlink r:id="rId28">
              <w:r>
                <w:rPr>
                  <w:rStyle w:val="Hyperlink"/>
                  <w:rFonts w:ascii="Times New Roman" w:hAnsi="Times New Roman"/>
                  <w:b w:val="false"/>
                  <w:i w:val="false"/>
                  <w:color w:val="000000"/>
                  <w:sz w:val="16"/>
                </w:rPr>
                <w:t>81.7(3)</w:t>
              </w:r>
            </w:hyperlink>
            <w:r>
              <w:rPr>
                <w:rFonts w:ascii="Times New Roman" w:hAnsi="Times New Roman"/>
                <w:b w:val="false"/>
                <w:i/>
                <w:color w:val="000000"/>
                <w:sz w:val="16"/>
              </w:rPr>
              <w:t>“a”</w:t>
            </w:r>
          </w:p>
          <w:p>
            <w:pPr>
              <w:spacing w:before="0" w:after="0"/>
              <w:ind w:left="160"/>
              <w:jc w:val="center"/>
            </w:pPr>
            <w:r>
              <w:rPr>
                <w:rFonts w:ascii="Times New Roman" w:hAnsi="Times New Roman"/>
                <w:b w:val="false"/>
                <w:i w:val="false"/>
                <w:color w:val="000000"/>
                <w:sz w:val="16"/>
              </w:rPr>
              <w:t>(2), (3)</w:t>
            </w:r>
          </w:p>
        </w:tc>
        <w:tc>
          <w:tcPr>
            <w:tcW w:w="271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years of experience including 2 years of DRC in a Grade III or higher</w:t>
            </w:r>
          </w:p>
        </w:tc>
        <w:tc>
          <w:tcPr>
            <w:tcW w:w="2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w:t>
            </w:r>
            <w:hyperlink r:id="rId29">
              <w:r>
                <w:rPr>
                  <w:rStyle w:val="Hyperlink"/>
                  <w:rFonts w:ascii="Times New Roman" w:hAnsi="Times New Roman"/>
                  <w:b w:val="false"/>
                  <w:i w:val="false"/>
                  <w:color w:val="000000"/>
                  <w:sz w:val="16"/>
                </w:rPr>
                <w:t>81.7(3)</w:t>
              </w:r>
              <w:r>
                <w:rPr>
                  <w:rFonts w:ascii="Times New Roman" w:hAnsi="Times New Roman"/>
                  <w:b w:val="false"/>
                  <w:i/>
                  <w:color w:val="000000"/>
                  <w:sz w:val="16"/>
                </w:rPr>
                <w:t>“b”</w:t>
              </w:r>
              <w:r>
                <w:rPr>
                  <w:rFonts w:ascii="Times New Roman" w:hAnsi="Times New Roman"/>
                  <w:b w:val="false"/>
                  <w:i w:val="false"/>
                  <w:color w:val="000000"/>
                  <w:sz w:val="16"/>
                </w:rPr>
                <w:t>(2)</w:t>
              </w:r>
            </w:hyperlink>
            <w:r>
              <w:rPr>
                <w:rFonts w:ascii="Times New Roman" w:hAnsi="Times New Roman"/>
                <w:b w:val="false"/>
                <w:i w:val="false"/>
                <w:color w:val="000000"/>
                <w:sz w:val="16"/>
              </w:rPr>
              <w:t xml:space="preserve">, (3) and </w:t>
            </w:r>
            <w:hyperlink r:id="rId30">
              <w:r>
                <w:rPr>
                  <w:rStyle w:val="Hyperlink"/>
                  <w:rFonts w:ascii="Times New Roman" w:hAnsi="Times New Roman"/>
                  <w:b w:val="false"/>
                  <w:i w:val="false"/>
                  <w:color w:val="000000"/>
                  <w:sz w:val="16"/>
                </w:rPr>
                <w:t>81.7(3)</w:t>
              </w:r>
              <w:r>
                <w:rPr>
                  <w:rFonts w:ascii="Times New Roman" w:hAnsi="Times New Roman"/>
                  <w:b w:val="false"/>
                  <w:i/>
                  <w:color w:val="000000"/>
                  <w:sz w:val="16"/>
                </w:rPr>
                <w:t>“c”</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color w:val="000000"/>
          <w:sz w:val="22"/>
        </w:rPr>
        <w:t xml:space="preserve">Related work experience. </w:t>
      </w:r>
      <w:r>
        <w:rPr>
          <w:rFonts w:ascii="Times New Roman" w:hAnsi="Times New Roman"/>
          <w:b w:val="false"/>
          <w:i w:val="false"/>
          <w:color w:val="000000"/>
          <w:sz w:val="22"/>
        </w:rPr>
        <w:t>The following substitutions of related work experience for operating experience requirements may be accepted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Laboratory personnel. </w:t>
      </w:r>
      <w:r>
        <w:rPr>
          <w:rFonts w:ascii="Times New Roman" w:hAnsi="Times New Roman"/>
          <w:b w:val="false"/>
          <w:i w:val="false"/>
          <w:color w:val="000000"/>
          <w:sz w:val="22"/>
        </w:rPr>
        <w:t>Laboratory personnel employed in water or wastewater treatment plants may be allowed 50 percent credit for work experience toward meeting the operating experience requirements for Grades I and II certification only. Laboratory experience must be in the same classification for which the applicant is applying.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Oversight personnel. </w:t>
      </w:r>
      <w:r>
        <w:rPr>
          <w:rFonts w:ascii="Times New Roman" w:hAnsi="Times New Roman"/>
          <w:b w:val="false"/>
          <w:i w:val="false"/>
          <w:color w:val="000000"/>
          <w:sz w:val="22"/>
        </w:rPr>
        <w:t>Personnel with experience in on-site operation review and evaluation of plants and distribution systems may be allowed 50 percent credit for on-site work experience toward meeting the operating experience requirements for Grades I and II certification only. On-site experience must be in the same classification for which the applicant is applying.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Maintenance personnel. </w:t>
      </w:r>
      <w:r>
        <w:rPr>
          <w:rFonts w:ascii="Times New Roman" w:hAnsi="Times New Roman"/>
          <w:b w:val="false"/>
          <w:i w:val="false"/>
          <w:color w:val="000000"/>
          <w:sz w:val="22"/>
        </w:rPr>
        <w:t>Maintenance personnel employed in water or wastewater treatment plants may be allowed 50 percent credit for work experience toward meeting the operating experience requirements for Grades I and II certification only. Maintenance experience may be applied either to the water or to the wastewater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Certified water treatment operators may be allowed 50 percent credit for work experience toward meeting the operating experience requirements for Grades I and II wastewater treatment certification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wastewater treatment operators may be allowed 50 percent credit for work experience toward meeting the operating experience requirements for Grades I and II water treatment certification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water treatment operators may be allowed 50 percent credit for work experience toward meeting the operating experience requirements for Grades I and II water distribution certification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Certified water distribution operators may be allowed 50 percent credit for work experience toward meeting the operating experience requirements for Grades I and II water treatment certification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The portion of related work experience that is substituted for operating experience cannot also be used to substitute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81.7(3)</w:t>
      </w:r>
      <w:r>
        <w:rPr>
          <w:rFonts w:ascii="Times New Roman" w:hAnsi="Times New Roman"/>
          <w:b w:val="false"/>
          <w:i w:val="false"/>
          <w:color w:val="000000"/>
          <w:sz w:val="22"/>
        </w:rPr>
        <w:t> </w:t>
      </w:r>
      <w:r>
        <w:rPr>
          <w:rFonts w:ascii="Times New Roman" w:hAnsi="Times New Roman"/>
          <w:b w:val="false"/>
          <w:i/>
          <w:color w:val="000000"/>
          <w:sz w:val="22"/>
        </w:rPr>
        <w:t xml:space="preserve">Experience and education substitutions. </w:t>
      </w:r>
      <w:r>
        <w:rPr>
          <w:rFonts w:ascii="Times New Roman" w:hAnsi="Times New Roman"/>
          <w:b w:val="false"/>
          <w:i w:val="false"/>
          <w:color w:val="000000"/>
          <w:sz w:val="22"/>
        </w:rPr>
        <w:t>The following substitutions for experience or education may be accepted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experience for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operating experience in a Grade II or higher position may be substituted for one year of post-high school education for Grade III certification up to one-half of the post-high school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year of operating experience in a Grade III or higher position may be substituted for one year of post-high school education for Grade IV certification up to one-half of the post-high school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Two years of direct responsible charge experience in a Grade III or higher position may be substituted for one year of directly related post-high school education for Grade IV certification up to three-fourths of the post-high school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portion of experience which is applied toward substitution for education cannot also be used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Substitutions of education for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semester hours or three quarter hours or three CEUs of directly related post-high school education may be substituted for one-half the experience requirement for Grades I and 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Thirty semester hours or 45 quarter hours or 45 CEUs of post-high school education may be substituted for one year of experience up to a maximum of one-half the experience requirement for Grades II, III and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portion of education which is applied toward substitution for experience cannot also be used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Class hours involving closely supervised on-the-job type training in a pilot or full-scale facility where there are clearly defined educational objectives may be applied to the on-the-job experience requirement. The substitution value of such training shall be applicable only toward obtaining a Grade I and Grade II certification and shall not exceed one-half year of on-the-job experience. One hour of on-the-job training is equivalent to three hours of on-the-job experience. One month of on-the-job training consists of 20 eight-hour days. Credit for on-the-job training may be applied only to the examination for the type of system in which the experience was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portion of on-the-job training courses which is applied toward substitution for the on-the-job experience requirement cannot also be used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education for direct responsible charge experience. </w:t>
      </w:r>
      <w:r>
        <w:rPr>
          <w:rFonts w:ascii="Times New Roman" w:hAnsi="Times New Roman"/>
          <w:b w:val="false"/>
          <w:i w:val="false"/>
          <w:color w:val="000000"/>
          <w:sz w:val="22"/>
        </w:rPr>
        <w:t>Thirty semester hours or 45 quarter hours or 45 CEUs of directly related post-high school education may be substituted for one year of direct responsible charge experience up to one-half the requirement for Grade IV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81.7(4)</w:t>
      </w:r>
      <w:r>
        <w:rPr>
          <w:rFonts w:ascii="Times New Roman" w:hAnsi="Times New Roman"/>
          <w:b w:val="false"/>
          <w:i w:val="false"/>
          <w:color w:val="000000"/>
          <w:sz w:val="22"/>
        </w:rPr>
        <w:t> </w:t>
      </w:r>
      <w:r>
        <w:rPr>
          <w:rFonts w:ascii="Times New Roman" w:hAnsi="Times New Roman"/>
          <w:b w:val="false"/>
          <w:i/>
          <w:color w:val="000000"/>
          <w:sz w:val="22"/>
        </w:rPr>
        <w:t xml:space="preserve">Military education, training, and service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the experience or education certification requirements for which the credit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part of the examination application pursuant to subrule </w:t>
      </w:r>
      <w:hyperlink r:id="rId31">
        <w:r>
          <w:rPr>
            <w:rStyle w:val="Hyperlink"/>
            <w:rFonts w:ascii="Times New Roman" w:hAnsi="Times New Roman"/>
            <w:b w:val="false"/>
            <w:i w:val="false"/>
            <w:color w:val="000000"/>
            <w:sz w:val="22"/>
          </w:rPr>
          <w:t>81.9(1)</w:t>
        </w:r>
      </w:hyperlink>
      <w:r>
        <w:rPr>
          <w:rFonts w:ascii="Times New Roman" w:hAnsi="Times New Roman"/>
          <w:b w:val="false"/>
          <w:i w:val="false"/>
          <w:color w:val="000000"/>
          <w:sz w:val="22"/>
        </w:rPr>
        <w:t>, 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1911C</w:t>
      </w:r>
      <w:r>
        <w:rPr>
          <w:rFonts w:ascii="Times New Roman" w:hAnsi="Times New Roman"/>
          <w:b w:val="false"/>
          <w:i w:val="false"/>
          <w:color w:val="000000"/>
          <w:sz w:val="16"/>
        </w:rPr>
        <w:t>, IAB 3/18/15, effective 4/22/15</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6193C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567—81.8</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and examination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color w:val="000000"/>
          <w:sz w:val="22"/>
        </w:rPr>
        <w:t xml:space="preserve">Examination fee. </w:t>
      </w:r>
      <w:r>
        <w:rPr>
          <w:rFonts w:ascii="Times New Roman" w:hAnsi="Times New Roman"/>
          <w:b w:val="false"/>
          <w:i w:val="false"/>
          <w:color w:val="000000"/>
          <w:sz w:val="22"/>
        </w:rPr>
        <w:t>The examination fee for each examination shall be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color w:val="000000"/>
          <w:sz w:val="22"/>
        </w:rPr>
        <w:t xml:space="preserve">Oral examination fee.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4/11/18</w:t>
      </w:r>
      <w:r>
        <w:rPr>
          <w:rFonts w:ascii="Times New Roman" w:hAnsi="Times New Roman"/>
          <w:b w:val="false"/>
          <w:i w:val="false"/>
          <w:color w:val="000000"/>
          <w:sz w:val="22"/>
        </w:rPr>
        <w:t>, effective 5/16/18.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81.8(3)</w:t>
      </w:r>
      <w:r>
        <w:rPr>
          <w:rFonts w:ascii="Times New Roman" w:hAnsi="Times New Roman"/>
          <w:b w:val="false"/>
          <w:i w:val="false"/>
          <w:color w:val="000000"/>
          <w:sz w:val="22"/>
        </w:rPr>
        <w:t> </w:t>
      </w:r>
      <w:r>
        <w:rPr>
          <w:rFonts w:ascii="Times New Roman" w:hAnsi="Times New Roman"/>
          <w:b w:val="false"/>
          <w:i/>
          <w:color w:val="000000"/>
          <w:sz w:val="22"/>
        </w:rPr>
        <w:t xml:space="preserve">Reciprocity application fee. </w:t>
      </w:r>
      <w:r>
        <w:rPr>
          <w:rFonts w:ascii="Times New Roman" w:hAnsi="Times New Roman"/>
          <w:b w:val="false"/>
          <w:i w:val="false"/>
          <w:color w:val="000000"/>
          <w:sz w:val="22"/>
        </w:rPr>
        <w:t>The reciprocity application fee for each type of classification shall be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81.8(4)</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 </w:t>
      </w:r>
      <w:r>
        <w:rPr>
          <w:rFonts w:ascii="Times New Roman" w:hAnsi="Times New Roman"/>
          <w:b w:val="false"/>
          <w:i w:val="false"/>
          <w:color w:val="000000"/>
          <w:sz w:val="22"/>
        </w:rPr>
        <w:t>The certification fee shall be $20 for each one-half year of a two-year period from the date of issuance to June 30 of odd-numbered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81.8(5)</w:t>
      </w:r>
      <w:r>
        <w:rPr>
          <w:rFonts w:ascii="Times New Roman" w:hAnsi="Times New Roman"/>
          <w:b w:val="false"/>
          <w:i w:val="false"/>
          <w:color w:val="000000"/>
          <w:sz w:val="22"/>
        </w:rPr>
        <w:t> </w:t>
      </w:r>
      <w:r>
        <w:rPr>
          <w:rFonts w:ascii="Times New Roman" w:hAnsi="Times New Roman"/>
          <w:b w:val="false"/>
          <w:i/>
          <w:color w:val="000000"/>
          <w:sz w:val="22"/>
        </w:rPr>
        <w:t xml:space="preserve">Renewal fee. </w:t>
      </w:r>
      <w:r>
        <w:rPr>
          <w:rFonts w:ascii="Times New Roman" w:hAnsi="Times New Roman"/>
          <w:b w:val="false"/>
          <w:i w:val="false"/>
          <w:color w:val="000000"/>
          <w:sz w:val="22"/>
        </w:rPr>
        <w:t>The certification renewal fee shall be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81.8(6)</w:t>
      </w:r>
      <w:r>
        <w:rPr>
          <w:rFonts w:ascii="Times New Roman" w:hAnsi="Times New Roman"/>
          <w:b w:val="false"/>
          <w:i w:val="false"/>
          <w:color w:val="000000"/>
          <w:sz w:val="22"/>
        </w:rPr>
        <w:t> </w:t>
      </w:r>
      <w:r>
        <w:rPr>
          <w:rFonts w:ascii="Times New Roman" w:hAnsi="Times New Roman"/>
          <w:b w:val="false"/>
          <w:i/>
          <w:color w:val="000000"/>
          <w:sz w:val="22"/>
        </w:rPr>
        <w:t xml:space="preserve">Penalty fee. </w:t>
      </w:r>
      <w:r>
        <w:rPr>
          <w:rFonts w:ascii="Times New Roman" w:hAnsi="Times New Roman"/>
          <w:b w:val="false"/>
          <w:i w:val="false"/>
          <w:color w:val="000000"/>
          <w:sz w:val="22"/>
        </w:rPr>
        <w:t>The certification and renewal penalty fee shall be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81.8(7)</w:t>
      </w:r>
      <w:r>
        <w:rPr>
          <w:rFonts w:ascii="Times New Roman" w:hAnsi="Times New Roman"/>
          <w:b w:val="false"/>
          <w:i w:val="false"/>
          <w:color w:val="000000"/>
          <w:sz w:val="22"/>
        </w:rPr>
        <w:t> </w:t>
      </w:r>
      <w:r>
        <w:rPr>
          <w:rFonts w:ascii="Times New Roman" w:hAnsi="Times New Roman"/>
          <w:b w:val="false"/>
          <w:i/>
          <w:color w:val="000000"/>
          <w:sz w:val="22"/>
        </w:rPr>
        <w:t xml:space="preserve">Duplicate certificate fee. </w:t>
      </w:r>
      <w:r>
        <w:rPr>
          <w:rFonts w:ascii="Times New Roman" w:hAnsi="Times New Roman"/>
          <w:b w:val="false"/>
          <w:i w:val="false"/>
          <w:color w:val="000000"/>
          <w:sz w:val="22"/>
        </w:rPr>
        <w:t>The duplicate certificate fee shall be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81.8(8)</w:t>
      </w:r>
      <w:r>
        <w:rPr>
          <w:rFonts w:ascii="Times New Roman" w:hAnsi="Times New Roman"/>
          <w:b w:val="false"/>
          <w:i w:val="false"/>
          <w:color w:val="000000"/>
          <w:sz w:val="22"/>
        </w:rPr>
        <w:t> </w:t>
      </w:r>
      <w:r>
        <w:rPr>
          <w:rFonts w:ascii="Times New Roman" w:hAnsi="Times New Roman"/>
          <w:b w:val="false"/>
          <w:i/>
          <w:color w:val="000000"/>
          <w:sz w:val="22"/>
        </w:rPr>
        <w:t xml:space="preserve">Temporary certificate fee. </w:t>
      </w:r>
      <w:r>
        <w:rPr>
          <w:rFonts w:ascii="Times New Roman" w:hAnsi="Times New Roman"/>
          <w:b w:val="false"/>
          <w:i w:val="false"/>
          <w:color w:val="000000"/>
          <w:sz w:val="22"/>
        </w:rPr>
        <w:t>The temporary certificate fee shall be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81.8(9)</w:t>
      </w:r>
      <w:r>
        <w:rPr>
          <w:rFonts w:ascii="Times New Roman" w:hAnsi="Times New Roman"/>
          <w:b w:val="false"/>
          <w:i w:val="false"/>
          <w:color w:val="000000"/>
          <w:sz w:val="22"/>
        </w:rPr>
        <w:t> </w:t>
      </w:r>
      <w:r>
        <w:rPr>
          <w:rFonts w:ascii="Times New Roman" w:hAnsi="Times New Roman"/>
          <w:b w:val="false"/>
          <w:i/>
          <w:color w:val="000000"/>
          <w:sz w:val="22"/>
        </w:rPr>
        <w:t xml:space="preserve">Fee adjustments. </w:t>
      </w:r>
      <w:r>
        <w:rPr>
          <w:rFonts w:ascii="Times New Roman" w:hAnsi="Times New Roman"/>
          <w:b w:val="false"/>
          <w:i w:val="false"/>
          <w:color w:val="000000"/>
          <w:sz w:val="22"/>
        </w:rPr>
        <w:t xml:space="preserve">The department may adjust the fees annually by up to plus or minus 20 percent to cover costs of administering and enforcing these rules and reimbursement for other expenses relating to operator certification. The environmental protection commission must approve any fee increases above those listed in </w:t>
      </w:r>
      <w:hyperlink r:id="rId32">
        <w:r>
          <w:rPr>
            <w:rStyle w:val="Hyperlink"/>
            <w:rFonts w:ascii="Times New Roman" w:hAnsi="Times New Roman"/>
            <w:b w:val="false"/>
            <w:i w:val="false"/>
            <w:color w:val="000000"/>
            <w:sz w:val="22"/>
          </w:rPr>
          <w:t>81.8(1)</w:t>
        </w:r>
      </w:hyperlink>
      <w:r>
        <w:rPr>
          <w:rFonts w:ascii="Times New Roman" w:hAnsi="Times New Roman"/>
          <w:b w:val="false"/>
          <w:i w:val="false"/>
          <w:color w:val="000000"/>
          <w:sz w:val="22"/>
        </w:rPr>
        <w:t xml:space="preserve"> through </w:t>
      </w:r>
      <w:hyperlink r:id="rId33">
        <w:r>
          <w:rPr>
            <w:rStyle w:val="Hyperlink"/>
            <w:rFonts w:ascii="Times New Roman" w:hAnsi="Times New Roman"/>
            <w:b w:val="false"/>
            <w:i w:val="false"/>
            <w:color w:val="000000"/>
            <w:sz w:val="22"/>
          </w:rPr>
          <w:t>81.8(8)</w:t>
        </w:r>
      </w:hyperlink>
      <w:r>
        <w:rPr>
          <w:rFonts w:ascii="Times New Roman" w:hAnsi="Times New Roman"/>
          <w:b w:val="false"/>
          <w:i w:val="false"/>
          <w:color w:val="000000"/>
          <w:sz w:val="22"/>
        </w:rPr>
        <w:t>. All fees collected shall be retained by the department for administration of the operator certification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567—81.9</w:t>
      </w:r>
      <w:r>
        <w:rPr>
          <w:rFonts w:ascii="Times New Roman" w:hAnsi="Times New Roman"/>
          <w:b/>
          <w:i w:val="false"/>
          <w:color w:val="000000"/>
          <w:sz w:val="22"/>
        </w:rPr>
        <w:t xml:space="preserve">(455B) </w:t>
      </w:r>
      <w:r>
        <w:rPr>
          <w:rFonts w:ascii="Times New Roman" w:hAnsi="Times New Roman"/>
          <w:b/>
          <w:i w:val="false"/>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81.9(1)</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w:t>
      </w:r>
      <w:r>
        <w:rPr>
          <w:rFonts w:ascii="Times New Roman" w:hAnsi="Times New Roman"/>
          <w:b w:val="false"/>
          <w:i w:val="false"/>
          <w:color w:val="000000"/>
          <w:sz w:val="22"/>
        </w:rPr>
        <w:t>All persons wishing to take the examination required to become a certified operator of a wastewater or water treatment plant or a water distribution system shall complete the Operator Certification Examination Application, Form CFN-542-3118/CPG-63997. A listing of dates and locations of examinations is available from the department upon request. The application form requires the applicant to indicate educational background, training and past experience in water or wastewater operation. The completed application and examination fee shall be sent to Iowa Department of Natural Resources, Water Supply Section, 502 East Ninth Street, Des Moines, Iowa 50319-0034. The completed application and examination fee must be received by the department at least 30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81.9(2)</w:t>
      </w:r>
      <w:r>
        <w:rPr>
          <w:rFonts w:ascii="Times New Roman" w:hAnsi="Times New Roman"/>
          <w:b w:val="false"/>
          <w:i w:val="false"/>
          <w:color w:val="000000"/>
          <w:sz w:val="22"/>
        </w:rPr>
        <w:t> </w:t>
      </w:r>
      <w:r>
        <w:rPr>
          <w:rFonts w:ascii="Times New Roman" w:hAnsi="Times New Roman"/>
          <w:b w:val="false"/>
          <w:i/>
          <w:color w:val="000000"/>
          <w:sz w:val="22"/>
        </w:rPr>
        <w:t xml:space="preserve">Application evaluation. </w:t>
      </w:r>
      <w:r>
        <w:rPr>
          <w:rFonts w:ascii="Times New Roman" w:hAnsi="Times New Roman"/>
          <w:b w:val="false"/>
          <w:i w:val="false"/>
          <w:color w:val="000000"/>
          <w:sz w:val="22"/>
        </w:rPr>
        <w:t>The director shall designate department personnel to evaluate all applications for examination, certification, and renewal of certification and upgrading of certification. After evaluation of the application, the department will issue the applicant either a letter of examination eligibility or a letter of examination noneligibility that includes a description of the education or experience requirements that have not been met. The director will review applications when it is indicated that the applicant has falsified information or when questions arise concerning an applicant’s qualifications of eligibility for examination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81.9(3)</w:t>
      </w:r>
      <w:r>
        <w:rPr>
          <w:rFonts w:ascii="Times New Roman" w:hAnsi="Times New Roman"/>
          <w:b w:val="false"/>
          <w:i w:val="false"/>
          <w:color w:val="000000"/>
          <w:sz w:val="22"/>
        </w:rPr>
        <w:t> </w:t>
      </w:r>
      <w:r>
        <w:rPr>
          <w:rFonts w:ascii="Times New Roman" w:hAnsi="Times New Roman"/>
          <w:b w:val="false"/>
          <w:i/>
          <w:color w:val="000000"/>
          <w:sz w:val="22"/>
        </w:rPr>
        <w:t xml:space="preserve">Application expiration. </w:t>
      </w:r>
      <w:r>
        <w:rPr>
          <w:rFonts w:ascii="Times New Roman" w:hAnsi="Times New Roman"/>
          <w:b w:val="false"/>
          <w:i w:val="false"/>
          <w:color w:val="000000"/>
          <w:sz w:val="22"/>
        </w:rPr>
        <w:t>A properly completed application for examination shall be valid for one year from the date the application is approved by the department. An applicant may request only one class and grade of examination with each application. A new application shall be required with each different class or grade of examination desired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81.9(4)</w:t>
      </w:r>
      <w:r>
        <w:rPr>
          <w:rFonts w:ascii="Times New Roman" w:hAnsi="Times New Roman"/>
          <w:b w:val="false"/>
          <w:i w:val="false"/>
          <w:color w:val="000000"/>
          <w:sz w:val="22"/>
        </w:rPr>
        <w:t> </w:t>
      </w:r>
      <w:r>
        <w:rPr>
          <w:rFonts w:ascii="Times New Roman" w:hAnsi="Times New Roman"/>
          <w:b w:val="false"/>
          <w:i/>
          <w:color w:val="000000"/>
          <w:sz w:val="22"/>
        </w:rPr>
        <w:t xml:space="preserve">Refund of examination fee. </w:t>
      </w:r>
      <w:r>
        <w:rPr>
          <w:rFonts w:ascii="Times New Roman" w:hAnsi="Times New Roman"/>
          <w:b w:val="false"/>
          <w:i w:val="false"/>
          <w:color w:val="000000"/>
          <w:sz w:val="22"/>
        </w:rPr>
        <w:t>An applicant who does not qualify for examination at the time of application will have the examination fee refunded if the applicant cannot qualify for examination within one year. If the applicant will qualify for a scheduled examination within one year, the applicant will be notified when the examination may be taken and the fee will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81.9(5)</w:t>
      </w:r>
      <w:r>
        <w:rPr>
          <w:rFonts w:ascii="Times New Roman" w:hAnsi="Times New Roman"/>
          <w:b w:val="false"/>
          <w:i w:val="false"/>
          <w:color w:val="000000"/>
          <w:sz w:val="22"/>
        </w:rPr>
        <w:t> </w:t>
      </w:r>
      <w:r>
        <w:rPr>
          <w:rFonts w:ascii="Times New Roman" w:hAnsi="Times New Roman"/>
          <w:b w:val="false"/>
          <w:i/>
          <w:color w:val="000000"/>
          <w:sz w:val="22"/>
        </w:rPr>
        <w:t xml:space="preserve">Reexamination. </w:t>
      </w:r>
      <w:r>
        <w:rPr>
          <w:rFonts w:ascii="Times New Roman" w:hAnsi="Times New Roman"/>
          <w:b w:val="false"/>
          <w:i w:val="false"/>
          <w:color w:val="000000"/>
          <w:sz w:val="22"/>
        </w:rPr>
        <w:t>Upon failure of the first examination, the applicant may apply for reexamination. Upon failure of the second examination, the applicant shall be required to wait a period of at least 30 days between each subsequent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81.9(6)</w:t>
      </w:r>
      <w:r>
        <w:rPr>
          <w:rFonts w:ascii="Times New Roman" w:hAnsi="Times New Roman"/>
          <w:b w:val="false"/>
          <w:i w:val="false"/>
          <w:color w:val="000000"/>
          <w:sz w:val="22"/>
        </w:rPr>
        <w:t> </w:t>
      </w:r>
      <w:r>
        <w:rPr>
          <w:rFonts w:ascii="Times New Roman" w:hAnsi="Times New Roman"/>
          <w:b w:val="false"/>
          <w:i/>
          <w:color w:val="000000"/>
          <w:sz w:val="22"/>
        </w:rPr>
        <w:t xml:space="preserve">Reexamination fee. </w:t>
      </w:r>
      <w:r>
        <w:rPr>
          <w:rFonts w:ascii="Times New Roman" w:hAnsi="Times New Roman"/>
          <w:b w:val="false"/>
          <w:i w:val="false"/>
          <w:color w:val="000000"/>
          <w:sz w:val="22"/>
        </w:rPr>
        <w:t>Upon each reexamination when a valid application is on file, the applicant shall submit the examination fee to the department at least ten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81.9(7)</w:t>
      </w:r>
      <w:r>
        <w:rPr>
          <w:rFonts w:ascii="Times New Roman" w:hAnsi="Times New Roman"/>
          <w:b w:val="false"/>
          <w:i w:val="false"/>
          <w:color w:val="000000"/>
          <w:sz w:val="22"/>
        </w:rPr>
        <w:t> </w:t>
      </w:r>
      <w:r>
        <w:rPr>
          <w:rFonts w:ascii="Times New Roman" w:hAnsi="Times New Roman"/>
          <w:b w:val="false"/>
          <w:i/>
          <w:color w:val="000000"/>
          <w:sz w:val="22"/>
        </w:rPr>
        <w:t xml:space="preserve">Application invalidation. </w:t>
      </w:r>
      <w:r>
        <w:rPr>
          <w:rFonts w:ascii="Times New Roman" w:hAnsi="Times New Roman"/>
          <w:b w:val="false"/>
          <w:i w:val="false"/>
          <w:color w:val="000000"/>
          <w:sz w:val="22"/>
        </w:rPr>
        <w:t>Failure to successfully complete the examination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81.9(8)</w:t>
      </w:r>
      <w:r>
        <w:rPr>
          <w:rFonts w:ascii="Times New Roman" w:hAnsi="Times New Roman"/>
          <w:b w:val="false"/>
          <w:i w:val="false"/>
          <w:color w:val="000000"/>
          <w:sz w:val="22"/>
        </w:rPr>
        <w:t> </w:t>
      </w:r>
      <w:r>
        <w:rPr>
          <w:rFonts w:ascii="Times New Roman" w:hAnsi="Times New Roman"/>
          <w:b w:val="false"/>
          <w:i/>
          <w:color w:val="000000"/>
          <w:sz w:val="22"/>
        </w:rPr>
        <w:t xml:space="preserve">Retention of completed examinations.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81.9(9)</w:t>
      </w:r>
      <w:r>
        <w:rPr>
          <w:rFonts w:ascii="Times New Roman" w:hAnsi="Times New Roman"/>
          <w:b w:val="false"/>
          <w:i w:val="false"/>
          <w:color w:val="000000"/>
          <w:sz w:val="22"/>
        </w:rPr>
        <w:t> </w:t>
      </w:r>
      <w:r>
        <w:rPr>
          <w:rFonts w:ascii="Times New Roman" w:hAnsi="Times New Roman"/>
          <w:b w:val="false"/>
          <w:i/>
          <w:color w:val="000000"/>
          <w:sz w:val="22"/>
        </w:rPr>
        <w:t xml:space="preserve">Oral examination.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4/11/18</w:t>
      </w:r>
      <w:r>
        <w:rPr>
          <w:rFonts w:ascii="Times New Roman" w:hAnsi="Times New Roman"/>
          <w:b w:val="false"/>
          <w:i w:val="false"/>
          <w:color w:val="000000"/>
          <w:sz w:val="22"/>
        </w:rPr>
        <w:t>, effective 5/16/18.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81.9(10)</w:t>
      </w:r>
      <w:r>
        <w:rPr>
          <w:rFonts w:ascii="Times New Roman" w:hAnsi="Times New Roman"/>
          <w:b w:val="false"/>
          <w:i w:val="false"/>
          <w:color w:val="000000"/>
          <w:sz w:val="22"/>
        </w:rPr>
        <w:t> </w:t>
      </w:r>
      <w:r>
        <w:rPr>
          <w:rFonts w:ascii="Times New Roman" w:hAnsi="Times New Roman"/>
          <w:b w:val="false"/>
          <w:i/>
          <w:color w:val="000000"/>
          <w:sz w:val="22"/>
        </w:rPr>
        <w:t xml:space="preserve">Reasonable accommodation. </w:t>
      </w:r>
      <w:r>
        <w:rPr>
          <w:rFonts w:ascii="Times New Roman" w:hAnsi="Times New Roman"/>
          <w:b w:val="false"/>
          <w:i w:val="false"/>
          <w:color w:val="000000"/>
          <w:sz w:val="22"/>
        </w:rPr>
        <w:t xml:space="preserve">Upon request for certification by an applicant, the director will consider on an individual basis reasonable accommodation to allow administration of the examination without discrimination on the basis of disability. The applicant shall request the accommodation 30 days prior to the date of the examination. The applicant must provide documentation of eligibility for the accommodation. Documentation shall be submitted with the completed examination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1911C</w:t>
      </w:r>
      <w:r>
        <w:rPr>
          <w:rFonts w:ascii="Times New Roman" w:hAnsi="Times New Roman"/>
          <w:b w:val="false"/>
          <w:i w:val="false"/>
          <w:color w:val="000000"/>
          <w:sz w:val="16"/>
        </w:rPr>
        <w:t>, IAB 3/18/15, effective 4/22/15</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567—81.10</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81.10(1)</w:t>
      </w:r>
      <w:r>
        <w:rPr>
          <w:rFonts w:ascii="Times New Roman" w:hAnsi="Times New Roman"/>
          <w:b w:val="false"/>
          <w:i w:val="false"/>
          <w:color w:val="000000"/>
          <w:sz w:val="22"/>
        </w:rPr>
        <w:t> </w:t>
      </w:r>
      <w:r>
        <w:rPr>
          <w:rFonts w:ascii="Times New Roman" w:hAnsi="Times New Roman"/>
          <w:b w:val="false"/>
          <w:i/>
          <w:color w:val="000000"/>
          <w:sz w:val="22"/>
        </w:rPr>
        <w:t xml:space="preserve">Examination requirement. </w:t>
      </w:r>
      <w:r>
        <w:rPr>
          <w:rFonts w:ascii="Times New Roman" w:hAnsi="Times New Roman"/>
          <w:b w:val="false"/>
          <w:i w:val="false"/>
          <w:color w:val="000000"/>
          <w:sz w:val="22"/>
        </w:rPr>
        <w:t xml:space="preserve">All applicants not addressed for certification in </w:t>
      </w:r>
      <w:hyperlink r:id="rId34">
        <w:r>
          <w:rPr>
            <w:rStyle w:val="Hyperlink"/>
            <w:rFonts w:ascii="Times New Roman" w:hAnsi="Times New Roman"/>
            <w:b w:val="false"/>
            <w:i w:val="false"/>
            <w:color w:val="000000"/>
            <w:sz w:val="22"/>
          </w:rPr>
          <w:t>81.11(1)</w:t>
        </w:r>
      </w:hyperlink>
      <w:r>
        <w:rPr>
          <w:rFonts w:ascii="Times New Roman" w:hAnsi="Times New Roman"/>
          <w:b w:val="false"/>
          <w:i w:val="false"/>
          <w:color w:val="000000"/>
          <w:sz w:val="22"/>
        </w:rPr>
        <w:t xml:space="preserve"> shall successfully complete and pass an examination prior to receiving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81.10(2)</w:t>
      </w:r>
      <w:r>
        <w:rPr>
          <w:rFonts w:ascii="Times New Roman" w:hAnsi="Times New Roman"/>
          <w:b w:val="false"/>
          <w:i w:val="false"/>
          <w:color w:val="000000"/>
          <w:sz w:val="22"/>
        </w:rPr>
        <w:t> </w:t>
      </w:r>
      <w:r>
        <w:rPr>
          <w:rFonts w:ascii="Times New Roman" w:hAnsi="Times New Roman"/>
          <w:b w:val="false"/>
          <w:i/>
          <w:color w:val="000000"/>
          <w:sz w:val="22"/>
        </w:rPr>
        <w:t xml:space="preserve">Certification application time line. </w:t>
      </w:r>
      <w:r>
        <w:rPr>
          <w:rFonts w:ascii="Times New Roman" w:hAnsi="Times New Roman"/>
          <w:b w:val="false"/>
          <w:i w:val="false"/>
          <w:color w:val="000000"/>
          <w:sz w:val="22"/>
        </w:rPr>
        <w:t>Application for certification must be received by the department within 30 days of the date the applicant receives notification of successful completion of the examination. All applications for certification shall be made on a form provided by the department and shall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81.10(3)</w:t>
      </w:r>
      <w:r>
        <w:rPr>
          <w:rFonts w:ascii="Times New Roman" w:hAnsi="Times New Roman"/>
          <w:b w:val="false"/>
          <w:i w:val="false"/>
          <w:color w:val="000000"/>
          <w:sz w:val="22"/>
        </w:rPr>
        <w:t> </w:t>
      </w:r>
      <w:r>
        <w:rPr>
          <w:rFonts w:ascii="Times New Roman" w:hAnsi="Times New Roman"/>
          <w:b w:val="false"/>
          <w:i/>
          <w:color w:val="000000"/>
          <w:sz w:val="22"/>
        </w:rPr>
        <w:t xml:space="preserve">Late certification application. </w:t>
      </w:r>
      <w:r>
        <w:rPr>
          <w:rFonts w:ascii="Times New Roman" w:hAnsi="Times New Roman"/>
          <w:b w:val="false"/>
          <w:i w:val="false"/>
          <w:color w:val="000000"/>
          <w:sz w:val="22"/>
        </w:rPr>
        <w:t>Applications for certification by examination which are received more than 30 days but less than 60 days after notification of successful completion of the examination shall be accompanied by the certification fee and the penalty fee. Applicants who do not apply for certification within 60 days’ notice of successful completion of the examination will not be certified on the basis of that examination.</w:t>
      </w:r>
    </w:p>
    <w:p>
      <w:pPr>
        <w:spacing w:before="0" w:after="0"/>
        <w:ind w:left="120"/>
        <w:jc w:val="both"/>
      </w:pPr>
      <w:r>
        <w:rPr>
          <w:rFonts w:ascii="Times New Roman" w:hAnsi="Times New Roman"/>
          <w:b/>
          <w:i w:val="false"/>
          <w:color w:val="000000"/>
          <w:sz w:val="22"/>
        </w:rPr>
        <w:t>567—81.11</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by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w:t>
      </w:r>
      <w:r>
        <w:rPr>
          <w:rFonts w:ascii="Times New Roman" w:hAnsi="Times New Roman"/>
          <w:b w:val="false"/>
          <w:i w:val="false"/>
          <w:color w:val="000000"/>
          <w:sz w:val="22"/>
        </w:rPr>
        <w:t> </w:t>
      </w:r>
      <w:r>
        <w:rPr>
          <w:rFonts w:ascii="Times New Roman" w:hAnsi="Times New Roman"/>
          <w:b w:val="false"/>
          <w:i/>
          <w:color w:val="000000"/>
          <w:sz w:val="22"/>
        </w:rPr>
        <w:t xml:space="preserve">Other states’ mandatory certification programs. </w:t>
      </w:r>
      <w:r>
        <w:rPr>
          <w:rFonts w:ascii="Times New Roman" w:hAnsi="Times New Roman"/>
          <w:b w:val="false"/>
          <w:i w:val="false"/>
          <w:color w:val="000000"/>
          <w:sz w:val="22"/>
        </w:rPr>
        <w:t>For applicants who have been certified under other states’ mandatory certification programs, the equivalency of which has been previously reviewed and accepted by the department, certification in an appropriate classification and grade, without examination, will be recommended. The applicant must have successfully completed an examination generally equivalent to the Iowa examination and must meet the education and experience qualifications established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81.11(2)</w:t>
      </w:r>
      <w:r>
        <w:rPr>
          <w:rFonts w:ascii="Times New Roman" w:hAnsi="Times New Roman"/>
          <w:b w:val="false"/>
          <w:i w:val="false"/>
          <w:color w:val="000000"/>
          <w:sz w:val="22"/>
        </w:rPr>
        <w:t> </w:t>
      </w:r>
      <w:r>
        <w:rPr>
          <w:rFonts w:ascii="Times New Roman" w:hAnsi="Times New Roman"/>
          <w:b w:val="false"/>
          <w:i/>
          <w:color w:val="000000"/>
          <w:sz w:val="22"/>
        </w:rPr>
        <w:t xml:space="preserve">Other states’ voluntary certification programs. </w:t>
      </w:r>
      <w:r>
        <w:rPr>
          <w:rFonts w:ascii="Times New Roman" w:hAnsi="Times New Roman"/>
          <w:b w:val="false"/>
          <w:i w:val="false"/>
          <w:color w:val="000000"/>
          <w:sz w:val="22"/>
        </w:rPr>
        <w:t>For applicants who have been certified under voluntary certification programs in other states, certification in an appropriate class will be considered. The applicant must have successfully completed an examination generally equivalent to the Iowa examination and must meet the education and experience qualifications established by the director. The director may require the applicant to successfully complete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81.11(3)</w:t>
      </w:r>
      <w:r>
        <w:rPr>
          <w:rFonts w:ascii="Times New Roman" w:hAnsi="Times New Roman"/>
          <w:b w:val="false"/>
          <w:i w:val="false"/>
          <w:color w:val="000000"/>
          <w:sz w:val="22"/>
        </w:rPr>
        <w:t> </w:t>
      </w:r>
      <w:r>
        <w:rPr>
          <w:rFonts w:ascii="Times New Roman" w:hAnsi="Times New Roman"/>
          <w:b w:val="false"/>
          <w:i/>
          <w:color w:val="000000"/>
          <w:sz w:val="22"/>
        </w:rPr>
        <w:t xml:space="preserve">Reciprocity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 applicants. </w:t>
      </w:r>
      <w:r>
        <w:rPr>
          <w:rFonts w:ascii="Times New Roman" w:hAnsi="Times New Roman"/>
          <w:b w:val="false"/>
          <w:i w:val="false"/>
          <w:color w:val="000000"/>
          <w:sz w:val="22"/>
        </w:rPr>
        <w:t xml:space="preserve">Applicants who seek Iowa certification pursuant to subrule </w:t>
      </w:r>
      <w:hyperlink r:id="rId35">
        <w:r>
          <w:rPr>
            <w:rStyle w:val="Hyperlink"/>
            <w:rFonts w:ascii="Times New Roman" w:hAnsi="Times New Roman"/>
            <w:b w:val="false"/>
            <w:i w:val="false"/>
            <w:color w:val="000000"/>
            <w:sz w:val="22"/>
          </w:rPr>
          <w:t>81.11(1)</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81.11(2)</w:t>
        </w:r>
      </w:hyperlink>
      <w:r>
        <w:rPr>
          <w:rFonts w:ascii="Times New Roman" w:hAnsi="Times New Roman"/>
          <w:b w:val="false"/>
          <w:i w:val="false"/>
          <w:color w:val="000000"/>
          <w:sz w:val="22"/>
        </w:rPr>
        <w:t xml:space="preserve"> shall submit an Operator Certification Reciprocity Application accompanied by a letter requesting certification pursuant to these subrules. Application for certification pursuant to </w:t>
      </w:r>
      <w:hyperlink r:id="rId37">
        <w:r>
          <w:rPr>
            <w:rStyle w:val="Hyperlink"/>
            <w:rFonts w:ascii="Times New Roman" w:hAnsi="Times New Roman"/>
            <w:b w:val="false"/>
            <w:i w:val="false"/>
            <w:color w:val="000000"/>
            <w:sz w:val="22"/>
          </w:rPr>
          <w:t>81.11(1)</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81.11(2)</w:t>
        </w:r>
      </w:hyperlink>
      <w:r>
        <w:rPr>
          <w:rFonts w:ascii="Times New Roman" w:hAnsi="Times New Roman"/>
          <w:b w:val="false"/>
          <w:i w:val="false"/>
          <w:color w:val="000000"/>
          <w:sz w:val="22"/>
        </w:rPr>
        <w:t xml:space="preserve"> shall be received by the director in accordance with these subrules. The applicant shall be certified at the appropriate grade pursuant to subrule </w:t>
      </w:r>
      <w:hyperlink r:id="rId39">
        <w:r>
          <w:rPr>
            <w:rStyle w:val="Hyperlink"/>
            <w:rFonts w:ascii="Times New Roman" w:hAnsi="Times New Roman"/>
            <w:b w:val="false"/>
            <w:i w:val="false"/>
            <w:color w:val="000000"/>
            <w:sz w:val="22"/>
          </w:rPr>
          <w:t>81.7(1)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Veteran applicants. </w:t>
      </w:r>
      <w:r>
        <w:rPr>
          <w:rFonts w:ascii="Times New Roman" w:hAnsi="Times New Roman"/>
          <w:b w:val="false"/>
          <w:i w:val="false"/>
          <w:color w:val="000000"/>
          <w:sz w:val="22"/>
        </w:rPr>
        <w:t xml:space="preserve">An applicant who is a veteran shall submit an Operator Certification Reciprocity Application pursuant to paragraph </w:t>
      </w:r>
      <w:hyperlink r:id="rId40">
        <w:r>
          <w:rPr>
            <w:rStyle w:val="Hyperlink"/>
            <w:rFonts w:ascii="Times New Roman" w:hAnsi="Times New Roman"/>
            <w:b w:val="false"/>
            <w:i w:val="false"/>
            <w:color w:val="000000"/>
            <w:sz w:val="22"/>
          </w:rPr>
          <w:t>81.11(3)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shall also provide such documentation as is needed to verify the applicant’s status as a veteran under Iowa Code section </w:t>
      </w:r>
      <w:hyperlink r:id="rId41">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 The veteran’s application shall be given priority and shall be expedited.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81.11(4)</w:t>
      </w:r>
      <w:r>
        <w:rPr>
          <w:rFonts w:ascii="Times New Roman" w:hAnsi="Times New Roman"/>
          <w:b w:val="false"/>
          <w:i w:val="false"/>
          <w:color w:val="000000"/>
          <w:sz w:val="22"/>
        </w:rPr>
        <w:t> </w:t>
      </w:r>
      <w:r>
        <w:rPr>
          <w:rFonts w:ascii="Times New Roman" w:hAnsi="Times New Roman"/>
          <w:b w:val="false"/>
          <w:i/>
          <w:color w:val="000000"/>
          <w:sz w:val="22"/>
        </w:rPr>
        <w:t xml:space="preserve">Certification obtained through reciprocity. </w:t>
      </w:r>
      <w:r>
        <w:rPr>
          <w:rFonts w:ascii="Times New Roman" w:hAnsi="Times New Roman"/>
          <w:b w:val="false"/>
          <w:i w:val="false"/>
          <w:color w:val="000000"/>
          <w:sz w:val="22"/>
        </w:rPr>
        <w:t xml:space="preserve">An applicant who obtains certification in Iowa through reciprocity and subsequently allows the certification to lapse will be required to reapply for certification in accordance with </w:t>
      </w:r>
      <w:hyperlink r:id="rId42">
        <w:r>
          <w:rPr>
            <w:rStyle w:val="Hyperlink"/>
            <w:rFonts w:ascii="Times New Roman" w:hAnsi="Times New Roman"/>
            <w:b w:val="false"/>
            <w:i w:val="false"/>
            <w:color w:val="000000"/>
            <w:sz w:val="22"/>
          </w:rPr>
          <w:t>567—81.10</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1911C</w:t>
      </w:r>
      <w:r>
        <w:rPr>
          <w:rFonts w:ascii="Times New Roman" w:hAnsi="Times New Roman"/>
          <w:b w:val="false"/>
          <w:i w:val="false"/>
          <w:color w:val="000000"/>
          <w:sz w:val="16"/>
        </w:rPr>
        <w:t>, IAB 3/18/15, effective 4/22/15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567—81.12</w:t>
      </w:r>
      <w:r>
        <w:rPr>
          <w:rFonts w:ascii="Times New Roman" w:hAnsi="Times New Roman"/>
          <w:b/>
          <w:i w:val="false"/>
          <w:color w:val="000000"/>
          <w:sz w:val="22"/>
        </w:rPr>
        <w:t xml:space="preserve">(455B) </w:t>
      </w:r>
      <w:r>
        <w:rPr>
          <w:rFonts w:ascii="Times New Roman" w:hAnsi="Times New Roman"/>
          <w:b/>
          <w:i w:val="false"/>
          <w:color w:val="000000"/>
          <w:sz w:val="22"/>
        </w:rPr>
        <w:t xml:space="preserve">Restricted certification. </w:t>
      </w:r>
      <w:r>
        <w:rPr>
          <w:rFonts w:ascii="Times New Roman" w:hAnsi="Times New Roman"/>
          <w:b w:val="false"/>
          <w:i w:val="false"/>
          <w:color w:val="000000"/>
          <w:sz w:val="22"/>
        </w:rPr>
        <w:t>Upon written request by an operator, the director may determine that further education requirements be waived when a plant or distribution system grade has been increased and the operator has been in direct responsible charge of the existing plant or distribution system. An operator successfully completing the examination will be restricted to that plant or distribution system until the education requirements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567—81.13</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All certificates shall expire on June 30 of odd-numbered years and must be renewed every two years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renewal. </w:t>
      </w:r>
      <w:r>
        <w:rPr>
          <w:rFonts w:ascii="Times New Roman" w:hAnsi="Times New Roman"/>
          <w:b w:val="false"/>
          <w:i w:val="false"/>
          <w:color w:val="000000"/>
          <w:sz w:val="22"/>
        </w:rPr>
        <w:t>An application for renewal will be mailed to currently certified operators prior to the expiration date of their certificates. Application for renewal must be made in accordance with this rule and the instructions on the form in order to renew the certificate for the next two years. Application for renewal of a certificate without penalty must be received by the director or postmarked prior to the expiration of the certificate, and shall be accompanied by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81.13(3)</w:t>
      </w:r>
      <w:r>
        <w:rPr>
          <w:rFonts w:ascii="Times New Roman" w:hAnsi="Times New Roman"/>
          <w:b w:val="false"/>
          <w:i w:val="false"/>
          <w:color w:val="000000"/>
          <w:sz w:val="22"/>
        </w:rPr>
        <w:t> </w:t>
      </w:r>
      <w:r>
        <w:rPr>
          <w:rFonts w:ascii="Times New Roman" w:hAnsi="Times New Roman"/>
          <w:b w:val="false"/>
          <w:i/>
          <w:color w:val="000000"/>
          <w:sz w:val="22"/>
        </w:rPr>
        <w:t xml:space="preserve">Late application. </w:t>
      </w:r>
      <w:r>
        <w:rPr>
          <w:rFonts w:ascii="Times New Roman" w:hAnsi="Times New Roman"/>
          <w:b w:val="false"/>
          <w:i w:val="false"/>
          <w:color w:val="000000"/>
          <w:sz w:val="22"/>
        </w:rPr>
        <w:t>A late application for renewal of a certificate may be made provided that the application is received by the director or postmarked within 60 days of the expiration of the certificate on forms provided by the department. Such late application shall be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81.13(4)</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w:t>
      </w:r>
      <w:r>
        <w:rPr>
          <w:rFonts w:ascii="Times New Roman" w:hAnsi="Times New Roman"/>
          <w:b w:val="false"/>
          <w:i w:val="false"/>
          <w:color w:val="000000"/>
          <w:sz w:val="22"/>
        </w:rPr>
        <w:t xml:space="preserve">If a certificate holder fails to renew within 60 days following expiration of the certificate, the right to renew the certificate is automatically terminated. Certification may be allowed at any time following such termination, provided that the applicant meets all education and experience eligibility requirements pursuant to </w:t>
      </w:r>
      <w:hyperlink r:id="rId43">
        <w:r>
          <w:rPr>
            <w:rStyle w:val="Hyperlink"/>
            <w:rFonts w:ascii="Times New Roman" w:hAnsi="Times New Roman"/>
            <w:b w:val="false"/>
            <w:i w:val="false"/>
            <w:color w:val="000000"/>
            <w:sz w:val="22"/>
          </w:rPr>
          <w:t>567—81.7</w:t>
        </w:r>
      </w:hyperlink>
      <w:r>
        <w:rPr>
          <w:rFonts w:ascii="Times New Roman" w:hAnsi="Times New Roman"/>
          <w:b w:val="false"/>
          <w:i w:val="false"/>
          <w:color w:val="000000"/>
          <w:sz w:val="22"/>
        </w:rPr>
        <w:t xml:space="preserve">(455B), and successfully completes an examination. The applicant must then apply for certification in accordance with </w:t>
      </w:r>
      <w:hyperlink r:id="rId44">
        <w:r>
          <w:rPr>
            <w:rStyle w:val="Hyperlink"/>
            <w:rFonts w:ascii="Times New Roman" w:hAnsi="Times New Roman"/>
            <w:b w:val="false"/>
            <w:i w:val="false"/>
            <w:color w:val="000000"/>
            <w:sz w:val="22"/>
          </w:rPr>
          <w:t>567—81.10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81.13(5)</w:t>
      </w:r>
      <w:r>
        <w:rPr>
          <w:rFonts w:ascii="Times New Roman" w:hAnsi="Times New Roman"/>
          <w:b w:val="false"/>
          <w:i w:val="false"/>
          <w:color w:val="000000"/>
          <w:sz w:val="22"/>
        </w:rPr>
        <w:t> </w:t>
      </w:r>
      <w:r>
        <w:rPr>
          <w:rFonts w:ascii="Times New Roman" w:hAnsi="Times New Roman"/>
          <w:b w:val="false"/>
          <w:i/>
          <w:color w:val="000000"/>
          <w:sz w:val="22"/>
        </w:rPr>
        <w:t xml:space="preserve">Expired certificate. </w:t>
      </w:r>
      <w:r>
        <w:rPr>
          <w:rFonts w:ascii="Times New Roman" w:hAnsi="Times New Roman"/>
          <w:b w:val="false"/>
          <w:i w:val="false"/>
          <w:color w:val="000000"/>
          <w:sz w:val="22"/>
        </w:rPr>
        <w:t>An operator may not continue as the operator-in-charge of a plant, distribution system, operating shift, or major segment of the plant or distribution system after expiration of a certificate unless the certificate is renewed.</w:t>
      </w:r>
    </w:p>
    <w:p>
      <w:pPr>
        <w:spacing w:before="0" w:after="0"/>
        <w:ind w:left="120"/>
        <w:jc w:val="both"/>
      </w:pPr>
      <w:r>
        <w:rPr>
          <w:rFonts w:ascii="Times New Roman" w:hAnsi="Times New Roman"/>
          <w:b/>
          <w:i w:val="false"/>
          <w:color w:val="000000"/>
          <w:sz w:val="22"/>
        </w:rPr>
        <w:t>567—81.14</w:t>
      </w:r>
      <w:r>
        <w:rPr>
          <w:rFonts w:ascii="Times New Roman" w:hAnsi="Times New Roman"/>
          <w:b/>
          <w:i w:val="false"/>
          <w:color w:val="000000"/>
          <w:sz w:val="22"/>
        </w:rPr>
        <w:t xml:space="preserve">(455B,272C)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81.14(1)</w:t>
      </w:r>
      <w:r>
        <w:rPr>
          <w:rFonts w:ascii="Times New Roman" w:hAnsi="Times New Roman"/>
          <w:b w:val="false"/>
          <w:i w:val="false"/>
          <w:color w:val="000000"/>
          <w:sz w:val="22"/>
        </w:rPr>
        <w:t> </w:t>
      </w:r>
      <w:r>
        <w:rPr>
          <w:rFonts w:ascii="Times New Roman" w:hAnsi="Times New Roman"/>
          <w:b w:val="false"/>
          <w:i/>
          <w:color w:val="000000"/>
          <w:sz w:val="22"/>
        </w:rPr>
        <w:t xml:space="preserve">CEU requirements. </w:t>
      </w:r>
      <w:r>
        <w:rPr>
          <w:rFonts w:ascii="Times New Roman" w:hAnsi="Times New Roman"/>
          <w:b w:val="false"/>
          <w:i w:val="false"/>
          <w:color w:val="000000"/>
          <w:sz w:val="22"/>
        </w:rPr>
        <w:t>Continuing education must be earned during two-year periods between April 1 and March 31 of odd-numbered years. A Grade III or IV certified operator must earn two units or 20 contact hours per certificate during each two-year period. All other certified operators must earn one unit or 10 contact hours per certificate during each two-year period. Newly certified operators (previously uncertified) who become certified after April 1 of a two-year period will not be required to earn CEUs until the next two-year period. If an operator upgrades a certificate after April 1 of a two-year period and that upgrade increases the CEU requirement, the operator will not be required to meet the higher CEU requirement until the next two-year period but must fulfill the lower CEU requirement for that period. For those certified operators holding both a water treatment and a water distribution certification, no less than 25 percent of the required CEUs may be earned in any one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81.14(2)</w:t>
      </w:r>
      <w:r>
        <w:rPr>
          <w:rFonts w:ascii="Times New Roman" w:hAnsi="Times New Roman"/>
          <w:b w:val="false"/>
          <w:i w:val="false"/>
          <w:color w:val="000000"/>
          <w:sz w:val="22"/>
        </w:rPr>
        <w:t> </w:t>
      </w:r>
      <w:r>
        <w:rPr>
          <w:rFonts w:ascii="Times New Roman" w:hAnsi="Times New Roman"/>
          <w:b w:val="false"/>
          <w:i/>
          <w:color w:val="000000"/>
          <w:sz w:val="22"/>
        </w:rPr>
        <w:t xml:space="preserve">Certificate renewal. </w:t>
      </w:r>
      <w:r>
        <w:rPr>
          <w:rFonts w:ascii="Times New Roman" w:hAnsi="Times New Roman"/>
          <w:b w:val="false"/>
          <w:i w:val="false"/>
          <w:color w:val="000000"/>
          <w:sz w:val="22"/>
        </w:rPr>
        <w:t>Only those operators fulfilling the continuing education requirements before the end of each two-year period (March 31) will be allowed to renew their certificate(s). The certificate(s) of operators not fulfilling the continuing education requirements shall expire on June 30 of each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81.14(3)</w:t>
      </w:r>
      <w:r>
        <w:rPr>
          <w:rFonts w:ascii="Times New Roman" w:hAnsi="Times New Roman"/>
          <w:b w:val="false"/>
          <w:i w:val="false"/>
          <w:color w:val="000000"/>
          <w:sz w:val="22"/>
        </w:rPr>
        <w:t> </w:t>
      </w:r>
      <w:r>
        <w:rPr>
          <w:rFonts w:ascii="Times New Roman" w:hAnsi="Times New Roman"/>
          <w:b w:val="false"/>
          <w:i/>
          <w:color w:val="000000"/>
          <w:sz w:val="22"/>
        </w:rPr>
        <w:t xml:space="preserve">CEU approval. </w:t>
      </w:r>
      <w:r>
        <w:rPr>
          <w:rFonts w:ascii="Times New Roman" w:hAnsi="Times New Roman"/>
          <w:b w:val="false"/>
          <w:i w:val="false"/>
          <w:color w:val="000000"/>
          <w:sz w:val="22"/>
        </w:rPr>
        <w:t>All activities for which continuing education credit will be granted must be approved by an accredited college, university, technical institute, or issuing agency, or by the department, and must be directly related to the subject matter of the particular certificate to which the credit is being applied. Any entity holding courses in Iowa for which continuing education credit is offered for water treatment, water distribution, or wastewater operator certification must provide at no cost to the department the opportunity for one staff member to audit the training and receive all training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81.14(4)</w:t>
      </w:r>
      <w:r>
        <w:rPr>
          <w:rFonts w:ascii="Times New Roman" w:hAnsi="Times New Roman"/>
          <w:b w:val="false"/>
          <w:i w:val="false"/>
          <w:color w:val="000000"/>
          <w:sz w:val="22"/>
        </w:rPr>
        <w:t> </w:t>
      </w:r>
      <w:r>
        <w:rPr>
          <w:rFonts w:ascii="Times New Roman" w:hAnsi="Times New Roman"/>
          <w:b w:val="false"/>
          <w:i/>
          <w:color w:val="000000"/>
          <w:sz w:val="22"/>
        </w:rPr>
        <w:t xml:space="preserve">CEU extensions. </w:t>
      </w:r>
      <w:r>
        <w:rPr>
          <w:rFonts w:ascii="Times New Roman" w:hAnsi="Times New Roman"/>
          <w:b w:val="false"/>
          <w:i w:val="false"/>
          <w:color w:val="000000"/>
          <w:sz w:val="22"/>
        </w:rPr>
        <w:t>The director may, in individual cases involving hardship or extenuating circumstances, grant an extension of up to three months within which the certified operator may fulfill the minimum continuing education requirements. Hardship or extenuating circumstances include documented health-related confinement or other circumstances beyond the control of the certified operator which prevent attendance at the required activities. All requests for extensions must be made prior to March 31 of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81.14(5)</w:t>
      </w:r>
      <w:r>
        <w:rPr>
          <w:rFonts w:ascii="Times New Roman" w:hAnsi="Times New Roman"/>
          <w:b w:val="false"/>
          <w:i w:val="false"/>
          <w:color w:val="000000"/>
          <w:sz w:val="22"/>
        </w:rPr>
        <w:t> </w:t>
      </w:r>
      <w:r>
        <w:rPr>
          <w:rFonts w:ascii="Times New Roman" w:hAnsi="Times New Roman"/>
          <w:b w:val="false"/>
          <w:i/>
          <w:color w:val="000000"/>
          <w:sz w:val="22"/>
        </w:rPr>
        <w:t xml:space="preserve">CEU reporting. </w:t>
      </w:r>
      <w:r>
        <w:rPr>
          <w:rFonts w:ascii="Times New Roman" w:hAnsi="Times New Roman"/>
          <w:b w:val="false"/>
          <w:i w:val="false"/>
          <w:color w:val="000000"/>
          <w:sz w:val="22"/>
        </w:rPr>
        <w:t>It is the certified operator’s personal responsibility to maintain a written record and to notify the department of the continuing education credit earned during the period. The continuing education credits earned during the period shall be listed on the application for renewal.</w:t>
      </w:r>
    </w:p>
    <w:p>
      <w:pPr>
        <w:spacing w:before="210" w:after="0"/>
        <w:ind w:left="120"/>
        <w:jc w:val="both"/>
      </w:pPr>
      <w:r>
        <w:rPr>
          <w:rFonts w:ascii="Times New Roman" w:hAnsi="Times New Roman"/>
          <w:b/>
          <w:i w:val="false"/>
          <w:color w:val="000000"/>
          <w:sz w:val="22"/>
        </w:rPr>
        <w:t>567—81.15</w:t>
      </w:r>
      <w:r>
        <w:rPr>
          <w:rFonts w:ascii="Times New Roman" w:hAnsi="Times New Roman"/>
          <w:b/>
          <w:i w:val="false"/>
          <w:color w:val="000000"/>
          <w:sz w:val="22"/>
        </w:rPr>
        <w:t xml:space="preserve">(455B) </w:t>
      </w:r>
      <w:r>
        <w:rPr>
          <w:rFonts w:ascii="Times New Roman" w:hAnsi="Times New Roman"/>
          <w:b/>
          <w:i w:val="false"/>
          <w:color w:val="000000"/>
          <w:sz w:val="22"/>
        </w:rPr>
        <w:t xml:space="preserve">Upgrading of certificates. </w:t>
      </w:r>
      <w:r>
        <w:rPr>
          <w:rFonts w:ascii="Times New Roman" w:hAnsi="Times New Roman"/>
          <w:b w:val="false"/>
          <w:i w:val="false"/>
          <w:color w:val="000000"/>
          <w:sz w:val="22"/>
        </w:rPr>
        <w:t xml:space="preserve">A person holding an unexpired certificate may upgrade the certificate by examination to a higher grade in the same classification in accordance with </w:t>
      </w:r>
      <w:hyperlink r:id="rId45">
        <w:r>
          <w:rPr>
            <w:rStyle w:val="Hyperlink"/>
            <w:rFonts w:ascii="Times New Roman" w:hAnsi="Times New Roman"/>
            <w:b w:val="false"/>
            <w:i w:val="false"/>
            <w:color w:val="000000"/>
            <w:sz w:val="22"/>
          </w:rPr>
          <w:t>567—81.7</w:t>
        </w:r>
      </w:hyperlink>
      <w:r>
        <w:rPr>
          <w:rFonts w:ascii="Times New Roman" w:hAnsi="Times New Roman"/>
          <w:b w:val="false"/>
          <w:i w:val="false"/>
          <w:color w:val="000000"/>
          <w:sz w:val="22"/>
        </w:rPr>
        <w:t xml:space="preserve">(455B), </w:t>
      </w:r>
      <w:hyperlink r:id="rId46">
        <w:r>
          <w:rPr>
            <w:rStyle w:val="Hyperlink"/>
            <w:rFonts w:ascii="Times New Roman" w:hAnsi="Times New Roman"/>
            <w:b w:val="false"/>
            <w:i w:val="false"/>
            <w:color w:val="000000"/>
            <w:sz w:val="22"/>
          </w:rPr>
          <w:t>567—81.9</w:t>
        </w:r>
      </w:hyperlink>
      <w:r>
        <w:rPr>
          <w:rFonts w:ascii="Times New Roman" w:hAnsi="Times New Roman"/>
          <w:b w:val="false"/>
          <w:i w:val="false"/>
          <w:color w:val="000000"/>
          <w:sz w:val="22"/>
        </w:rPr>
        <w:t xml:space="preserve">(455B) and </w:t>
      </w:r>
      <w:hyperlink r:id="rId47">
        <w:r>
          <w:rPr>
            <w:rStyle w:val="Hyperlink"/>
            <w:rFonts w:ascii="Times New Roman" w:hAnsi="Times New Roman"/>
            <w:b w:val="false"/>
            <w:i w:val="false"/>
            <w:color w:val="000000"/>
            <w:sz w:val="22"/>
          </w:rPr>
          <w:t>567—81.10</w:t>
        </w:r>
      </w:hyperlink>
      <w:r>
        <w:rPr>
          <w:rFonts w:ascii="Times New Roman" w:hAnsi="Times New Roman"/>
          <w:b w:val="false"/>
          <w:i w:val="false"/>
          <w:color w:val="000000"/>
          <w:sz w:val="22"/>
        </w:rPr>
        <w:t xml:space="preserve">(455B). The expiration date of the upgraded certificate shall be the same as the unexpired certificate. A person who upgrades a certificate during the biennium must also renew the upgraded certificate in accordance with </w:t>
      </w:r>
      <w:hyperlink r:id="rId48">
        <w:r>
          <w:rPr>
            <w:rStyle w:val="Hyperlink"/>
            <w:rFonts w:ascii="Times New Roman" w:hAnsi="Times New Roman"/>
            <w:b w:val="false"/>
            <w:i w:val="false"/>
            <w:color w:val="000000"/>
            <w:sz w:val="22"/>
          </w:rPr>
          <w:t>567—81.13</w:t>
        </w:r>
      </w:hyperlink>
      <w:r>
        <w:rPr>
          <w:rFonts w:ascii="Times New Roman" w:hAnsi="Times New Roman"/>
          <w:b w:val="false"/>
          <w:i w:val="false"/>
          <w:color w:val="000000"/>
          <w:sz w:val="22"/>
        </w:rPr>
        <w:t xml:space="preserve">(455B) and </w:t>
      </w:r>
      <w:hyperlink r:id="rId49">
        <w:r>
          <w:rPr>
            <w:rStyle w:val="Hyperlink"/>
            <w:rFonts w:ascii="Times New Roman" w:hAnsi="Times New Roman"/>
            <w:b w:val="false"/>
            <w:i w:val="false"/>
            <w:color w:val="000000"/>
            <w:sz w:val="22"/>
          </w:rPr>
          <w:t>567—81.14</w:t>
        </w:r>
      </w:hyperlink>
      <w:r>
        <w:rPr>
          <w:rFonts w:ascii="Times New Roman" w:hAnsi="Times New Roman"/>
          <w:b w:val="false"/>
          <w:i w:val="false"/>
          <w:color w:val="000000"/>
          <w:sz w:val="22"/>
        </w:rPr>
        <w:t>(455B,272C) to maintain the person’s certification.</w:t>
      </w:r>
    </w:p>
    <w:p>
      <w:pPr>
        <w:spacing w:before="0" w:after="0"/>
        <w:ind w:left="120"/>
        <w:jc w:val="both"/>
      </w:pPr>
      <w:r>
        <w:rPr>
          <w:rFonts w:ascii="Times New Roman" w:hAnsi="Times New Roman"/>
          <w:b/>
          <w:i w:val="false"/>
          <w:color w:val="000000"/>
          <w:sz w:val="22"/>
        </w:rPr>
        <w:t>567—81.16</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Operator by affidavit.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81.16(1)</w:t>
      </w:r>
      <w:r>
        <w:rPr>
          <w:rFonts w:ascii="Times New Roman" w:hAnsi="Times New Roman"/>
          <w:b w:val="false"/>
          <w:i w:val="false"/>
          <w:color w:val="000000"/>
          <w:sz w:val="22"/>
        </w:rPr>
        <w:t> </w:t>
      </w:r>
      <w:r>
        <w:rPr>
          <w:rFonts w:ascii="Times New Roman" w:hAnsi="Times New Roman"/>
          <w:b w:val="false"/>
          <w:i/>
          <w:color w:val="000000"/>
          <w:sz w:val="22"/>
        </w:rPr>
        <w:t xml:space="preserve">Affidavit allowance. </w:t>
      </w:r>
      <w:r>
        <w:rPr>
          <w:rFonts w:ascii="Times New Roman" w:hAnsi="Times New Roman"/>
          <w:b w:val="false"/>
          <w:i w:val="false"/>
          <w:color w:val="000000"/>
          <w:sz w:val="22"/>
        </w:rPr>
        <w:t>The owner of a plant or distribution system that is required to have a Grade A, I, IL, or II certified operator may sign an affidavit with a certified operator of the required classification and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81.16(2)</w:t>
      </w:r>
      <w:r>
        <w:rPr>
          <w:rFonts w:ascii="Times New Roman" w:hAnsi="Times New Roman"/>
          <w:b w:val="false"/>
          <w:i w:val="false"/>
          <w:color w:val="000000"/>
          <w:sz w:val="22"/>
        </w:rPr>
        <w:t> </w:t>
      </w:r>
      <w:r>
        <w:rPr>
          <w:rFonts w:ascii="Times New Roman" w:hAnsi="Times New Roman"/>
          <w:b w:val="false"/>
          <w:i/>
          <w:color w:val="000000"/>
          <w:sz w:val="22"/>
        </w:rPr>
        <w:t xml:space="preserve">Affidavit requirements. </w:t>
      </w:r>
      <w:r>
        <w:rPr>
          <w:rFonts w:ascii="Times New Roman" w:hAnsi="Times New Roman"/>
          <w:b w:val="false"/>
          <w:i w:val="false"/>
          <w:color w:val="000000"/>
          <w:sz w:val="22"/>
        </w:rPr>
        <w:t>This affidavit will verify that the certified operator is the operator-in-charge and has direct responsibility for a plant or distribution system that does not have first rights on the services of that operator. The affidavit form shall be provided by the director and shall require the name and signature of the certified operator, the operator’s certification number, class and grade, and the date of last renewal of the operator’s certificate. The affidavit form shall be proof that the certified operator has agreed to be directly responsible for the operation and maintenance of the plant or distribution system. The director may specify additional operational and maintenance requirements based on the complexity and size of the plant or distribution system. Four duly notarized copies of the affidavit must be returned to and approved by the director, based upon the ability of the certified operator to properly operate and maintain additional facilities. In event of disapproval, the owner of the plant or distribution system must terminate the agreement with the certified operator and seek the services of another certified operator. Both the owner of the plant or distribution system and the certified operator shall notify the director at least 30 days before the termination of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567—81.17</w:t>
      </w:r>
      <w:r>
        <w:rPr>
          <w:rFonts w:ascii="Times New Roman" w:hAnsi="Times New Roman"/>
          <w:b/>
          <w:i w:val="false"/>
          <w:color w:val="000000"/>
          <w:sz w:val="22"/>
        </w:rPr>
        <w:t xml:space="preserve">(455B,272C) </w:t>
      </w:r>
      <w:r>
        <w:rPr>
          <w:rFonts w:ascii="Times New Roman" w:hAnsi="Times New Roman"/>
          <w:b/>
          <w:i w:val="false"/>
          <w:color w:val="000000"/>
          <w:sz w:val="22"/>
        </w:rPr>
        <w:t xml:space="preserve">Disciplinary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81.17(1)</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disciplinary action. </w:t>
      </w:r>
      <w:r>
        <w:rPr>
          <w:rFonts w:ascii="Times New Roman" w:hAnsi="Times New Roman"/>
          <w:b w:val="false"/>
          <w:i w:val="false"/>
          <w:color w:val="000000"/>
          <w:sz w:val="22"/>
        </w:rPr>
        <w:t xml:space="preserve">Disciplinary action may be taken against a certified operator on any of the grounds specified in Iowa Code section </w:t>
      </w:r>
      <w:hyperlink r:id="rId50">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and chapter </w:t>
      </w:r>
      <w:hyperlink r:id="rId5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the following more specific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Wastewater operator duties. Examples of a wastewater operator’s duties are specified in the Water Environment Federation Manual of Practice #11, 1996; California State University—Sacramento (CSUS) Operation of Wastewater Treatment Plants, Volume I, 4th edition, 1998; CSUS Operation of Wastewater Treatment Plants, Volume II, 4th edition, 1998; CSUS Advanced Waste Treatment, 3rd edition, 1998; and </w:t>
      </w:r>
      <w:hyperlink r:id="rId52">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through </w:t>
      </w:r>
      <w:hyperlink r:id="rId53">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67</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Water treatment or distribution operator duties. Examples of a water treatment or distribution operator’s duties are specified in the American Water Works Association (AWWA) Manuals of Water Supply Practice (Volumes 1, 3-7, 9, 11-12, 14, 17, 19-38, 41-42, 44-48); AWWA Water Supply Operations Series, 2nd edition: Vol. 1, 1995; Vol. 2, 1995; Vol. 3, 1996; Vol. 4, 1995; and Vol. 5, 1995; AWWA Water Distribution Operator Handbook, 2nd edition, 1976; and California State University—Sacramento (CSUS) Water Treatment Plant Operation, Volume I, 4th edition, 1999; CSUS Water Treatment Plant Operation, Volume II, 3rd edition, 1998; CSUS Small Water System Operation and Maintenance, 4th edition, 1999; CSUS Water Distribution System Operation and Maintenance, 4th edition, 2000; and </w:t>
      </w:r>
      <w:hyperlink r:id="rId56">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records of operation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Conviction of criminal offenses directly related to the profession or occupation of the operator, consistent with Iowa Code sections </w:t>
      </w:r>
      <w:hyperlink r:id="rId59">
        <w:r>
          <w:rPr>
            <w:rStyle w:val="Hyperlink"/>
            <w:rFonts w:ascii="Times New Roman" w:hAnsi="Times New Roman"/>
            <w:b w:val="false"/>
            <w:i w:val="false"/>
            <w:color w:val="000000"/>
            <w:sz w:val="22"/>
          </w:rPr>
          <w:t>272C.1(8)</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272C.10(5)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the provisions of Iowa Code chapter </w:t>
      </w:r>
      <w:hyperlink r:id="rId6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6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81.17(2)</w:t>
      </w:r>
      <w:r>
        <w:rPr>
          <w:rFonts w:ascii="Times New Roman" w:hAnsi="Times New Roman"/>
          <w:b w:val="false"/>
          <w:i w:val="false"/>
          <w:color w:val="000000"/>
          <w:sz w:val="22"/>
        </w:rPr>
        <w:t> </w:t>
      </w:r>
      <w:r>
        <w:rPr>
          <w:rFonts w:ascii="Times New Roman" w:hAnsi="Times New Roman"/>
          <w:b w:val="false"/>
          <w:i/>
          <w:color w:val="000000"/>
          <w:sz w:val="22"/>
        </w:rPr>
        <w:t xml:space="preserve">Disciplinary sanctions. </w:t>
      </w:r>
      <w:r>
        <w:rPr>
          <w:rFonts w:ascii="Times New Roman" w:hAnsi="Times New Roman"/>
          <w:b w:val="false"/>
          <w:i w:val="false"/>
          <w:color w:val="000000"/>
          <w:sz w:val="22"/>
        </w:rPr>
        <w:t xml:space="preserve">Disciplinary sanctions may include those specified in Iowa Code section </w:t>
      </w:r>
      <w:hyperlink r:id="rId63">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Revocation of a certificate. </w:t>
      </w:r>
      <w:r>
        <w:rPr>
          <w:rFonts w:ascii="Times New Roman" w:hAnsi="Times New Roman"/>
          <w:b w:val="false"/>
          <w:i w:val="false"/>
          <w:color w:val="000000"/>
          <w:sz w:val="22"/>
        </w:rPr>
        <w:t>Revocation may be permanent without chance of recertification or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Partial revocation or suspension. </w:t>
      </w:r>
      <w:r>
        <w:rPr>
          <w:rFonts w:ascii="Times New Roman" w:hAnsi="Times New Roman"/>
          <w:b w:val="false"/>
          <w:i w:val="false"/>
          <w:color w:val="000000"/>
          <w:sz w:val="22"/>
        </w:rPr>
        <w:t>Revocation or suspension of the practice of a particular aspect of the operation of a plant or distribution system, including the restriction of operation to a particular plant or distribution system, or a particular type of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Probation under specified conditions relevant to the specific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education, training, and examination requirements. </w:t>
      </w:r>
      <w:r>
        <w:rPr>
          <w:rFonts w:ascii="Times New Roman" w:hAnsi="Times New Roman"/>
          <w:b w:val="false"/>
          <w:i w:val="false"/>
          <w:color w:val="000000"/>
          <w:sz w:val="22"/>
        </w:rPr>
        <w:t>Additional education, training, and reexamination may be required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Civil penalties not to exceed $1,000 may be assessed for causes identified in </w:t>
      </w:r>
      <w:hyperlink r:id="rId64">
        <w:r>
          <w:rPr>
            <w:rStyle w:val="Hyperlink"/>
            <w:rFonts w:ascii="Times New Roman" w:hAnsi="Times New Roman"/>
            <w:b w:val="false"/>
            <w:i w:val="false"/>
            <w:color w:val="000000"/>
            <w:sz w:val="22"/>
          </w:rPr>
          <w:t>81.17(1)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disciplinary action. </w:t>
      </w:r>
      <w:r>
        <w:rPr>
          <w:rFonts w:ascii="Times New Roman" w:hAnsi="Times New Roman"/>
          <w:b w:val="false"/>
          <w:i w:val="false"/>
          <w:color w:val="000000"/>
          <w:sz w:val="22"/>
        </w:rPr>
        <w:t xml:space="preserve">The department staff shall initiate a disciplinary action by conducting such lawful investigation as is necessary to establish a legal and factual basis for action. The administrator of the environmental protection commission or designee shall make a decision as to any disciplinary action based on the department staff recommendations. Except as specified by this subrule, the disciplinary action shall be initiated by a notice of intended action in accordance with rule </w:t>
      </w:r>
      <w:hyperlink r:id="rId65">
        <w:r>
          <w:rPr>
            <w:rStyle w:val="Hyperlink"/>
            <w:rFonts w:ascii="Times New Roman" w:hAnsi="Times New Roman"/>
            <w:b w:val="false"/>
            <w:i w:val="false"/>
            <w:color w:val="000000"/>
            <w:sz w:val="22"/>
          </w:rPr>
          <w:t>561—7.16</w:t>
        </w:r>
      </w:hyperlink>
      <w:r>
        <w:rPr>
          <w:rFonts w:ascii="Times New Roman" w:hAnsi="Times New Roman"/>
          <w:b w:val="false"/>
          <w:i w:val="false"/>
          <w:color w:val="000000"/>
          <w:sz w:val="22"/>
        </w:rPr>
        <w:t>(17A,455A). At any time, the licensee and the department may enter into a settlement agreement, subject to approval by the director, which provides for a disciplinary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 xml:space="preserve">Notwithstanding references in </w:t>
      </w:r>
      <w:hyperlink r:id="rId66">
        <w:r>
          <w:rPr>
            <w:rStyle w:val="Hyperlink"/>
            <w:rFonts w:ascii="Times New Roman" w:hAnsi="Times New Roman"/>
            <w:b w:val="false"/>
            <w:i w:val="false"/>
            <w:color w:val="000000"/>
            <w:sz w:val="22"/>
          </w:rPr>
          <w:t>561—subrule 7.16(4)</w:t>
        </w:r>
      </w:hyperlink>
      <w:r>
        <w:rPr>
          <w:rFonts w:ascii="Times New Roman" w:hAnsi="Times New Roman"/>
          <w:b w:val="false"/>
          <w:i w:val="false"/>
          <w:color w:val="000000"/>
          <w:sz w:val="22"/>
        </w:rPr>
        <w:t xml:space="preserve">, a licensee shall be deemed to have waived any right to a contested case hearing unless the licensee appeals the action and requests a hearing within 30 days of receipt of the notice of intended action. If a timely appeal is filed, further contested case procedures shall apply in accordance with </w:t>
      </w:r>
      <w:hyperlink r:id="rId67">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and review of proposed decision. </w:t>
      </w:r>
      <w:r>
        <w:rPr>
          <w:rFonts w:ascii="Times New Roman" w:hAnsi="Times New Roman"/>
          <w:b w:val="false"/>
          <w:i w:val="false"/>
          <w:color w:val="000000"/>
          <w:sz w:val="22"/>
        </w:rPr>
        <w:t xml:space="preserve">After a contested case hearing conducted in accordance with rule </w:t>
      </w:r>
      <w:hyperlink r:id="rId68">
        <w:r>
          <w:rPr>
            <w:rStyle w:val="Hyperlink"/>
            <w:rFonts w:ascii="Times New Roman" w:hAnsi="Times New Roman"/>
            <w:b w:val="false"/>
            <w:i w:val="false"/>
            <w:color w:val="000000"/>
            <w:sz w:val="22"/>
          </w:rPr>
          <w:t>561—7.14</w:t>
        </w:r>
      </w:hyperlink>
      <w:r>
        <w:rPr>
          <w:rFonts w:ascii="Times New Roman" w:hAnsi="Times New Roman"/>
          <w:b w:val="false"/>
          <w:i w:val="false"/>
          <w:color w:val="000000"/>
          <w:sz w:val="22"/>
        </w:rPr>
        <w:t xml:space="preserve">(17A,455A), the director shall review the presiding officer’s proposed decision issued in accordance with </w:t>
      </w:r>
      <w:hyperlink r:id="rId69">
        <w:r>
          <w:rPr>
            <w:rStyle w:val="Hyperlink"/>
            <w:rFonts w:ascii="Times New Roman" w:hAnsi="Times New Roman"/>
            <w:b w:val="false"/>
            <w:i w:val="false"/>
            <w:color w:val="000000"/>
            <w:sz w:val="22"/>
          </w:rPr>
          <w:t>561—subrule 7.15(3)</w:t>
        </w:r>
      </w:hyperlink>
      <w:r>
        <w:rPr>
          <w:rFonts w:ascii="Times New Roman" w:hAnsi="Times New Roman"/>
          <w:b w:val="false"/>
          <w:i w:val="false"/>
          <w:color w:val="000000"/>
          <w:sz w:val="22"/>
        </w:rPr>
        <w:t xml:space="preserve">. The proposed decision shall constitute a final decision of the director and the department unless the licensee or the director and department appeal the proposed decision to the environmental protection commission within 30 days of receipt as provided in </w:t>
      </w:r>
      <w:hyperlink r:id="rId70">
        <w:r>
          <w:rPr>
            <w:rStyle w:val="Hyperlink"/>
            <w:rFonts w:ascii="Times New Roman" w:hAnsi="Times New Roman"/>
            <w:b w:val="false"/>
            <w:i w:val="false"/>
            <w:color w:val="000000"/>
            <w:sz w:val="22"/>
          </w:rPr>
          <w:t>561—subrule 7.15(5)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suspension or revocation. </w:t>
      </w:r>
      <w:r>
        <w:rPr>
          <w:rFonts w:ascii="Times New Roman" w:hAnsi="Times New Roman"/>
          <w:b w:val="false"/>
          <w:i w:val="false"/>
          <w:color w:val="000000"/>
          <w:sz w:val="22"/>
        </w:rPr>
        <w:t xml:space="preserve">Notwithstanding any contrary interpretation in </w:t>
      </w:r>
      <w:hyperlink r:id="rId71">
        <w:r>
          <w:rPr>
            <w:rStyle w:val="Hyperlink"/>
            <w:rFonts w:ascii="Times New Roman" w:hAnsi="Times New Roman"/>
            <w:b w:val="false"/>
            <w:i w:val="false"/>
            <w:color w:val="000000"/>
            <w:sz w:val="22"/>
          </w:rPr>
          <w:t>561—subrule 7.16(7)</w:t>
        </w:r>
      </w:hyperlink>
      <w:r>
        <w:rPr>
          <w:rFonts w:ascii="Times New Roman" w:hAnsi="Times New Roman"/>
          <w:b w:val="false"/>
          <w:i w:val="false"/>
          <w:color w:val="000000"/>
          <w:sz w:val="22"/>
        </w:rPr>
        <w:t xml:space="preserve">, suspension, revocation or other disciplinary action shall be effective 30 days after receipt of the notice of intended action if the licensee fails to file a timely appeal and request for hearing. If a contested case hearing is timely requested, the disciplinary action is effective as specified in the presiding officer’s proposed decision unless the licensee obtains a stay of the action in accordance with </w:t>
      </w:r>
      <w:hyperlink r:id="rId72">
        <w:r>
          <w:rPr>
            <w:rStyle w:val="Hyperlink"/>
            <w:rFonts w:ascii="Times New Roman" w:hAnsi="Times New Roman"/>
            <w:b w:val="false"/>
            <w:i w:val="false"/>
            <w:color w:val="000000"/>
            <w:sz w:val="22"/>
          </w:rPr>
          <w:t>561—subrule 7.15(7)</w:t>
        </w:r>
      </w:hyperlink>
      <w:r>
        <w:rPr>
          <w:rFonts w:ascii="Times New Roman" w:hAnsi="Times New Roman"/>
          <w:b w:val="false"/>
          <w:i w:val="false"/>
          <w:color w:val="000000"/>
          <w:sz w:val="22"/>
        </w:rPr>
        <w:t xml:space="preserve"> pending a timely appeal to the environmental protection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Emergency disciplinary action. </w:t>
      </w:r>
      <w:r>
        <w:rPr>
          <w:rFonts w:ascii="Times New Roman" w:hAnsi="Times New Roman"/>
          <w:b w:val="false"/>
          <w:i w:val="false"/>
          <w:color w:val="000000"/>
          <w:sz w:val="22"/>
        </w:rPr>
        <w:t xml:space="preserve">The director may initiate an emergency suspension or other disciplinary action upon such grounds and following those procedures as provided in </w:t>
      </w:r>
      <w:hyperlink r:id="rId73">
        <w:r>
          <w:rPr>
            <w:rStyle w:val="Hyperlink"/>
            <w:rFonts w:ascii="Times New Roman" w:hAnsi="Times New Roman"/>
            <w:b w:val="false"/>
            <w:i w:val="false"/>
            <w:color w:val="000000"/>
            <w:sz w:val="22"/>
          </w:rPr>
          <w:t>561—subrule 7.16(6)</w:t>
        </w:r>
      </w:hyperlink>
      <w:r>
        <w:rPr>
          <w:rFonts w:ascii="Times New Roman" w:hAnsi="Times New Roman"/>
          <w:b w:val="false"/>
          <w:i w:val="false"/>
          <w:color w:val="000000"/>
          <w:sz w:val="22"/>
        </w:rPr>
        <w:t xml:space="preserve">. The terms of the emergency order shall be effective upon service as provided in </w:t>
      </w:r>
      <w:hyperlink r:id="rId74">
        <w:r>
          <w:rPr>
            <w:rStyle w:val="Hyperlink"/>
            <w:rFonts w:ascii="Times New Roman" w:hAnsi="Times New Roman"/>
            <w:b w:val="false"/>
            <w:i w:val="false"/>
            <w:color w:val="000000"/>
            <w:sz w:val="22"/>
          </w:rPr>
          <w:t>561—subrule 7.16(7)</w:t>
        </w:r>
      </w:hyperlink>
      <w:r>
        <w:rPr>
          <w:rFonts w:ascii="Times New Roman" w:hAnsi="Times New Roman"/>
          <w:b w:val="false"/>
          <w:i w:val="false"/>
          <w:color w:val="000000"/>
          <w:sz w:val="22"/>
        </w:rPr>
        <w:t>. The department shall promptly give notice of an opportunity to appeal and request a contested case hearing following the procedures as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revoked certificates. </w:t>
      </w:r>
      <w:r>
        <w:rPr>
          <w:rFonts w:ascii="Times New Roman" w:hAnsi="Times New Roman"/>
          <w:b w:val="false"/>
          <w:i w:val="false"/>
          <w:color w:val="000000"/>
          <w:sz w:val="22"/>
        </w:rPr>
        <w:t xml:space="preserve">Upon revocation of a certificate in accordance with the authority provided in Iowa Code section </w:t>
      </w:r>
      <w:hyperlink r:id="rId75">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and chapter </w:t>
      </w:r>
      <w:hyperlink r:id="rId7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application for certification may be allowed after two years from the date of revocation unless otherwise specified in accordance with </w:t>
      </w:r>
      <w:hyperlink r:id="rId77">
        <w:r>
          <w:rPr>
            <w:rStyle w:val="Hyperlink"/>
            <w:rFonts w:ascii="Times New Roman" w:hAnsi="Times New Roman"/>
            <w:b w:val="false"/>
            <w:i w:val="false"/>
            <w:color w:val="000000"/>
            <w:sz w:val="22"/>
          </w:rPr>
          <w:t>81.17(2)</w:t>
        </w:r>
      </w:hyperlink>
      <w:r>
        <w:rPr>
          <w:rFonts w:ascii="Times New Roman" w:hAnsi="Times New Roman"/>
          <w:b w:val="false"/>
          <w:i w:val="false"/>
          <w:color w:val="000000"/>
          <w:sz w:val="22"/>
        </w:rPr>
        <w:t xml:space="preserve">. Any such applicant must meet all education and experience eligibility requirements pursuant to </w:t>
      </w:r>
      <w:hyperlink r:id="rId78">
        <w:r>
          <w:rPr>
            <w:rStyle w:val="Hyperlink"/>
            <w:rFonts w:ascii="Times New Roman" w:hAnsi="Times New Roman"/>
            <w:b w:val="false"/>
            <w:i w:val="false"/>
            <w:color w:val="000000"/>
            <w:sz w:val="22"/>
          </w:rPr>
          <w:t>567—81.7</w:t>
        </w:r>
      </w:hyperlink>
      <w:r>
        <w:rPr>
          <w:rFonts w:ascii="Times New Roman" w:hAnsi="Times New Roman"/>
          <w:b w:val="false"/>
          <w:i w:val="false"/>
          <w:color w:val="000000"/>
          <w:sz w:val="22"/>
        </w:rPr>
        <w:t>(455B), and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81.17(4)</w:t>
      </w:r>
      <w:r>
        <w:rPr>
          <w:rFonts w:ascii="Times New Roman" w:hAnsi="Times New Roman"/>
          <w:b w:val="false"/>
          <w:i w:val="false"/>
          <w:color w:val="000000"/>
          <w:sz w:val="22"/>
        </w:rPr>
        <w:t> </w:t>
      </w:r>
      <w:r>
        <w:rPr>
          <w:rFonts w:ascii="Times New Roman" w:hAnsi="Times New Roman"/>
          <w:b w:val="false"/>
          <w:i/>
          <w:color w:val="000000"/>
          <w:sz w:val="22"/>
        </w:rPr>
        <w:t xml:space="preserve">Noncompliance with child support order procedures. </w:t>
      </w:r>
      <w:r>
        <w:rPr>
          <w:rFonts w:ascii="Times New Roman" w:hAnsi="Times New Roman"/>
          <w:b w:val="false"/>
          <w:i w:val="false"/>
          <w:color w:val="000000"/>
          <w:sz w:val="22"/>
        </w:rPr>
        <w:t xml:space="preserve">Upon receipt of a certification of noncompliance with a child support obligation as provided in Iowa Code section </w:t>
      </w:r>
      <w:hyperlink r:id="rId79">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certification or renewal, or to suspend a certification in accordance with Iowa Code section </w:t>
      </w:r>
      <w:hyperlink r:id="rId80">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to the person by restricted certified mail a notice of its intent to deny or suspend operator certification based on receipt of a certificate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81">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82">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8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5976C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4">
        <w:r>
          <w:rPr>
            <w:rStyle w:val="Hyperlink"/>
            <w:rFonts w:ascii="Times New Roman" w:hAnsi="Times New Roman"/>
            <w:b w:val="false"/>
            <w:i w:val="false"/>
            <w:color w:val="000000"/>
            <w:sz w:val="22"/>
          </w:rPr>
          <w:t>455B.211 to 455B.224</w:t>
        </w:r>
      </w:hyperlink>
      <w:r>
        <w:rPr>
          <w:rFonts w:ascii="Times New Roman" w:hAnsi="Times New Roman"/>
          <w:b w:val="false"/>
          <w:i w:val="false"/>
          <w:color w:val="000000"/>
          <w:sz w:val="22"/>
        </w:rPr>
        <w:t xml:space="preserve"> and chapter </w:t>
      </w:r>
      <w:hyperlink r:id="rId8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10, 1966; amended August 31, 1971, December 17, 1973, July 1, 1975]</w:t>
      </w:r>
    </w:p>
    <w:p>
      <w:pPr>
        <w:spacing w:before="0" w:after="0"/>
        <w:ind w:left="120"/>
        <w:jc w:val="center"/>
      </w:pPr>
      <w:r>
        <w:rPr>
          <w:rFonts w:ascii="Times New Roman" w:hAnsi="Times New Roman"/>
          <w:b w:val="false"/>
          <w:i w:val="false"/>
          <w:color w:val="000000"/>
          <w:sz w:val="21"/>
        </w:rPr>
        <w:t>[Filed 12/22/76, Notice 7/26/76—published 1/12/77, effective 2/16/77]</w:t>
      </w:r>
    </w:p>
    <w:p>
      <w:pPr>
        <w:spacing w:before="0" w:after="0"/>
        <w:ind w:left="120"/>
        <w:jc w:val="center"/>
      </w:pPr>
      <w:r>
        <w:rPr>
          <w:rFonts w:ascii="Times New Roman" w:hAnsi="Times New Roman"/>
          <w:b w:val="false"/>
          <w:i w:val="false"/>
          <w:color w:val="000000"/>
          <w:sz w:val="21"/>
        </w:rPr>
        <w:t>[Filed 2/25/77, Notice 12/15/76—published 3/23/77, effective 4/27/77]</w:t>
      </w:r>
    </w:p>
    <w:p>
      <w:pPr>
        <w:spacing w:before="0" w:after="0"/>
        <w:ind w:left="120"/>
        <w:jc w:val="center"/>
      </w:pPr>
      <w:r>
        <w:rPr>
          <w:rFonts w:ascii="Times New Roman" w:hAnsi="Times New Roman"/>
          <w:b w:val="false"/>
          <w:i w:val="false"/>
          <w:color w:val="000000"/>
          <w:sz w:val="21"/>
        </w:rPr>
        <w:t>[Filed emergency 7/27/78—published 8/23/78, effective 7/27/78]</w:t>
      </w:r>
    </w:p>
    <w:p>
      <w:pPr>
        <w:spacing w:before="0" w:after="0"/>
        <w:ind w:left="120"/>
        <w:jc w:val="center"/>
      </w:pPr>
      <w:r>
        <w:rPr>
          <w:rFonts w:ascii="Times New Roman" w:hAnsi="Times New Roman"/>
          <w:b w:val="false"/>
          <w:i w:val="false"/>
          <w:color w:val="000000"/>
          <w:sz w:val="21"/>
        </w:rPr>
        <w:t>[Filed 10/13/78, Notice 5/31/78—published 11/1/78, effective 12/6/78]</w:t>
      </w:r>
    </w:p>
    <w:p>
      <w:pPr>
        <w:spacing w:before="0" w:after="0"/>
        <w:ind w:left="120"/>
        <w:jc w:val="center"/>
      </w:pPr>
      <w:r>
        <w:rPr>
          <w:rFonts w:ascii="Times New Roman" w:hAnsi="Times New Roman"/>
          <w:b w:val="false"/>
          <w:i w:val="false"/>
          <w:color w:val="000000"/>
          <w:sz w:val="21"/>
        </w:rPr>
        <w:t>[Filed 1/20/82, Notice 7/22/81—published 2/17/82, effective 3/24/82]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12/28/84, Notice 10/10/84—published 1/16/85, effective 2/20/85]</w:t>
      </w:r>
    </w:p>
    <w:p>
      <w:pPr>
        <w:spacing w:before="0" w:after="0"/>
        <w:ind w:left="120"/>
        <w:jc w:val="center"/>
      </w:pPr>
      <w:r>
        <w:rPr>
          <w:rFonts w:ascii="Times New Roman" w:hAnsi="Times New Roman"/>
          <w:b w:val="false"/>
          <w:i w:val="false"/>
          <w:color w:val="000000"/>
          <w:sz w:val="21"/>
        </w:rPr>
        <w:t>[Filed emergency 3/8/85—published 3/27/85, effective 3/8/85]</w:t>
      </w:r>
    </w:p>
    <w:p>
      <w:pPr>
        <w:spacing w:before="0" w:after="0"/>
        <w:ind w:left="120"/>
        <w:jc w:val="center"/>
      </w:pPr>
      <w:r>
        <w:rPr>
          <w:rFonts w:ascii="Times New Roman" w:hAnsi="Times New Roman"/>
          <w:b w:val="false"/>
          <w:i w:val="false"/>
          <w:color w:val="000000"/>
          <w:sz w:val="21"/>
        </w:rPr>
        <w:t>[Filed 7/12/85, Notice 5/8/85—published 7/31/85, effective 9/4/85]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7/29/94, Notice 5/11/94—published 8/17/94, effective 9/21/94]</w:t>
      </w:r>
    </w:p>
    <w:p>
      <w:pPr>
        <w:spacing w:before="0" w:after="0"/>
        <w:ind w:left="120"/>
        <w:jc w:val="center"/>
      </w:pPr>
      <w:r>
        <w:rPr>
          <w:rFonts w:ascii="Times New Roman" w:hAnsi="Times New Roman"/>
          <w:b w:val="false"/>
          <w:i w:val="false"/>
          <w:color w:val="000000"/>
          <w:sz w:val="21"/>
        </w:rPr>
        <w:t>[Filed 11/22/00, Notice 6/14/00—published 12/13/00, effective 1/17/01]</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3/8/07, Notice 1/3/07—published 3/28/07, effective 5/2/07]</w:t>
      </w:r>
    </w:p>
    <w:p>
      <w:pPr>
        <w:spacing w:before="0" w:after="0"/>
        <w:ind w:left="120"/>
        <w:jc w:val="center"/>
      </w:pPr>
      <w:r>
        <w:rPr>
          <w:rFonts w:ascii="Times New Roman" w:hAnsi="Times New Roman"/>
          <w:b w:val="false"/>
          <w:i w:val="false"/>
          <w:color w:val="000000"/>
          <w:sz w:val="21"/>
        </w:rPr>
        <w:t>[Filed ARC 1911C</w:t>
      </w:r>
      <w:r>
        <w:rPr>
          <w:rFonts w:ascii="Times New Roman" w:hAnsi="Times New Roman"/>
          <w:b w:val="false"/>
          <w:i w:val="false"/>
          <w:color w:val="000000"/>
          <w:sz w:val="21"/>
        </w:rPr>
        <w:t xml:space="preserve"> (Notice ARC 1796C,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5976C</w:t>
      </w:r>
      <w:r>
        <w:rPr>
          <w:rFonts w:ascii="Times New Roman" w:hAnsi="Times New Roman"/>
          <w:b w:val="false"/>
          <w:i w:val="false"/>
          <w:color w:val="000000"/>
          <w:sz w:val="21"/>
        </w:rPr>
        <w:t xml:space="preserve"> (Notice ARC 5814C,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6193C</w:t>
      </w:r>
      <w:r>
        <w:rPr>
          <w:rFonts w:ascii="Times New Roman" w:hAnsi="Times New Roman"/>
          <w:b w:val="false"/>
          <w:i w:val="false"/>
          <w:color w:val="000000"/>
          <w:sz w:val="21"/>
        </w:rPr>
        <w:t xml:space="preserve"> (Notice ARC 6039C, IAB 11/17/21)</w:t>
      </w:r>
      <w:r>
        <w:rPr>
          <w:rFonts w:ascii="Times New Roman" w:hAnsi="Times New Roman"/>
          <w:b w:val="false"/>
          <w:i w:val="false"/>
          <w:color w:val="000000"/>
          <w:sz w:val="21"/>
        </w:rPr>
        <w:t>, IAB 2/9/22, effective 3/16/22]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11.pdf" Type="http://schemas.openxmlformats.org/officeDocument/2006/relationships/hyperlink" Id="rId5"/>
    <Relationship TargetMode="External" Target="https://www.legis.iowa.gov/docs/iac/rule/567.40.2.pdf" Type="http://schemas.openxmlformats.org/officeDocument/2006/relationships/hyperlink" Id="rId6"/>
    <Relationship TargetMode="External" Target="https://www.legis.iowa.gov/docs/ico/chapter/29A.1.pdf" Type="http://schemas.openxmlformats.org/officeDocument/2006/relationships/hyperlink" Id="rId7"/>
    <Relationship TargetMode="External" Target="https://www.legis.iowa.gov/docs/ico/chapter/357.pdf" Type="http://schemas.openxmlformats.org/officeDocument/2006/relationships/hyperlink" Id="rId8"/>
    <Relationship TargetMode="External" Target="https://www.legis.iowa.gov/docs/ico/chapter/357A.pdf" Type="http://schemas.openxmlformats.org/officeDocument/2006/relationships/hyperlink" Id="rId9"/>
    <Relationship TargetMode="External" Target="https://www.legis.iowa.gov/docs/ico/chapter/358.pdf" Type="http://schemas.openxmlformats.org/officeDocument/2006/relationships/hyperlink" Id="rId10"/>
    <Relationship TargetMode="External" Target="https://www.legis.iowa.gov/docs/ico/chapter/35.1.pdf" Type="http://schemas.openxmlformats.org/officeDocument/2006/relationships/hyperlink" Id="rId11"/>
    <Relationship TargetMode="External" Target="https://www.legis.iowa.gov/docs/iac/rule/567.81.3.pdf" Type="http://schemas.openxmlformats.org/officeDocument/2006/relationships/hyperlink" Id="rId12"/>
    <Relationship TargetMode="External" Target="https://www.legis.iowa.gov/docs/iac/rule/567.81.6.pdf" Type="http://schemas.openxmlformats.org/officeDocument/2006/relationships/hyperlink" Id="rId13"/>
    <Relationship TargetMode="External" Target="https://www.legis.iowa.gov/docs/iac/rule/567.81.2.pdf" Type="http://schemas.openxmlformats.org/officeDocument/2006/relationships/hyperlink" Id="rId14"/>
    <Relationship TargetMode="External" Target="https://www.legis.iowa.gov/docs/iac/rule/567.81.2.pdf" Type="http://schemas.openxmlformats.org/officeDocument/2006/relationships/hyperlink" Id="rId15"/>
    <Relationship TargetMode="External" Target="https://www.legis.iowa.gov/docs/iac/rule/567.81.2.pdf" Type="http://schemas.openxmlformats.org/officeDocument/2006/relationships/hyperlink" Id="rId16"/>
    <Relationship TargetMode="External" Target="https://www.legis.iowa.gov/docs/iac/chapter/567.69.pdf" Type="http://schemas.openxmlformats.org/officeDocument/2006/relationships/hyperlink" Id="rId17"/>
    <Relationship TargetMode="External" Target="https://www.legis.iowa.gov/docs/iac/rule/567.81.6.pdf" Type="http://schemas.openxmlformats.org/officeDocument/2006/relationships/hyperlink" Id="rId18"/>
    <Relationship TargetMode="External" Target="https://www.legis.iowa.gov/docs/iac/rule/567.81.6.pdf" Type="http://schemas.openxmlformats.org/officeDocument/2006/relationships/hyperlink" Id="rId19"/>
    <Relationship TargetMode="External" Target="https://www.legis.iowa.gov/docs/iac/rule/567.81.7.pdf" Type="http://schemas.openxmlformats.org/officeDocument/2006/relationships/hyperlink" Id="rId20"/>
    <Relationship TargetMode="External" Target="https://www.legis.iowa.gov/docs/iac/rule/567.81.7.pdf" Type="http://schemas.openxmlformats.org/officeDocument/2006/relationships/hyperlink" Id="rId21"/>
    <Relationship TargetMode="External" Target="https://www.legis.iowa.gov/docs/iac/rule/567.81.7.pdf" Type="http://schemas.openxmlformats.org/officeDocument/2006/relationships/hyperlink" Id="rId22"/>
    <Relationship TargetMode="External" Target="https://www.legis.iowa.gov/docs/iac/rule/567.81.7.pdf" Type="http://schemas.openxmlformats.org/officeDocument/2006/relationships/hyperlink" Id="rId23"/>
    <Relationship TargetMode="External" Target="https://www.legis.iowa.gov/docs/iac/rule/567.81.7.pdf" Type="http://schemas.openxmlformats.org/officeDocument/2006/relationships/hyperlink" Id="rId24"/>
    <Relationship TargetMode="External" Target="https://www.legis.iowa.gov/docs/iac/rule/567.81.7.pdf" Type="http://schemas.openxmlformats.org/officeDocument/2006/relationships/hyperlink" Id="rId25"/>
    <Relationship TargetMode="External" Target="https://www.legis.iowa.gov/docs/iac/rule/567.81.7.pdf" Type="http://schemas.openxmlformats.org/officeDocument/2006/relationships/hyperlink" Id="rId26"/>
    <Relationship TargetMode="External" Target="https://www.legis.iowa.gov/docs/iac/rule/567.81.7.pdf" Type="http://schemas.openxmlformats.org/officeDocument/2006/relationships/hyperlink" Id="rId27"/>
    <Relationship TargetMode="External" Target="https://www.legis.iowa.gov/docs/iac/rule/567.81.7.pdf" Type="http://schemas.openxmlformats.org/officeDocument/2006/relationships/hyperlink" Id="rId28"/>
    <Relationship TargetMode="External" Target="https://www.legis.iowa.gov/docs/iac/rule/567.81.7.pdf" Type="http://schemas.openxmlformats.org/officeDocument/2006/relationships/hyperlink" Id="rId29"/>
    <Relationship TargetMode="External" Target="https://www.legis.iowa.gov/docs/iac/rule/567.81.7.pdf" Type="http://schemas.openxmlformats.org/officeDocument/2006/relationships/hyperlink" Id="rId30"/>
    <Relationship TargetMode="External" Target="https://www.legis.iowa.gov/docs/iac/rule/567.81.9.pdf" Type="http://schemas.openxmlformats.org/officeDocument/2006/relationships/hyperlink" Id="rId31"/>
    <Relationship TargetMode="External" Target="https://www.legis.iowa.gov/docs/iac/rule/567.81.8.pdf" Type="http://schemas.openxmlformats.org/officeDocument/2006/relationships/hyperlink" Id="rId32"/>
    <Relationship TargetMode="External" Target="https://www.legis.iowa.gov/docs/iac/rule/567.81.8.pdf" Type="http://schemas.openxmlformats.org/officeDocument/2006/relationships/hyperlink" Id="rId33"/>
    <Relationship TargetMode="External" Target="https://www.legis.iowa.gov/docs/iac/rule/567.81.11.pdf" Type="http://schemas.openxmlformats.org/officeDocument/2006/relationships/hyperlink" Id="rId34"/>
    <Relationship TargetMode="External" Target="https://www.legis.iowa.gov/docs/iac/rule/567.81.11.pdf" Type="http://schemas.openxmlformats.org/officeDocument/2006/relationships/hyperlink" Id="rId35"/>
    <Relationship TargetMode="External" Target="https://www.legis.iowa.gov/docs/iac/rule/567.81.11.pdf" Type="http://schemas.openxmlformats.org/officeDocument/2006/relationships/hyperlink" Id="rId36"/>
    <Relationship TargetMode="External" Target="https://www.legis.iowa.gov/docs/iac/rule/567.81.11.pdf" Type="http://schemas.openxmlformats.org/officeDocument/2006/relationships/hyperlink" Id="rId37"/>
    <Relationship TargetMode="External" Target="https://www.legis.iowa.gov/docs/iac/rule/567.81.11.pdf" Type="http://schemas.openxmlformats.org/officeDocument/2006/relationships/hyperlink" Id="rId38"/>
    <Relationship TargetMode="External" Target="https://www.legis.iowa.gov/docs/iac/rule/567.81.7.pdf" Type="http://schemas.openxmlformats.org/officeDocument/2006/relationships/hyperlink" Id="rId39"/>
    <Relationship TargetMode="External" Target="https://www.legis.iowa.gov/docs/iac/rule/567.81.11.pdf" Type="http://schemas.openxmlformats.org/officeDocument/2006/relationships/hyperlink" Id="rId40"/>
    <Relationship TargetMode="External" Target="https://www.legis.iowa.gov/docs/ico/chapter/35.1.pdf" Type="http://schemas.openxmlformats.org/officeDocument/2006/relationships/hyperlink" Id="rId41"/>
    <Relationship TargetMode="External" Target="https://www.legis.iowa.gov/docs/iac/rule/567.81.10.pdf" Type="http://schemas.openxmlformats.org/officeDocument/2006/relationships/hyperlink" Id="rId42"/>
    <Relationship TargetMode="External" Target="https://www.legis.iowa.gov/docs/iac/rule/567.81.7.pdf" Type="http://schemas.openxmlformats.org/officeDocument/2006/relationships/hyperlink" Id="rId43"/>
    <Relationship TargetMode="External" Target="https://www.legis.iowa.gov/docs/iac/rule/567.81.10.pdf" Type="http://schemas.openxmlformats.org/officeDocument/2006/relationships/hyperlink" Id="rId44"/>
    <Relationship TargetMode="External" Target="https://www.legis.iowa.gov/docs/iac/rule/567.81.7.pdf" Type="http://schemas.openxmlformats.org/officeDocument/2006/relationships/hyperlink" Id="rId45"/>
    <Relationship TargetMode="External" Target="https://www.legis.iowa.gov/docs/iac/rule/567.81.9.pdf" Type="http://schemas.openxmlformats.org/officeDocument/2006/relationships/hyperlink" Id="rId46"/>
    <Relationship TargetMode="External" Target="https://www.legis.iowa.gov/docs/iac/rule/567.81.10.pdf" Type="http://schemas.openxmlformats.org/officeDocument/2006/relationships/hyperlink" Id="rId47"/>
    <Relationship TargetMode="External" Target="https://www.legis.iowa.gov/docs/iac/rule/567.81.13.pdf" Type="http://schemas.openxmlformats.org/officeDocument/2006/relationships/hyperlink" Id="rId48"/>
    <Relationship TargetMode="External" Target="https://www.legis.iowa.gov/docs/iac/rule/567.81.14.pdf" Type="http://schemas.openxmlformats.org/officeDocument/2006/relationships/hyperlink" Id="rId49"/>
    <Relationship TargetMode="External" Target="https://www.legis.iowa.gov/docs/ico/chapter/455B.219.pdf" Type="http://schemas.openxmlformats.org/officeDocument/2006/relationships/hyperlink" Id="rId50"/>
    <Relationship TargetMode="External" Target="https://www.legis.iowa.gov/docs/ico/chapter/272C.pdf" Type="http://schemas.openxmlformats.org/officeDocument/2006/relationships/hyperlink" Id="rId51"/>
    <Relationship TargetMode="External" Target="https://www.legis.iowa.gov/docs/iac/chapter/567.60.pdf" Type="http://schemas.openxmlformats.org/officeDocument/2006/relationships/hyperlink" Id="rId52"/>
    <Relationship TargetMode="External" Target="https://www.legis.iowa.gov/docs/iac/chapter/567.64.pdf" Type="http://schemas.openxmlformats.org/officeDocument/2006/relationships/hyperlink" Id="rId53"/>
    <Relationship TargetMode="External" Target="https://www.legis.iowa.gov/docs/iac/chapter/567.67.pdf" Type="http://schemas.openxmlformats.org/officeDocument/2006/relationships/hyperlink" Id="rId54"/>
    <Relationship TargetMode="External" Target="https://www.legis.iowa.gov/docs/iac/chapter/567.83.pdf" Type="http://schemas.openxmlformats.org/officeDocument/2006/relationships/hyperlink" Id="rId55"/>
    <Relationship TargetMode="External" Target="https://www.legis.iowa.gov/docs/iac/chapter/567.40.pdf" Type="http://schemas.openxmlformats.org/officeDocument/2006/relationships/hyperlink" Id="rId56"/>
    <Relationship TargetMode="External" Target="https://www.legis.iowa.gov/docs/iac/chapter/567.43.pdf" Type="http://schemas.openxmlformats.org/officeDocument/2006/relationships/hyperlink" Id="rId57"/>
    <Relationship TargetMode="External" Target="https://www.legis.iowa.gov/docs/iac/chapter/567.83.pdf" Type="http://schemas.openxmlformats.org/officeDocument/2006/relationships/hyperlink" Id="rId58"/>
    <Relationship TargetMode="External" Target="https://www.legis.iowa.gov/docs/ico/chapter/272C.1.pdf" Type="http://schemas.openxmlformats.org/officeDocument/2006/relationships/hyperlink" Id="rId59"/>
    <Relationship TargetMode="External" Target="https://www.legis.iowa.gov/docs/ico/chapter/272C.10.pdf" Type="http://schemas.openxmlformats.org/officeDocument/2006/relationships/hyperlink" Id="rId60"/>
    <Relationship TargetMode="External" Target="https://www.legis.iowa.gov/docs/ico/chapter/272C.pdf" Type="http://schemas.openxmlformats.org/officeDocument/2006/relationships/hyperlink" Id="rId61"/>
    <Relationship TargetMode="External" Target="https://www.legis.iowa.gov/docs/ico/chapter/455B.pdf" Type="http://schemas.openxmlformats.org/officeDocument/2006/relationships/hyperlink" Id="rId62"/>
    <Relationship TargetMode="External" Target="https://www.legis.iowa.gov/docs/ico/chapter/272C.3.pdf" Type="http://schemas.openxmlformats.org/officeDocument/2006/relationships/hyperlink" Id="rId63"/>
    <Relationship TargetMode="External" Target="https://www.legis.iowa.gov/docs/iac/rule/567.81.17.pdf" Type="http://schemas.openxmlformats.org/officeDocument/2006/relationships/hyperlink" Id="rId64"/>
    <Relationship TargetMode="External" Target="https://www.legis.iowa.gov/docs/iac/rule/561.7.16.pdf" Type="http://schemas.openxmlformats.org/officeDocument/2006/relationships/hyperlink" Id="rId65"/>
    <Relationship TargetMode="External" Target="https://www.legis.iowa.gov/docs/iac/rule/561.7.16.pdf" Type="http://schemas.openxmlformats.org/officeDocument/2006/relationships/hyperlink" Id="rId66"/>
    <Relationship TargetMode="External" Target="https://www.legis.iowa.gov/docs/iac/chapter/561.7.pdf" Type="http://schemas.openxmlformats.org/officeDocument/2006/relationships/hyperlink" Id="rId67"/>
    <Relationship TargetMode="External" Target="https://www.legis.iowa.gov/docs/iac/rule/561.7.14.pdf" Type="http://schemas.openxmlformats.org/officeDocument/2006/relationships/hyperlink" Id="rId68"/>
    <Relationship TargetMode="External" Target="https://www.legis.iowa.gov/docs/iac/rule/561.7.15.pdf" Type="http://schemas.openxmlformats.org/officeDocument/2006/relationships/hyperlink" Id="rId69"/>
    <Relationship TargetMode="External" Target="https://www.legis.iowa.gov/docs/iac/rule/561.7.15.pdf" Type="http://schemas.openxmlformats.org/officeDocument/2006/relationships/hyperlink" Id="rId70"/>
    <Relationship TargetMode="External" Target="https://www.legis.iowa.gov/docs/iac/rule/561.7.16.pdf" Type="http://schemas.openxmlformats.org/officeDocument/2006/relationships/hyperlink" Id="rId71"/>
    <Relationship TargetMode="External" Target="https://www.legis.iowa.gov/docs/iac/rule/561.7.15.pdf" Type="http://schemas.openxmlformats.org/officeDocument/2006/relationships/hyperlink" Id="rId72"/>
    <Relationship TargetMode="External" Target="https://www.legis.iowa.gov/docs/iac/rule/561.7.16.pdf" Type="http://schemas.openxmlformats.org/officeDocument/2006/relationships/hyperlink" Id="rId73"/>
    <Relationship TargetMode="External" Target="https://www.legis.iowa.gov/docs/iac/rule/561.7.16.pdf" Type="http://schemas.openxmlformats.org/officeDocument/2006/relationships/hyperlink" Id="rId74"/>
    <Relationship TargetMode="External" Target="https://www.legis.iowa.gov/docs/ico/chapter/455B.219.pdf" Type="http://schemas.openxmlformats.org/officeDocument/2006/relationships/hyperlink" Id="rId75"/>
    <Relationship TargetMode="External" Target="https://www.legis.iowa.gov/docs/ico/chapter/272C.pdf" Type="http://schemas.openxmlformats.org/officeDocument/2006/relationships/hyperlink" Id="rId76"/>
    <Relationship TargetMode="External" Target="https://www.legis.iowa.gov/docs/iac/rule/567.81.17.pdf" Type="http://schemas.openxmlformats.org/officeDocument/2006/relationships/hyperlink" Id="rId77"/>
    <Relationship TargetMode="External" Target="https://www.legis.iowa.gov/docs/iac/rule/567.81.7.pdf" Type="http://schemas.openxmlformats.org/officeDocument/2006/relationships/hyperlink" Id="rId78"/>
    <Relationship TargetMode="External" Target="https://www.legis.iowa.gov/docs/ico/chapter/252J.7.pdf" Type="http://schemas.openxmlformats.org/officeDocument/2006/relationships/hyperlink" Id="rId79"/>
    <Relationship TargetMode="External" Target="https://www.legis.iowa.gov/docs/ico/chapter/252J.8.pdf" Type="http://schemas.openxmlformats.org/officeDocument/2006/relationships/hyperlink" Id="rId80"/>
    <Relationship TargetMode="External" Target="https://www.legis.iowa.gov/docs/ico/chapter/252J.8.pdf" Type="http://schemas.openxmlformats.org/officeDocument/2006/relationships/hyperlink" Id="rId81"/>
    <Relationship TargetMode="External" Target="https://www.legis.iowa.gov/docs/ico/chapter/252J.8.pdf" Type="http://schemas.openxmlformats.org/officeDocument/2006/relationships/hyperlink" Id="rId82"/>
    <Relationship TargetMode="External" Target="https://www.legis.iowa.gov/docs/ico/chapter/252J.9.pdf" Type="http://schemas.openxmlformats.org/officeDocument/2006/relationships/hyperlink" Id="rId83"/>
    <Relationship TargetMode="External" Target="https://www.legis.iowa.gov/docs/ico/chapter/455B.211-224.pdf" Type="http://schemas.openxmlformats.org/officeDocument/2006/relationships/hyperlink" Id="rId84"/>
    <Relationship TargetMode="External" Target="https://www.legis.iowa.gov/docs/ico/chapter/272C.pdf" Type="http://schemas.openxmlformats.org/officeDocument/2006/relationships/hyperlink" Id="rId8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