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FLOODPLAIN OR FLOODWAY DEVELOPMENT—</w:t>
      </w:r>
      <w:r>
        <w:br/>
      </w:r>
      <w:r>
        <w:rPr>
          <w:rFonts w:ascii="Times New Roman" w:hAnsi="Times New Roman"/>
          <w:b w:val="false"/>
          <w:i w:val="false"/>
          <w:color w:val="000000"/>
          <w:sz w:val="21"/>
        </w:rPr>
        <w:t>WHEN APPROVAL IS REQUIRED</w:t>
      </w:r>
    </w:p>
    <w:p>
      <w:pPr>
        <w:spacing w:before="0" w:after="0"/>
        <w:ind w:left="120"/>
        <w:jc w:val="center"/>
      </w:pPr>
      <w:r>
        <w:rPr>
          <w:rFonts w:ascii="Times New Roman" w:hAnsi="Times New Roman"/>
          <w:b w:val="false"/>
          <w:i w:val="false"/>
          <w:color w:val="000000"/>
          <w:sz w:val="14"/>
        </w:rPr>
        <w:t>[Prior to 7/1/83, INRC, Ch 5, Div.</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1]</w:t>
      </w:r>
    </w:p>
    <w:p>
      <w:pPr>
        <w:spacing w:before="0" w:after="0"/>
        <w:ind w:left="120"/>
        <w:jc w:val="center"/>
      </w:pPr>
      <w:r>
        <w:rPr>
          <w:rFonts w:ascii="Times New Roman" w:hAnsi="Times New Roman"/>
          <w:b w:val="false"/>
          <w:i w:val="false"/>
          <w:color w:val="000000"/>
          <w:sz w:val="14"/>
        </w:rPr>
        <w:t>[Prior to 12/3/86, Water, Air and Waste Management[900]]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PREAMBLE</w:t>
      </w:r>
      <w:r>
        <w:rPr>
          <w:rFonts w:ascii="Times New Roman" w:hAnsi="Times New Roman"/>
          <w:b w:val="false"/>
          <w:i w:val="false"/>
          <w:color w:val="000000"/>
          <w:sz w:val="22"/>
        </w:rPr>
        <w:t>: This chapter contains administrative thresholds which implement the statutory requirement that approval from the department be obtained for any development including construction, maintenance and use of a structure, dam, obstruction, deposit, excavation or “flood control work” on a floodplain or floodway. These administrative thresholds are organized into categories such as “channel changes,” “levees or dikes,” “buildings,” etc. Any doubt concerning whether a project or activity requires approval under these thresholds should be resolved by a request for advice from the department.</w:t>
      </w:r>
    </w:p>
    <w:p>
      <w:pPr>
        <w:spacing w:before="0" w:after="0"/>
        <w:ind w:left="120"/>
        <w:jc w:val="left"/>
      </w:pPr>
      <w:r>
        <w:rPr>
          <w:rFonts w:ascii="Times New Roman" w:hAnsi="Times New Roman"/>
          <w:b w:val="false"/>
          <w:i w:val="false"/>
          <w:color w:val="000000"/>
          <w:sz w:val="22"/>
        </w:rPr>
        <w:t xml:space="preserve">The department may delegate regulatory authority to a local government by approving local floodplain regulations (see </w:t>
      </w:r>
      <w:hyperlink r:id="rId5">
        <w:r>
          <w:rPr>
            <w:rStyle w:val="Hyperlink"/>
            <w:rFonts w:ascii="Times New Roman" w:hAnsi="Times New Roman"/>
            <w:b w:val="false"/>
            <w:i w:val="false"/>
            <w:color w:val="000000"/>
            <w:sz w:val="22"/>
          </w:rPr>
          <w:t>567—Chapter 75</w:t>
        </w:r>
      </w:hyperlink>
      <w:r>
        <w:rPr>
          <w:rFonts w:ascii="Times New Roman" w:hAnsi="Times New Roman"/>
          <w:b w:val="false"/>
          <w:i w:val="false"/>
          <w:color w:val="000000"/>
          <w:sz w:val="22"/>
        </w:rPr>
        <w:t>). To determine whether the department has delegated regulatory authority over a specific category of project at a specific location, an inquiry should be made to:</w:t>
      </w:r>
    </w:p>
    <w:p>
      <w:pPr>
        <w:spacing w:before="0" w:after="0"/>
        <w:ind w:left="356"/>
        <w:jc w:val="left"/>
      </w:pPr>
      <w:r>
        <w:rPr>
          <w:rFonts w:ascii="Times New Roman" w:hAnsi="Times New Roman"/>
          <w:b w:val="false"/>
          <w:i w:val="false"/>
          <w:color w:val="000000"/>
          <w:sz w:val="22"/>
        </w:rPr>
        <w:t>State Coordinator</w:t>
      </w:r>
    </w:p>
    <w:p>
      <w:pPr>
        <w:spacing w:before="0" w:after="0"/>
        <w:ind w:left="356"/>
        <w:jc w:val="left"/>
      </w:pPr>
      <w:r>
        <w:rPr>
          <w:rFonts w:ascii="Times New Roman" w:hAnsi="Times New Roman"/>
          <w:b w:val="false"/>
          <w:i w:val="false"/>
          <w:color w:val="000000"/>
          <w:sz w:val="22"/>
        </w:rPr>
        <w:t>National Flood Insurance Program</w:t>
      </w:r>
    </w:p>
    <w:p>
      <w:pPr>
        <w:spacing w:before="0" w:after="0"/>
        <w:ind w:left="356"/>
        <w:jc w:val="left"/>
      </w:pPr>
      <w:r>
        <w:rPr>
          <w:rFonts w:ascii="Times New Roman" w:hAnsi="Times New Roman"/>
          <w:b w:val="false"/>
          <w:i w:val="false"/>
          <w:color w:val="000000"/>
          <w:sz w:val="22"/>
        </w:rPr>
        <w:t>Iowa Department of Natural Resources</w:t>
      </w:r>
    </w:p>
    <w:p>
      <w:pPr>
        <w:spacing w:before="0" w:after="0"/>
        <w:ind w:left="356"/>
        <w:jc w:val="left"/>
      </w:pPr>
      <w:r>
        <w:rPr>
          <w:rFonts w:ascii="Times New Roman" w:hAnsi="Times New Roman"/>
          <w:b w:val="false"/>
          <w:i w:val="false"/>
          <w:color w:val="000000"/>
          <w:sz w:val="22"/>
        </w:rPr>
        <w:t>Wallace State Office Building</w:t>
      </w:r>
    </w:p>
    <w:p>
      <w:pPr>
        <w:spacing w:before="0" w:after="0"/>
        <w:ind w:left="356"/>
        <w:jc w:val="left"/>
      </w:pPr>
      <w:r>
        <w:rPr>
          <w:rFonts w:ascii="Times New Roman" w:hAnsi="Times New Roman"/>
          <w:b w:val="false"/>
          <w:i w:val="false"/>
          <w:color w:val="000000"/>
          <w:sz w:val="22"/>
        </w:rPr>
        <w:t>Des Moines, Iowa 50319</w:t>
      </w:r>
    </w:p>
    <w:p>
      <w:pPr>
        <w:spacing w:before="0" w:after="0"/>
        <w:ind w:left="356"/>
        <w:jc w:val="left"/>
      </w:pPr>
      <w:r>
        <w:rPr>
          <w:rFonts w:ascii="Times New Roman" w:hAnsi="Times New Roman"/>
          <w:b w:val="false"/>
          <w:i w:val="false"/>
          <w:color w:val="000000"/>
          <w:sz w:val="22"/>
        </w:rPr>
        <w:t>Telephone: (515)725-8200</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567—71.1</w:t>
      </w:r>
      <w:r>
        <w:rPr>
          <w:rFonts w:ascii="Times New Roman" w:hAnsi="Times New Roman"/>
          <w:b/>
          <w:i w:val="false"/>
          <w:color w:val="000000"/>
          <w:sz w:val="22"/>
        </w:rPr>
        <w:t xml:space="preserve">(455B) </w:t>
      </w:r>
      <w:r>
        <w:rPr>
          <w:rFonts w:ascii="Times New Roman" w:hAnsi="Times New Roman"/>
          <w:b/>
          <w:i w:val="false"/>
          <w:color w:val="000000"/>
          <w:sz w:val="22"/>
        </w:rPr>
        <w:t xml:space="preserve">Bridges, culverts, temporary stream crossings, and road embankments. </w:t>
      </w:r>
      <w:r>
        <w:rPr>
          <w:rFonts w:ascii="Times New Roman" w:hAnsi="Times New Roman"/>
          <w:b w:val="false"/>
          <w:i w:val="false"/>
          <w:color w:val="000000"/>
          <w:sz w:val="22"/>
        </w:rPr>
        <w:t>Approval by the department for the construction, operation, and maintenance of bridges, culverts, temporary stream crossings, and road embankments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Rural area—floodway. </w:t>
      </w:r>
      <w:r>
        <w:rPr>
          <w:rFonts w:ascii="Times New Roman" w:hAnsi="Times New Roman"/>
          <w:b w:val="false"/>
          <w:i w:val="false"/>
          <w:color w:val="000000"/>
          <w:sz w:val="22"/>
        </w:rPr>
        <w:t>In rural areas, bridges, culverts, road embankments, and temporary stream crossings in or on the floodway of any river or stream draining more than 100 square miles. (</w:t>
      </w:r>
      <w:r>
        <w:rPr>
          <w:rFonts w:ascii="Times New Roman" w:hAnsi="Times New Roman"/>
          <w:b w:val="false"/>
          <w:i w:val="false"/>
          <w:color w:val="000000"/>
          <w:sz w:val="22"/>
        </w:rPr>
        <w:t>NOTE:</w:t>
      </w:r>
      <w:r>
        <w:rPr>
          <w:rFonts w:ascii="Times New Roman" w:hAnsi="Times New Roman"/>
          <w:b w:val="false"/>
          <w:i w:val="false"/>
          <w:color w:val="000000"/>
          <w:sz w:val="22"/>
        </w:rPr>
        <w:t xml:space="preserve"> Channel modifications associated with bridge, culvert or roadway projects may need approval; see </w:t>
      </w:r>
      <w:hyperlink r:id="rId6">
        <w:r>
          <w:rPr>
            <w:rStyle w:val="Hyperlink"/>
            <w:rFonts w:ascii="Times New Roman" w:hAnsi="Times New Roman"/>
            <w:b w:val="false"/>
            <w:i w:val="false"/>
            <w:color w:val="000000"/>
            <w:sz w:val="22"/>
          </w:rPr>
          <w:t>567—71.2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Rural area—floodway and floodplain. </w:t>
      </w:r>
      <w:r>
        <w:rPr>
          <w:rFonts w:ascii="Times New Roman" w:hAnsi="Times New Roman"/>
          <w:b w:val="false"/>
          <w:i w:val="false"/>
          <w:color w:val="000000"/>
          <w:sz w:val="22"/>
        </w:rPr>
        <w:t xml:space="preserve">Road embankments located in the floodway or floodplains, but not crossing the channel of a river or stream draining more than 10 square miles, where such works occupy more than 3 percent of the cross-sectional area of the channel at bankfull stage or where such works obstruct more than 15 percent of the total cross-sectional area of the floodplain at any stage. In determining a 15 percent occupancy of the floodplain, the concept of equal and opposite conveyance as defined in </w:t>
      </w:r>
      <w:hyperlink r:id="rId7">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bridges, culverts, road embankments and temporary stream crossings in or on the floodway or floodplains of any river or stream draining more than 2 square miles.</w:t>
      </w:r>
    </w:p>
    <w:p>
      <w:pPr>
        <w:spacing w:before="0" w:after="0"/>
        <w:ind w:left="120"/>
        <w:jc w:val="both"/>
      </w:pPr>
      <w:r>
        <w:rPr>
          <w:rFonts w:ascii="Times New Roman" w:hAnsi="Times New Roman"/>
          <w:b/>
          <w:i w:val="false"/>
          <w:color w:val="000000"/>
          <w:sz w:val="22"/>
        </w:rPr>
        <w:t>567—71.2</w:t>
      </w:r>
      <w:r>
        <w:rPr>
          <w:rFonts w:ascii="Times New Roman" w:hAnsi="Times New Roman"/>
          <w:b/>
          <w:i w:val="false"/>
          <w:color w:val="000000"/>
          <w:sz w:val="22"/>
        </w:rPr>
        <w:t xml:space="preserve">(455B) </w:t>
      </w:r>
      <w:r>
        <w:rPr>
          <w:rFonts w:ascii="Times New Roman" w:hAnsi="Times New Roman"/>
          <w:b/>
          <w:i w:val="false"/>
          <w:color w:val="000000"/>
          <w:sz w:val="22"/>
        </w:rPr>
        <w:t xml:space="preserve">Channel changes. </w:t>
      </w:r>
      <w:r>
        <w:rPr>
          <w:rFonts w:ascii="Times New Roman" w:hAnsi="Times New Roman"/>
          <w:b w:val="false"/>
          <w:i w:val="false"/>
          <w:color w:val="000000"/>
          <w:sz w:val="22"/>
        </w:rPr>
        <w:t>Approval by the department for the construction, operation, and maintenance of channel changes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Channel changes not otherwise associated with road projects in or on the floodway of any stream draining more than 10 square miles at the location of the channel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Channel changes associated with road projects in or on the floodway of any stream draining more than 10 square miles at the location of the channel change whereby either (i) more than a 500-foot length of the existing channel is being altered or (ii) the length of existing channel being altered is reduced by more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channel changes on any river or stream draining more than 2 square miles at the location of the channel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w:t>
      </w:r>
      <w:r>
        <w:rPr>
          <w:rFonts w:ascii="Times New Roman" w:hAnsi="Times New Roman"/>
          <w:b w:val="false"/>
          <w:i w:val="false"/>
          <w:color w:val="000000"/>
          <w:sz w:val="22"/>
        </w:rPr>
        <w:t xml:space="preserve">Channel changes at any location on any river or stream designated as a protected stream pursuant to division III of </w:t>
      </w:r>
      <w:hyperlink r:id="rId8">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Channel change by drainage district. </w:t>
      </w:r>
      <w:r>
        <w:rPr>
          <w:rFonts w:ascii="Times New Roman" w:hAnsi="Times New Roman"/>
          <w:b w:val="false"/>
          <w:i w:val="false"/>
          <w:color w:val="000000"/>
          <w:sz w:val="22"/>
        </w:rPr>
        <w:t xml:space="preserve">Rule </w:t>
      </w:r>
      <w:hyperlink r:id="rId9">
        <w:r>
          <w:rPr>
            <w:rStyle w:val="Hyperlink"/>
            <w:rFonts w:ascii="Times New Roman" w:hAnsi="Times New Roman"/>
            <w:b w:val="false"/>
            <w:i w:val="false"/>
            <w:color w:val="000000"/>
            <w:sz w:val="22"/>
          </w:rPr>
          <w:t>567—72.2</w:t>
        </w:r>
      </w:hyperlink>
      <w:r>
        <w:rPr>
          <w:rFonts w:ascii="Times New Roman" w:hAnsi="Times New Roman"/>
          <w:b w:val="false"/>
          <w:i w:val="false"/>
          <w:color w:val="000000"/>
          <w:sz w:val="22"/>
        </w:rPr>
        <w:t xml:space="preserve">(455B) applies to channel changes sponsored by a drainage district. However, approval is not required for repair and maintenance of a drainage district ditch as defined in </w:t>
      </w:r>
      <w:hyperlink r:id="rId10">
        <w:r>
          <w:rPr>
            <w:rStyle w:val="Hyperlink"/>
            <w:rFonts w:ascii="Times New Roman" w:hAnsi="Times New Roman"/>
            <w:b w:val="false"/>
            <w:i w:val="false"/>
            <w:color w:val="000000"/>
            <w:sz w:val="22"/>
          </w:rPr>
          <w:t>567—70.2</w:t>
        </w:r>
      </w:hyperlink>
      <w:r>
        <w:rPr>
          <w:rFonts w:ascii="Times New Roman" w:hAnsi="Times New Roman"/>
          <w:b w:val="false"/>
          <w:i w:val="false"/>
          <w:color w:val="000000"/>
          <w:sz w:val="22"/>
        </w:rPr>
        <w:t>(455B,481A) if the drainage area of the ditch at the location of the proposed work is less than 100 square miles.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567—71.3</w:t>
      </w:r>
      <w:r>
        <w:rPr>
          <w:rFonts w:ascii="Times New Roman" w:hAnsi="Times New Roman"/>
          <w:b/>
          <w:i w:val="false"/>
          <w:color w:val="000000"/>
          <w:sz w:val="22"/>
        </w:rPr>
        <w:t xml:space="preserve">(455B) </w:t>
      </w:r>
      <w:r>
        <w:rPr>
          <w:rFonts w:ascii="Times New Roman" w:hAnsi="Times New Roman"/>
          <w:b/>
          <w:i w:val="false"/>
          <w:color w:val="000000"/>
          <w:sz w:val="22"/>
        </w:rPr>
        <w:t xml:space="preserve">Dams. </w:t>
      </w:r>
      <w:r>
        <w:rPr>
          <w:rFonts w:ascii="Times New Roman" w:hAnsi="Times New Roman"/>
          <w:b w:val="false"/>
          <w:i w:val="false"/>
          <w:color w:val="000000"/>
          <w:sz w:val="22"/>
        </w:rPr>
        <w:t xml:space="preserve">Approval by the department for construction, repair, or modification of any dam shall be required when the dam exceeds the thresholds under rule </w:t>
      </w:r>
      <w:hyperlink r:id="rId12">
        <w:r>
          <w:rPr>
            <w:rStyle w:val="Hyperlink"/>
            <w:rFonts w:ascii="Times New Roman" w:hAnsi="Times New Roman"/>
            <w:b w:val="false"/>
            <w:i w:val="false"/>
            <w:color w:val="000000"/>
            <w:sz w:val="22"/>
          </w:rPr>
          <w:t>567—73.3</w:t>
        </w:r>
      </w:hyperlink>
      <w:r>
        <w:rPr>
          <w:rFonts w:ascii="Times New Roman" w:hAnsi="Times New Roman"/>
          <w:b w:val="false"/>
          <w:i w:val="false"/>
          <w:color w:val="000000"/>
          <w:sz w:val="22"/>
        </w:rPr>
        <w:t xml:space="preserve">(455B). Other structures across a stream may require approval under rule </w:t>
      </w:r>
      <w:hyperlink r:id="rId13">
        <w:r>
          <w:rPr>
            <w:rStyle w:val="Hyperlink"/>
            <w:rFonts w:ascii="Times New Roman" w:hAnsi="Times New Roman"/>
            <w:b w:val="false"/>
            <w:i w:val="false"/>
            <w:color w:val="000000"/>
            <w:sz w:val="22"/>
          </w:rPr>
          <w:t>567—71.12</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455B.267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455B.277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567—71.4</w:t>
      </w:r>
      <w:r>
        <w:rPr>
          <w:rFonts w:ascii="Times New Roman" w:hAnsi="Times New Roman"/>
          <w:b/>
          <w:i w:val="false"/>
          <w:color w:val="000000"/>
          <w:sz w:val="22"/>
        </w:rPr>
        <w:t xml:space="preserve">(455B) </w:t>
      </w:r>
      <w:r>
        <w:rPr>
          <w:rFonts w:ascii="Times New Roman" w:hAnsi="Times New Roman"/>
          <w:b/>
          <w:i w:val="false"/>
          <w:color w:val="000000"/>
          <w:sz w:val="22"/>
        </w:rPr>
        <w:t xml:space="preserve">Levees or dikes. </w:t>
      </w:r>
      <w:r>
        <w:rPr>
          <w:rFonts w:ascii="Times New Roman" w:hAnsi="Times New Roman"/>
          <w:b w:val="false"/>
          <w:i w:val="false"/>
          <w:color w:val="000000"/>
          <w:sz w:val="22"/>
        </w:rPr>
        <w:t>Approval by the department for construction, operation, and maintenance of levees or dikes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 any levees or dikes located on the floodplain or floodway of any stream or river draining more than 10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any levee or dike along any river or stream draining more than 2 square miles.</w:t>
      </w:r>
    </w:p>
    <w:p>
      <w:pPr>
        <w:spacing w:before="0" w:after="0"/>
        <w:ind w:left="120"/>
        <w:jc w:val="both"/>
      </w:pPr>
      <w:r>
        <w:rPr>
          <w:rFonts w:ascii="Times New Roman" w:hAnsi="Times New Roman"/>
          <w:b/>
          <w:i w:val="false"/>
          <w:color w:val="000000"/>
          <w:sz w:val="22"/>
        </w:rPr>
        <w:t>567—71.5</w:t>
      </w:r>
      <w:r>
        <w:rPr>
          <w:rFonts w:ascii="Times New Roman" w:hAnsi="Times New Roman"/>
          <w:b/>
          <w:i w:val="false"/>
          <w:color w:val="000000"/>
          <w:sz w:val="22"/>
        </w:rPr>
        <w:t xml:space="preserve">(455B) </w:t>
      </w:r>
      <w:r>
        <w:rPr>
          <w:rFonts w:ascii="Times New Roman" w:hAnsi="Times New Roman"/>
          <w:b/>
          <w:i w:val="false"/>
          <w:color w:val="000000"/>
          <w:sz w:val="22"/>
        </w:rPr>
        <w:t xml:space="preserve">Waste or water treatment facilities. </w:t>
      </w:r>
      <w:r>
        <w:rPr>
          <w:rFonts w:ascii="Times New Roman" w:hAnsi="Times New Roman"/>
          <w:b w:val="false"/>
          <w:i w:val="false"/>
          <w:color w:val="000000"/>
          <w:sz w:val="22"/>
        </w:rPr>
        <w:t>Approval by the department for construction, operation, and maintenance of waste or water treatment facilities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 any such facilities on the floodplains or floodway of any river or stream draining more than 10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any such facilities on the floodplain or floodway of any river or stream draining more than 2 square miles.</w:t>
      </w:r>
    </w:p>
    <w:p>
      <w:pPr>
        <w:spacing w:before="0" w:after="0"/>
        <w:ind w:left="120"/>
        <w:jc w:val="both"/>
      </w:pPr>
      <w:r>
        <w:rPr>
          <w:rFonts w:ascii="Times New Roman" w:hAnsi="Times New Roman"/>
          <w:b/>
          <w:i w:val="false"/>
          <w:color w:val="000000"/>
          <w:sz w:val="22"/>
        </w:rPr>
        <w:t>567—71.6</w:t>
      </w:r>
      <w:r>
        <w:rPr>
          <w:rFonts w:ascii="Times New Roman" w:hAnsi="Times New Roman"/>
          <w:b/>
          <w:i w:val="false"/>
          <w:color w:val="000000"/>
          <w:sz w:val="22"/>
        </w:rPr>
        <w:t xml:space="preserve">(455B) </w:t>
      </w:r>
      <w:r>
        <w:rPr>
          <w:rFonts w:ascii="Times New Roman" w:hAnsi="Times New Roman"/>
          <w:b/>
          <w:i w:val="false"/>
          <w:color w:val="000000"/>
          <w:sz w:val="22"/>
        </w:rPr>
        <w:t xml:space="preserve">Sanitary landfills. </w:t>
      </w:r>
      <w:r>
        <w:rPr>
          <w:rFonts w:ascii="Times New Roman" w:hAnsi="Times New Roman"/>
          <w:b w:val="false"/>
          <w:i w:val="false"/>
          <w:color w:val="000000"/>
          <w:sz w:val="22"/>
        </w:rPr>
        <w:t>Approval by the department for construction, operation, and maintenance of any sanitary landfill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 any such landfill located on the floodplain or floodway of any stream draining more than 10 square miles at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any such facilities located on the floodplain or floodway of any stream draining more than 2 square miles at the landfill site.</w:t>
      </w:r>
    </w:p>
    <w:p>
      <w:pPr>
        <w:spacing w:before="0" w:after="0"/>
        <w:ind w:left="120"/>
        <w:jc w:val="both"/>
      </w:pPr>
      <w:r>
        <w:rPr>
          <w:rFonts w:ascii="Times New Roman" w:hAnsi="Times New Roman"/>
          <w:b/>
          <w:i w:val="false"/>
          <w:color w:val="000000"/>
          <w:sz w:val="22"/>
        </w:rPr>
        <w:t>567—71.7</w:t>
      </w:r>
      <w:r>
        <w:rPr>
          <w:rFonts w:ascii="Times New Roman" w:hAnsi="Times New Roman"/>
          <w:b/>
          <w:i w:val="false"/>
          <w:color w:val="000000"/>
          <w:sz w:val="22"/>
        </w:rPr>
        <w:t xml:space="preserve">(455B) </w:t>
      </w:r>
      <w:r>
        <w:rPr>
          <w:rFonts w:ascii="Times New Roman" w:hAnsi="Times New Roman"/>
          <w:b/>
          <w:i w:val="false"/>
          <w:color w:val="000000"/>
          <w:sz w:val="22"/>
        </w:rPr>
        <w:t xml:space="preserve">Buildings and associated fill. </w:t>
      </w:r>
      <w:r>
        <w:rPr>
          <w:rFonts w:ascii="Times New Roman" w:hAnsi="Times New Roman"/>
          <w:b w:val="false"/>
          <w:i w:val="false"/>
          <w:color w:val="000000"/>
          <w:sz w:val="22"/>
        </w:rPr>
        <w:t xml:space="preserve">Approval by the department for construction, use and maintenance of “buildings” as defined in </w:t>
      </w:r>
      <w:hyperlink r:id="rId19">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xml:space="preserve"> and for placement of fill is required as described in the following thresholds.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Building and placement of associated fill in urban areas. </w:t>
      </w:r>
      <w:r>
        <w:rPr>
          <w:rFonts w:ascii="Times New Roman" w:hAnsi="Times New Roman"/>
          <w:b w:val="false"/>
          <w:i w:val="false"/>
          <w:color w:val="000000"/>
          <w:sz w:val="22"/>
        </w:rPr>
        <w:t>In urban areas as defined in these rules approval is required for construction, use and maintenance of buildings in the floodway or floodplain of any stream draining more than 2 square miles at the location of the structure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including fill for development purposes. </w:t>
      </w:r>
      <w:r>
        <w:rPr>
          <w:rFonts w:ascii="Times New Roman" w:hAnsi="Times New Roman"/>
          <w:b w:val="false"/>
          <w:i w:val="false"/>
          <w:color w:val="000000"/>
          <w:sz w:val="22"/>
        </w:rPr>
        <w:t>Approval is required for construction of any new building. New construction includes replacement or relocation of an existing building. New construction also includes placement and grading of fill materials in a manner that would create an elevated building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Additions to existing buildings. </w:t>
      </w:r>
      <w:r>
        <w:rPr>
          <w:rFonts w:ascii="Times New Roman" w:hAnsi="Times New Roman"/>
          <w:b w:val="false"/>
          <w:i w:val="false"/>
          <w:color w:val="000000"/>
          <w:sz w:val="22"/>
        </w:rPr>
        <w:t>Approval is required for any addition which increases the original floor area of a building by 25 percent or more. All additions constructed after July 4, 1965, shall be added to any proposed addition in determining whether the total increase in original floor space would exceed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Lowering or elevating. </w:t>
      </w:r>
      <w:r>
        <w:rPr>
          <w:rFonts w:ascii="Times New Roman" w:hAnsi="Times New Roman"/>
          <w:b w:val="false"/>
          <w:i w:val="false"/>
          <w:color w:val="000000"/>
          <w:sz w:val="22"/>
        </w:rPr>
        <w:t xml:space="preserve">Approval is required for lowering a floor of a building. Approval is not required for elevating an existing building. However, when a building is elevated the lowest floor should be elevated to the appropriate minimum protection level stated in </w:t>
      </w:r>
      <w:hyperlink r:id="rId20">
        <w:r>
          <w:rPr>
            <w:rStyle w:val="Hyperlink"/>
            <w:rFonts w:ascii="Times New Roman" w:hAnsi="Times New Roman"/>
            <w:b w:val="false"/>
            <w:i w:val="false"/>
            <w:color w:val="000000"/>
            <w:sz w:val="22"/>
          </w:rPr>
          <w:t>567—subrule 72.5(1)</w:t>
        </w:r>
      </w:hyperlink>
      <w:r>
        <w:rPr>
          <w:rFonts w:ascii="Times New Roman" w:hAnsi="Times New Roman"/>
          <w:b w:val="false"/>
          <w:i w:val="false"/>
          <w:color w:val="000000"/>
          <w:sz w:val="22"/>
        </w:rPr>
        <w:t>. The department, upon request, will cooperate in determining the minimum protection level for a person who proposes to elevate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Approval is required for reconstruction of any portion of a building if the cost of reconstruction exceeds 50 percent of the market value of the existing building or if reconstruction will increase the market value by more than 50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Buildings and associated fill located within 2 miles of an urban area. </w:t>
      </w:r>
      <w:r>
        <w:rPr>
          <w:rFonts w:ascii="Times New Roman" w:hAnsi="Times New Roman"/>
          <w:b w:val="false"/>
          <w:i w:val="false"/>
          <w:color w:val="000000"/>
          <w:sz w:val="22"/>
        </w:rPr>
        <w:t xml:space="preserve">The thresholds for buildings and associated fill in subrule </w:t>
      </w:r>
      <w:hyperlink r:id="rId21">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shall apply to rural areas within 2 miles of municipal corporate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Buildings and associated fill in all other rural areas. </w:t>
      </w:r>
      <w:r>
        <w:rPr>
          <w:rFonts w:ascii="Times New Roman" w:hAnsi="Times New Roman"/>
          <w:b w:val="false"/>
          <w:i w:val="false"/>
          <w:color w:val="000000"/>
          <w:sz w:val="22"/>
        </w:rPr>
        <w:t xml:space="preserve">In rural areas not covered by </w:t>
      </w:r>
      <w:hyperlink r:id="rId22">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the thresholds for approval of buildings and associated fill are the same as in </w:t>
      </w:r>
      <w:hyperlink r:id="rId23">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except that approval is required only when the drainage area at the location of the structure is more than 10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color w:val="000000"/>
          <w:sz w:val="22"/>
        </w:rPr>
        <w:t xml:space="preserve">Buildings and associated fill adjacent to or downstream from impoundments. </w:t>
      </w:r>
      <w:r>
        <w:rPr>
          <w:rFonts w:ascii="Times New Roman" w:hAnsi="Times New Roman"/>
          <w:b w:val="false"/>
          <w:i w:val="false"/>
          <w:color w:val="000000"/>
          <w:sz w:val="22"/>
        </w:rPr>
        <w:t xml:space="preserve">Approval is required for new construction, additions, lowering, or reconstruction and associated fill as described in </w:t>
      </w:r>
      <w:hyperlink r:id="rId24">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without regard to the drainage area if the proximity of the building to a dam regulated by the department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Adjacent to impoundment. </w:t>
      </w:r>
      <w:r>
        <w:rPr>
          <w:rFonts w:ascii="Times New Roman" w:hAnsi="Times New Roman"/>
          <w:b w:val="false"/>
          <w:i w:val="false"/>
          <w:color w:val="000000"/>
          <w:sz w:val="22"/>
        </w:rPr>
        <w:t>Approval is required for a building and associated fill adjacent to an impoundment if the lowest floor level including any basement is lower than the top of the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Downstream from dam. </w:t>
      </w:r>
      <w:r>
        <w:rPr>
          <w:rFonts w:ascii="Times New Roman" w:hAnsi="Times New Roman"/>
          <w:b w:val="false"/>
          <w:i w:val="false"/>
          <w:color w:val="000000"/>
          <w:sz w:val="22"/>
        </w:rPr>
        <w:t>Approval is required for a building and associated fill downstream from a dam at any location where flooding can be reasonably anticipated from principal or emergency spillway discharges. If the dam does not substantially comply with high hazard criteria in these rules, approval is required for a building and associated fill at any location where flooding can be reasonably anticipated from overtopping and failure of the dam.</w:t>
      </w:r>
    </w:p>
    <w:p>
      <w:pPr>
        <w:spacing w:before="0" w:after="0"/>
        <w:ind w:left="120"/>
        <w:jc w:val="both"/>
      </w:pPr>
      <w:r>
        <w:rPr>
          <w:rFonts w:ascii="Times New Roman" w:hAnsi="Times New Roman"/>
          <w:b/>
          <w:i w:val="false"/>
          <w:color w:val="000000"/>
          <w:sz w:val="22"/>
        </w:rPr>
        <w:t>567—71.8</w:t>
      </w:r>
      <w:r>
        <w:rPr>
          <w:rFonts w:ascii="Times New Roman" w:hAnsi="Times New Roman"/>
          <w:b/>
          <w:i w:val="false"/>
          <w:color w:val="000000"/>
          <w:sz w:val="22"/>
        </w:rPr>
        <w:t xml:space="preserve">(455B) </w:t>
      </w:r>
      <w:r>
        <w:rPr>
          <w:rFonts w:ascii="Times New Roman" w:hAnsi="Times New Roman"/>
          <w:b/>
          <w:i w:val="false"/>
          <w:color w:val="000000"/>
          <w:sz w:val="22"/>
        </w:rPr>
        <w:t xml:space="preserve">Pipeline crossings. </w:t>
      </w:r>
      <w:r>
        <w:rPr>
          <w:rFonts w:ascii="Times New Roman" w:hAnsi="Times New Roman"/>
          <w:b w:val="false"/>
          <w:i w:val="false"/>
          <w:color w:val="000000"/>
          <w:sz w:val="22"/>
        </w:rPr>
        <w:t>Approval by the department for the construction, operation and maintenance of buried pipeline crossings is not required if the natural contours of the channel and flood plain are maintained. (</w:t>
      </w:r>
      <w:r>
        <w:rPr>
          <w:rFonts w:ascii="Times New Roman" w:hAnsi="Times New Roman"/>
          <w:b w:val="false"/>
          <w:i w:val="false"/>
          <w:color w:val="000000"/>
          <w:sz w:val="22"/>
        </w:rPr>
        <w:t>NOTE:</w:t>
      </w:r>
      <w:r>
        <w:rPr>
          <w:rFonts w:ascii="Times New Roman" w:hAnsi="Times New Roman"/>
          <w:b w:val="false"/>
          <w:i w:val="false"/>
          <w:color w:val="000000"/>
          <w:sz w:val="22"/>
        </w:rPr>
        <w:t xml:space="preserve"> Approval of stream bank protection measures associated with pipeline crossings may need approval under </w:t>
      </w:r>
      <w:hyperlink r:id="rId25">
        <w:r>
          <w:rPr>
            <w:rStyle w:val="Hyperlink"/>
            <w:rFonts w:ascii="Times New Roman" w:hAnsi="Times New Roman"/>
            <w:b w:val="false"/>
            <w:i w:val="false"/>
            <w:color w:val="000000"/>
            <w:sz w:val="22"/>
          </w:rPr>
          <w:t>567—71.9</w:t>
        </w:r>
      </w:hyperlink>
      <w:r>
        <w:rPr>
          <w:rFonts w:ascii="Times New Roman" w:hAnsi="Times New Roman"/>
          <w:b w:val="false"/>
          <w:i w:val="false"/>
          <w:color w:val="000000"/>
          <w:sz w:val="22"/>
        </w:rPr>
        <w:t>(455B).) Approval by the department for the construction, operation, and maintenance of all other pipeline crossings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 pipeline crossings on any river or stream draining more than 100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pipeline crossings on any river or stream draining more than 2 square miles.</w:t>
      </w:r>
    </w:p>
    <w:p>
      <w:pPr>
        <w:spacing w:before="0" w:after="0"/>
        <w:ind w:left="120"/>
        <w:jc w:val="both"/>
      </w:pPr>
      <w:r>
        <w:rPr>
          <w:rFonts w:ascii="Times New Roman" w:hAnsi="Times New Roman"/>
          <w:b/>
          <w:i w:val="false"/>
          <w:color w:val="000000"/>
          <w:sz w:val="22"/>
        </w:rPr>
        <w:t>567—71.9</w:t>
      </w:r>
      <w:r>
        <w:rPr>
          <w:rFonts w:ascii="Times New Roman" w:hAnsi="Times New Roman"/>
          <w:b/>
          <w:i w:val="false"/>
          <w:color w:val="000000"/>
          <w:sz w:val="22"/>
        </w:rPr>
        <w:t xml:space="preserve">(455B) </w:t>
      </w:r>
      <w:r>
        <w:rPr>
          <w:rFonts w:ascii="Times New Roman" w:hAnsi="Times New Roman"/>
          <w:b/>
          <w:i w:val="false"/>
          <w:color w:val="000000"/>
          <w:sz w:val="22"/>
        </w:rPr>
        <w:t xml:space="preserve">Stream bank protective devices. </w:t>
      </w:r>
      <w:r>
        <w:rPr>
          <w:rFonts w:ascii="Times New Roman" w:hAnsi="Times New Roman"/>
          <w:b w:val="false"/>
          <w:i w:val="false"/>
          <w:color w:val="000000"/>
          <w:sz w:val="22"/>
        </w:rPr>
        <w:t>Approval by the department for construction, operation, and maintenance of stream bank protective devices (including wing dikes, jetties, et cetera)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stream bank protective devices along any river or stream draining more than 100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Stream bank protective devices along any river or stream draining between 10 and 100 square miles where the cross-sectional area of the river or stream channel is reduced more than 3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Stream bank protective devices along any river or stream draining more than 100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Stream bank protective devices along any river or stream draining between 2 and 100 square miles where the cross-sectional area of the river or stream channel is reduced more than 3 percent.</w:t>
      </w:r>
    </w:p>
    <w:p>
      <w:pPr>
        <w:spacing w:before="0" w:after="0"/>
        <w:ind w:left="120"/>
        <w:jc w:val="both"/>
      </w:pPr>
      <w:r>
        <w:rPr>
          <w:rFonts w:ascii="Times New Roman" w:hAnsi="Times New Roman"/>
          <w:b/>
          <w:i w:val="false"/>
          <w:color w:val="000000"/>
          <w:sz w:val="22"/>
        </w:rPr>
        <w:t>567—71.10</w:t>
      </w:r>
      <w:r>
        <w:rPr>
          <w:rFonts w:ascii="Times New Roman" w:hAnsi="Times New Roman"/>
          <w:b/>
          <w:i w:val="false"/>
          <w:color w:val="000000"/>
          <w:sz w:val="22"/>
        </w:rPr>
        <w:t xml:space="preserve">(455B) </w:t>
      </w:r>
      <w:r>
        <w:rPr>
          <w:rFonts w:ascii="Times New Roman" w:hAnsi="Times New Roman"/>
          <w:b/>
          <w:i w:val="false"/>
          <w:color w:val="000000"/>
          <w:sz w:val="22"/>
        </w:rPr>
        <w:t xml:space="preserve">Boat docks.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Except as provided in subrule </w:t>
      </w:r>
      <w:hyperlink r:id="rId26">
        <w:r>
          <w:rPr>
            <w:rStyle w:val="Hyperlink"/>
            <w:rFonts w:ascii="Times New Roman" w:hAnsi="Times New Roman"/>
            <w:b w:val="false"/>
            <w:i w:val="false"/>
            <w:color w:val="000000"/>
            <w:sz w:val="22"/>
          </w:rPr>
          <w:t>71.10(2)</w:t>
        </w:r>
      </w:hyperlink>
      <w:r>
        <w:rPr>
          <w:rFonts w:ascii="Times New Roman" w:hAnsi="Times New Roman"/>
          <w:b w:val="false"/>
          <w:i w:val="false"/>
          <w:color w:val="000000"/>
          <w:sz w:val="22"/>
        </w:rPr>
        <w:t>, department approval is required for all boat docks that are located in any stream other than a lake and do not float on the surface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71.10(2)</w:t>
      </w:r>
      <w:r>
        <w:rPr>
          <w:rFonts w:ascii="Times New Roman" w:hAnsi="Times New Roman"/>
          <w:b w:val="false"/>
          <w:i w:val="false"/>
          <w:color w:val="000000"/>
          <w:sz w:val="22"/>
        </w:rPr>
        <w:t> </w:t>
      </w:r>
      <w:r>
        <w:rPr>
          <w:rFonts w:ascii="Times New Roman" w:hAnsi="Times New Roman"/>
          <w:b w:val="false"/>
          <w:i/>
          <w:color w:val="000000"/>
          <w:sz w:val="22"/>
        </w:rPr>
        <w:t xml:space="preserve">Exempted nonfloating boat docks. </w:t>
      </w:r>
      <w:r>
        <w:rPr>
          <w:rFonts w:ascii="Times New Roman" w:hAnsi="Times New Roman"/>
          <w:b w:val="false"/>
          <w:i w:val="false"/>
          <w:color w:val="000000"/>
          <w:sz w:val="22"/>
        </w:rPr>
        <w:t>Recreational nonfloating type boat docks located on the Mississippi and Missouri rivers, and the conservation pools of the Coralville, Rathbun, Red Rock, and Saylorville reservoirs shall not require department approval, other than a permit obtained from the parks, recreation and preserves division of the department.</w:t>
      </w:r>
    </w:p>
    <w:p>
      <w:pPr>
        <w:spacing w:before="0" w:after="0"/>
        <w:ind w:left="120"/>
        <w:jc w:val="both"/>
      </w:pPr>
      <w:r>
        <w:rPr>
          <w:rFonts w:ascii="Times New Roman" w:hAnsi="Times New Roman"/>
          <w:b/>
          <w:i w:val="false"/>
          <w:color w:val="000000"/>
          <w:sz w:val="22"/>
        </w:rPr>
        <w:t>567—71.11</w:t>
      </w:r>
      <w:r>
        <w:rPr>
          <w:rFonts w:ascii="Times New Roman" w:hAnsi="Times New Roman"/>
          <w:b/>
          <w:i w:val="false"/>
          <w:color w:val="000000"/>
          <w:sz w:val="22"/>
        </w:rPr>
        <w:t xml:space="preserve">(455B) </w:t>
      </w:r>
      <w:r>
        <w:rPr>
          <w:rFonts w:ascii="Times New Roman" w:hAnsi="Times New Roman"/>
          <w:b/>
          <w:i w:val="false"/>
          <w:color w:val="000000"/>
          <w:sz w:val="22"/>
        </w:rPr>
        <w:t xml:space="preserve">Excavations. </w:t>
      </w:r>
      <w:r>
        <w:rPr>
          <w:rFonts w:ascii="Times New Roman" w:hAnsi="Times New Roman"/>
          <w:b w:val="false"/>
          <w:i w:val="false"/>
          <w:color w:val="000000"/>
          <w:sz w:val="22"/>
        </w:rPr>
        <w:t>Approval by the department for excavations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Excavation in the channel on any river or stream draining more than 10 square miles where said excavation increases the cross-sectional area of said channel below bankfull stage by more than 10 percent. The cross-sectional area of the channel shall be determined based on current engineering plans, or original engineering plans, if being performed by a drainage district. If an original plan is not available, the current engineering plan will be used to determine the original cross-sectional area of the channel. The drainage district shall submit a copy of the engineering plan for increasing the cross-sectional area of a channel to the department prior to approval by the board of supervisors or trustees regardless of size of the increase. The department shall submit its decision to the drainage district within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Excavation on any floodplain of any river or stream draining more than 10 square miles where said excavation is within 100 feet of the normal stream or riverbank.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Excavations in relation to highway projects are exempt except as otherwise provided for in </w:t>
      </w:r>
      <w:hyperlink r:id="rId27">
        <w:r>
          <w:rPr>
            <w:rStyle w:val="Hyperlink"/>
            <w:rFonts w:ascii="Times New Roman" w:hAnsi="Times New Roman"/>
            <w:b w:val="false"/>
            <w:i w:val="false"/>
            <w:color w:val="000000"/>
            <w:sz w:val="22"/>
          </w:rPr>
          <w:t>71.1(1)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71.1(2)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Excavation for the repair and maintenance of a drainage district ditch as defined in </w:t>
      </w:r>
      <w:hyperlink r:id="rId30">
        <w:r>
          <w:rPr>
            <w:rStyle w:val="Hyperlink"/>
            <w:rFonts w:ascii="Times New Roman" w:hAnsi="Times New Roman"/>
            <w:b w:val="false"/>
            <w:i w:val="false"/>
            <w:color w:val="000000"/>
            <w:sz w:val="22"/>
          </w:rPr>
          <w:t>567—70.2</w:t>
        </w:r>
      </w:hyperlink>
      <w:r>
        <w:rPr>
          <w:rFonts w:ascii="Times New Roman" w:hAnsi="Times New Roman"/>
          <w:b w:val="false"/>
          <w:i w:val="false"/>
          <w:color w:val="000000"/>
          <w:sz w:val="22"/>
        </w:rPr>
        <w:t>(455B) is not considered an excavation within the intent of this rule if the drainage area of the ditch at the location of the proposed work is less than 100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Excavations for conservation practices installed to meet or exceed the standards of the USDA Natural Resources Conservation Service (NRCS) Field Office Technical Guide are exempt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resulting spoil is removed from the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practices do not reduce the capacity of the floodplain;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practices will not result in water being temporarily or permanently stored above the natural ground line.</w:t>
      </w:r>
    </w:p>
    <w:p>
      <w:pPr>
        <w:spacing w:before="0" w:after="0"/>
        <w:ind w:left="120"/>
        <w:jc w:val="both"/>
      </w:pPr>
      <w:r>
        <w:rPr>
          <w:rFonts w:ascii="Times New Roman" w:hAnsi="Times New Roman"/>
          <w:b w:val="false"/>
          <w:i w:val="false"/>
          <w:color w:val="000000"/>
          <w:sz w:val="22"/>
        </w:rPr>
        <w:t xml:space="preserve">These standards may be accessed through the electronic Field Office Technical Guide at </w:t>
      </w:r>
      <w:hyperlink r:id="rId31">
        <w:r>
          <w:rPr>
            <w:rStyle w:val="Hyperlink"/>
            <w:rFonts w:ascii="Times New Roman" w:hAnsi="Times New Roman"/>
            <w:b w:val="false"/>
            <w:i w:val="false"/>
            <w:color w:val="000000"/>
            <w:sz w:val="22"/>
            <w:u w:val="single"/>
          </w:rPr>
          <w:t>efotg.sc.egov.usda.gov/</w:t>
        </w:r>
      </w:hyperlink>
      <w:r>
        <w:rPr>
          <w:rFonts w:ascii="Times New Roman" w:hAnsi="Times New Roman"/>
          <w:b w:val="false"/>
          <w:i w:val="false"/>
          <w:color w:val="000000"/>
          <w:sz w:val="22"/>
        </w:rPr>
        <w:t xml:space="preserve">. They are also available in hard copy at the USDA NRCS office that serves the area where the practice will be implemented.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excavations on the floodway of any stream draining more than 2 square miles.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455B.275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567—71.12</w:t>
      </w:r>
      <w:r>
        <w:rPr>
          <w:rFonts w:ascii="Times New Roman" w:hAnsi="Times New Roman"/>
          <w:b/>
          <w:i w:val="false"/>
          <w:color w:val="000000"/>
          <w:sz w:val="22"/>
        </w:rPr>
        <w:t xml:space="preserve">(455B) </w:t>
      </w:r>
      <w:r>
        <w:rPr>
          <w:rFonts w:ascii="Times New Roman" w:hAnsi="Times New Roman"/>
          <w:b/>
          <w:i w:val="false"/>
          <w:color w:val="000000"/>
          <w:sz w:val="22"/>
        </w:rPr>
        <w:t xml:space="preserve">Miscellaneous structures, obstructions, or deposits not otherwise provided for in other rules. </w:t>
      </w:r>
      <w:r>
        <w:rPr>
          <w:rFonts w:ascii="Times New Roman" w:hAnsi="Times New Roman"/>
          <w:b w:val="false"/>
          <w:i w:val="false"/>
          <w:color w:val="000000"/>
          <w:sz w:val="22"/>
        </w:rPr>
        <w:t>Approval by the department for construction, operation, and maintenance of miscellaneous structures, obstructions, or deposits,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 xml:space="preserve">In rural areas, any miscellaneous structures, obstructions, or deposits on the floodway or floodplain of any river or stream draining more than 10 square miles where such works obstruct more than 3 percent of the cross-sectional area of the stream channel at bankfull stage or where such works obstruct more than 15 percent of the total cross-sectional area of the floodplain at any stage. In determining a 15 percent obstruction of the floodplain, the concept of equal and opposite conveyance as defined in </w:t>
      </w:r>
      <w:hyperlink r:id="rId33">
        <w:r>
          <w:rPr>
            <w:rStyle w:val="Hyperlink"/>
            <w:rFonts w:ascii="Times New Roman" w:hAnsi="Times New Roman"/>
            <w:b w:val="false"/>
            <w:i w:val="false"/>
            <w:color w:val="000000"/>
            <w:sz w:val="22"/>
          </w:rPr>
          <w:t>567—Chapter 70</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miscellaneous structures, obstructions, or deposits on the floodway or floodplains of any river or stream draining more than 2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71.12(3)</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For purposes of this rule, the following project types do not require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Signs, navigational markers, and aids that have been placed by a public agency to serve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In-kind replacement of existing utility poles, including H-frame structures that are installed as part of routine maintenance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New utility poles, including H-frame structures, that fall below the thresholds set forth in </w:t>
      </w:r>
      <w:hyperlink r:id="rId34">
        <w:r>
          <w:rPr>
            <w:rStyle w:val="Hyperlink"/>
            <w:rFonts w:ascii="Times New Roman" w:hAnsi="Times New Roman"/>
            <w:b w:val="false"/>
            <w:i w:val="false"/>
            <w:color w:val="000000"/>
            <w:sz w:val="22"/>
          </w:rPr>
          <w:t>71.12(1)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71.12(2)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567—71.13</w:t>
      </w:r>
      <w:r>
        <w:rPr>
          <w:rFonts w:ascii="Times New Roman" w:hAnsi="Times New Roman"/>
          <w:b/>
          <w:i w:val="false"/>
          <w:color w:val="000000"/>
          <w:sz w:val="22"/>
        </w:rPr>
        <w:t xml:space="preserve">(455B) </w:t>
      </w:r>
      <w:r>
        <w:rPr>
          <w:rFonts w:ascii="Times New Roman" w:hAnsi="Times New Roman"/>
          <w:b/>
          <w:i w:val="false"/>
          <w:color w:val="000000"/>
          <w:sz w:val="22"/>
        </w:rPr>
        <w:t xml:space="preserve">Animal feeding operation structures. </w:t>
      </w:r>
      <w:r>
        <w:rPr>
          <w:rFonts w:ascii="Times New Roman" w:hAnsi="Times New Roman"/>
          <w:b w:val="false"/>
          <w:i w:val="false"/>
          <w:color w:val="000000"/>
          <w:sz w:val="22"/>
        </w:rPr>
        <w:t>Approval by the department for construction, operation, and maintenance of animal feeding operation structures shall be required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 any such facilities on the floodplain or floodway of any stream draining more than ten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any such facilities on the floodplain or floodway of any stream draining more than two square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color w:val="000000"/>
          <w:sz w:val="22"/>
        </w:rPr>
        <w:t xml:space="preserve">Adjacent to an impoundment. </w:t>
      </w:r>
      <w:r>
        <w:rPr>
          <w:rFonts w:ascii="Times New Roman" w:hAnsi="Times New Roman"/>
          <w:b w:val="false"/>
          <w:i w:val="false"/>
          <w:color w:val="000000"/>
          <w:sz w:val="22"/>
        </w:rPr>
        <w:t>Any such facilities if any part of the facility is located on land that is naturally lower than the top of the dam.</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III, part 4; and Iowa Code sections </w:t>
      </w:r>
      <w:hyperlink r:id="rId37">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481A.15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5/5/78, Notice 3/8/78; Amended Notice 4/19/78—published 5/31/78,</w:t>
      </w:r>
    </w:p>
    <w:p>
      <w:pPr>
        <w:spacing w:before="0" w:after="0"/>
        <w:ind w:left="120"/>
        <w:jc w:val="center"/>
      </w:pPr>
      <w:r>
        <w:rPr>
          <w:rFonts w:ascii="Times New Roman" w:hAnsi="Times New Roman"/>
          <w:b w:val="false"/>
          <w:i w:val="false"/>
          <w:color w:val="000000"/>
          <w:sz w:val="21"/>
        </w:rPr>
        <w:t>effective 7/5/78]</w:t>
      </w:r>
    </w:p>
    <w:p>
      <w:pPr>
        <w:spacing w:before="0" w:after="0"/>
        <w:ind w:left="120"/>
        <w:jc w:val="center"/>
      </w:pPr>
      <w:r>
        <w:rPr>
          <w:rFonts w:ascii="Times New Roman" w:hAnsi="Times New Roman"/>
          <w:b w:val="false"/>
          <w:i w:val="false"/>
          <w:color w:val="000000"/>
          <w:sz w:val="21"/>
        </w:rPr>
        <w:t>[Filed 9/14/78, Notice 7/12/78—published 10/4/78, effective 11/8/78]</w:t>
      </w:r>
    </w:p>
    <w:p>
      <w:pPr>
        <w:spacing w:before="0" w:after="0"/>
        <w:ind w:left="120"/>
        <w:jc w:val="center"/>
      </w:pPr>
      <w:r>
        <w:rPr>
          <w:rFonts w:ascii="Times New Roman" w:hAnsi="Times New Roman"/>
          <w:b w:val="false"/>
          <w:i w:val="false"/>
          <w:color w:val="000000"/>
          <w:sz w:val="21"/>
        </w:rPr>
        <w:t>[Filed 11/13/78, Notice 9/20/78—published 11/29/78, effective 1/3/79]</w:t>
      </w:r>
    </w:p>
    <w:p>
      <w:pPr>
        <w:spacing w:before="0" w:after="0"/>
        <w:ind w:left="120"/>
        <w:jc w:val="center"/>
      </w:pPr>
      <w:r>
        <w:rPr>
          <w:rFonts w:ascii="Times New Roman" w:hAnsi="Times New Roman"/>
          <w:b w:val="false"/>
          <w:i w:val="false"/>
          <w:color w:val="000000"/>
          <w:sz w:val="21"/>
        </w:rPr>
        <w:t>[Filed emergency 11/5/80—published 11/26/80, effective 11/5/80]</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2/24/82, Notice 11/11/81—published 3/17/82, effective 4/21/82]</w:t>
      </w:r>
    </w:p>
    <w:p>
      <w:pPr>
        <w:spacing w:before="0" w:after="0"/>
        <w:ind w:left="120"/>
        <w:jc w:val="center"/>
      </w:pPr>
      <w:r>
        <w:rPr>
          <w:rFonts w:ascii="Times New Roman" w:hAnsi="Times New Roman"/>
          <w:b w:val="false"/>
          <w:i w:val="false"/>
          <w:color w:val="000000"/>
          <w:sz w:val="21"/>
        </w:rPr>
        <w:t>[Filed 4/23/82, Notice 11/11/81—published 5/12/82, effective 6/16/82]</w:t>
      </w:r>
    </w:p>
    <w:p>
      <w:pPr>
        <w:spacing w:before="0" w:after="0"/>
        <w:ind w:left="120"/>
        <w:jc w:val="center"/>
      </w:pPr>
      <w:r>
        <w:rPr>
          <w:rFonts w:ascii="Times New Roman" w:hAnsi="Times New Roman"/>
          <w:b w:val="false"/>
          <w:i w:val="false"/>
          <w:color w:val="000000"/>
          <w:sz w:val="21"/>
        </w:rPr>
        <w:t>[Filed 4/6/83, Notice 2/16/83—published 4/27/83, effective 6/30/83]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11/1/85, Notice 6/19/85—published 11/20/85, effective 12/25/85]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ARC 2764C</w:t>
      </w:r>
      <w:r>
        <w:rPr>
          <w:rFonts w:ascii="Times New Roman" w:hAnsi="Times New Roman"/>
          <w:b w:val="false"/>
          <w:i w:val="false"/>
          <w:color w:val="000000"/>
          <w:sz w:val="21"/>
        </w:rPr>
        <w:t xml:space="preserve"> (Notice ARC 2629C,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pBdr>
          <w:bottom w:space="2"/>
        </w:pBdr>
        <w:spacing w:before="0" w:after="0"/>
        <w:ind w:left="120"/>
        <w:jc w:val="both"/>
      </w:pPr>
      <w:r>
        <w:rPr>
          <w:rFonts w:ascii="Times New Roman" w:hAnsi="Times New Roman"/>
          <w:b w:val="false"/>
          <w:i w:val="false"/>
          <w:color w:val="000000"/>
          <w:sz w:val="22"/>
        </w:rPr>
        <w:t>Effective date(12/25/85) of subrules 71.2(4) and 71.11(1)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75.pdf" Type="http://schemas.openxmlformats.org/officeDocument/2006/relationships/hyperlink" Id="rId5"/>
    <Relationship TargetMode="External" Target="https://www.legis.iowa.gov/docs/iac/rule/567.71.2.pdf" Type="http://schemas.openxmlformats.org/officeDocument/2006/relationships/hyperlink" Id="rId6"/>
    <Relationship TargetMode="External" Target="https://www.legis.iowa.gov/docs/iac/chapter/567.70.pdf" Type="http://schemas.openxmlformats.org/officeDocument/2006/relationships/hyperlink" Id="rId7"/>
    <Relationship TargetMode="External" Target="https://www.legis.iowa.gov/docs/iac/chapter/567.72.pdf" Type="http://schemas.openxmlformats.org/officeDocument/2006/relationships/hyperlink" Id="rId8"/>
    <Relationship TargetMode="External" Target="https://www.legis.iowa.gov/docs/iac/rule/567.72.2.pdf" Type="http://schemas.openxmlformats.org/officeDocument/2006/relationships/hyperlink" Id="rId9"/>
    <Relationship TargetMode="External" Target="https://www.legis.iowa.gov/docs/iac/rule/567.70.2.pdf" Type="http://schemas.openxmlformats.org/officeDocument/2006/relationships/hyperlink" Id="rId10"/>
    <Relationship TargetMode="External" Target="https://www.legis.iowa.gov/docs/ico/chapter/455B.275.pdf" Type="http://schemas.openxmlformats.org/officeDocument/2006/relationships/hyperlink" Id="rId11"/>
    <Relationship TargetMode="External" Target="https://www.legis.iowa.gov/docs/iac/rule/567.73.3.pdf" Type="http://schemas.openxmlformats.org/officeDocument/2006/relationships/hyperlink" Id="rId12"/>
    <Relationship TargetMode="External" Target="https://www.legis.iowa.gov/docs/iac/rule/567.71.12.pdf" Type="http://schemas.openxmlformats.org/officeDocument/2006/relationships/hyperlink" Id="rId13"/>
    <Relationship TargetMode="External" Target="https://www.legis.iowa.gov/docs/ico/chapter/455B.262.pdf" Type="http://schemas.openxmlformats.org/officeDocument/2006/relationships/hyperlink" Id="rId14"/>
    <Relationship TargetMode="External" Target="https://www.legis.iowa.gov/docs/ico/chapter/455B.264.pdf" Type="http://schemas.openxmlformats.org/officeDocument/2006/relationships/hyperlink" Id="rId15"/>
    <Relationship TargetMode="External" Target="https://www.legis.iowa.gov/docs/ico/chapter/455B.267.pdf" Type="http://schemas.openxmlformats.org/officeDocument/2006/relationships/hyperlink" Id="rId16"/>
    <Relationship TargetMode="External" Target="https://www.legis.iowa.gov/docs/ico/chapter/455B.275.pdf" Type="http://schemas.openxmlformats.org/officeDocument/2006/relationships/hyperlink" Id="rId17"/>
    <Relationship TargetMode="External" Target="https://www.legis.iowa.gov/docs/ico/chapter/455B.277.pdf" Type="http://schemas.openxmlformats.org/officeDocument/2006/relationships/hyperlink" Id="rId18"/>
    <Relationship TargetMode="External" Target="https://www.legis.iowa.gov/docs/iac/chapter/567.70.pdf" Type="http://schemas.openxmlformats.org/officeDocument/2006/relationships/hyperlink" Id="rId19"/>
    <Relationship TargetMode="External" Target="https://www.legis.iowa.gov/docs/iac/rule/567.72.5.pdf" Type="http://schemas.openxmlformats.org/officeDocument/2006/relationships/hyperlink" Id="rId20"/>
    <Relationship TargetMode="External" Target="https://www.legis.iowa.gov/docs/iac/rule/567.71.7.pdf" Type="http://schemas.openxmlformats.org/officeDocument/2006/relationships/hyperlink" Id="rId21"/>
    <Relationship TargetMode="External" Target="https://www.legis.iowa.gov/docs/iac/rule/567.71.7.pdf" Type="http://schemas.openxmlformats.org/officeDocument/2006/relationships/hyperlink" Id="rId22"/>
    <Relationship TargetMode="External" Target="https://www.legis.iowa.gov/docs/iac/rule/567.71.7.pdf" Type="http://schemas.openxmlformats.org/officeDocument/2006/relationships/hyperlink" Id="rId23"/>
    <Relationship TargetMode="External" Target="https://www.legis.iowa.gov/docs/iac/rule/567.71.7.pdf" Type="http://schemas.openxmlformats.org/officeDocument/2006/relationships/hyperlink" Id="rId24"/>
    <Relationship TargetMode="External" Target="https://www.legis.iowa.gov/docs/iac/rule/567.71.9.pdf" Type="http://schemas.openxmlformats.org/officeDocument/2006/relationships/hyperlink" Id="rId25"/>
    <Relationship TargetMode="External" Target="https://www.legis.iowa.gov/docs/iac/rule/567.71.10.pdf" Type="http://schemas.openxmlformats.org/officeDocument/2006/relationships/hyperlink" Id="rId26"/>
    <Relationship TargetMode="External" Target="https://www.legis.iowa.gov/docs/iac/rule/567.71.1.pdf" Type="http://schemas.openxmlformats.org/officeDocument/2006/relationships/hyperlink" Id="rId27"/>
    <Relationship TargetMode="External" Target="https://www.legis.iowa.gov/docs/iac/rule/567.71.1.pdf" Type="http://schemas.openxmlformats.org/officeDocument/2006/relationships/hyperlink" Id="rId28"/>
    <Relationship TargetMode="External" Target="https://www.legis.iowa.gov/docs/iac/rule/567.71.1.pdf" Type="http://schemas.openxmlformats.org/officeDocument/2006/relationships/hyperlink" Id="rId29"/>
    <Relationship TargetMode="External" Target="https://www.legis.iowa.gov/docs/iac/rule/567.70.2.pdf" Type="http://schemas.openxmlformats.org/officeDocument/2006/relationships/hyperlink" Id="rId30"/>
    <Relationship TargetMode="External" Target="http://efotg.sc.egov.usda.gov/" Type="http://schemas.openxmlformats.org/officeDocument/2006/relationships/hyperlink" Id="rId31"/>
    <Relationship TargetMode="External" Target="https://www.legis.iowa.gov/docs/ico/chapter/455B.275.pdf" Type="http://schemas.openxmlformats.org/officeDocument/2006/relationships/hyperlink" Id="rId32"/>
    <Relationship TargetMode="External" Target="https://www.legis.iowa.gov/docs/iac/chapter/567.70.pdf" Type="http://schemas.openxmlformats.org/officeDocument/2006/relationships/hyperlink" Id="rId33"/>
    <Relationship TargetMode="External" Target="https://www.legis.iowa.gov/docs/iac/rule/567.71.12.pdf" Type="http://schemas.openxmlformats.org/officeDocument/2006/relationships/hyperlink" Id="rId34"/>
    <Relationship TargetMode="External" Target="https://www.legis.iowa.gov/docs/iac/rule/567.71.12.pdf" Type="http://schemas.openxmlformats.org/officeDocument/2006/relationships/hyperlink" Id="rId35"/>
    <Relationship TargetMode="External" Target="https://www.legis.iowa.gov/docs/ico/chapter/455B.pdf" Type="http://schemas.openxmlformats.org/officeDocument/2006/relationships/hyperlink" Id="rId36"/>
    <Relationship TargetMode="External" Target="https://www.legis.iowa.gov/docs/ico/chapter/459.102.pdf" Type="http://schemas.openxmlformats.org/officeDocument/2006/relationships/hyperlink" Id="rId37"/>
    <Relationship TargetMode="External" Target="https://www.legis.iowa.gov/docs/ico/chapter/459.301.pdf" Type="http://schemas.openxmlformats.org/officeDocument/2006/relationships/hyperlink" Id="rId38"/>
    <Relationship TargetMode="External" Target="https://www.legis.iowa.gov/docs/ico/chapter/481A.15.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