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FLOODPLAIN DEVELOPMENT</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w:t>
      </w:r>
    </w:p>
    <w:p>
      <w:pPr>
        <w:spacing w:before="0" w:after="0"/>
        <w:ind w:left="120"/>
        <w:jc w:val="center"/>
      </w:pPr>
      <w:r>
        <w:rPr>
          <w:rFonts w:ascii="Times New Roman" w:hAnsi="Times New Roman"/>
          <w:b w:val="false"/>
          <w:i w:val="false"/>
          <w:color w:val="000000"/>
          <w:sz w:val="21"/>
        </w:rPr>
        <w:t>SCOPE OF TITLE—DEFINITIONS—FORMS—RULES OF PRACTICE</w:t>
      </w:r>
    </w:p>
    <w:p>
      <w:pPr>
        <w:spacing w:before="0" w:after="0"/>
        <w:ind w:left="120"/>
        <w:jc w:val="center"/>
      </w:pPr>
      <w:r>
        <w:rPr>
          <w:rFonts w:ascii="Times New Roman" w:hAnsi="Times New Roman"/>
          <w:b w:val="false"/>
          <w:i w:val="false"/>
          <w:color w:val="000000"/>
          <w:sz w:val="14"/>
        </w:rPr>
        <w:t>[Prior to 7/1/83, see INRC, Chs 2 and 5]</w:t>
      </w:r>
    </w:p>
    <w:p>
      <w:pPr>
        <w:spacing w:before="0" w:after="0"/>
        <w:ind w:left="120"/>
        <w:jc w:val="center"/>
      </w:pPr>
      <w:r>
        <w:rPr>
          <w:rFonts w:ascii="Times New Roman" w:hAnsi="Times New Roman"/>
          <w:b w:val="false"/>
          <w:i w:val="false"/>
          <w:color w:val="000000"/>
          <w:sz w:val="14"/>
        </w:rPr>
        <w:t>[Prior to 12/3/86, Water, Air and Waste Management[900]]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567—70.1</w:t>
      </w:r>
      <w:r>
        <w:rPr>
          <w:rFonts w:ascii="Times New Roman" w:hAnsi="Times New Roman"/>
          <w:b/>
          <w:i w:val="false"/>
          <w:color w:val="000000"/>
          <w:sz w:val="22"/>
        </w:rPr>
        <w:t xml:space="preserve">(455B,481A) </w:t>
      </w:r>
      <w:r>
        <w:rPr>
          <w:rFonts w:ascii="Times New Roman" w:hAnsi="Times New Roman"/>
          <w:b/>
          <w:i w:val="false"/>
          <w:color w:val="000000"/>
          <w:sz w:val="22"/>
        </w:rPr>
        <w:t xml:space="preserve">Scope of title. </w:t>
      </w:r>
      <w:r>
        <w:rPr>
          <w:rFonts w:ascii="Times New Roman" w:hAnsi="Times New Roman"/>
          <w:b w:val="false"/>
          <w:i w:val="false"/>
          <w:color w:val="000000"/>
          <w:sz w:val="22"/>
        </w:rPr>
        <w:t xml:space="preserve">The department has jurisdiction over all floodplains and floodways in the state for the purpose of establishing and implementing a program to promote the protection of life and property from floods and to promote the orderly development and wise use of the floodplains of the state. As part of the program, the department regulates floodplain development by three alternative methods: establishment of regulations for specific stream reaches by issuance of floodplain management orders (see </w:t>
      </w:r>
      <w:hyperlink r:id="rId5">
        <w:r>
          <w:rPr>
            <w:rStyle w:val="Hyperlink"/>
            <w:rFonts w:ascii="Times New Roman" w:hAnsi="Times New Roman"/>
            <w:b w:val="false"/>
            <w:i w:val="false"/>
            <w:color w:val="000000"/>
            <w:sz w:val="22"/>
          </w:rPr>
          <w:t>567—Chapter 75</w:t>
        </w:r>
      </w:hyperlink>
      <w:r>
        <w:rPr>
          <w:rFonts w:ascii="Times New Roman" w:hAnsi="Times New Roman"/>
          <w:b w:val="false"/>
          <w:i w:val="false"/>
          <w:color w:val="000000"/>
          <w:sz w:val="22"/>
        </w:rPr>
        <w:t xml:space="preserve">); approval of floodplain management regulations adopted by local governments (see </w:t>
      </w:r>
      <w:hyperlink r:id="rId6">
        <w:r>
          <w:rPr>
            <w:rStyle w:val="Hyperlink"/>
            <w:rFonts w:ascii="Times New Roman" w:hAnsi="Times New Roman"/>
            <w:b w:val="false"/>
            <w:i w:val="false"/>
            <w:color w:val="000000"/>
            <w:sz w:val="22"/>
          </w:rPr>
          <w:t>567—Chapter 75</w:t>
        </w:r>
      </w:hyperlink>
      <w:r>
        <w:rPr>
          <w:rFonts w:ascii="Times New Roman" w:hAnsi="Times New Roman"/>
          <w:b w:val="false"/>
          <w:i w:val="false"/>
          <w:color w:val="000000"/>
          <w:sz w:val="22"/>
        </w:rPr>
        <w:t xml:space="preserve">); and approval of floodplain development on a case-by-case basis where areas or projects are not covered by the first two methods (see </w:t>
      </w:r>
      <w:hyperlink r:id="rId7">
        <w:r>
          <w:rPr>
            <w:rStyle w:val="Hyperlink"/>
            <w:rFonts w:ascii="Times New Roman" w:hAnsi="Times New Roman"/>
            <w:b w:val="false"/>
            <w:i w:val="false"/>
            <w:color w:val="000000"/>
            <w:sz w:val="22"/>
          </w:rPr>
          <w:t>567—Chapter 71</w:t>
        </w:r>
      </w:hyperlink>
      <w:r>
        <w:rPr>
          <w:rFonts w:ascii="Times New Roman" w:hAnsi="Times New Roman"/>
          <w:b w:val="false"/>
          <w:i w:val="false"/>
          <w:color w:val="000000"/>
          <w:sz w:val="22"/>
        </w:rPr>
        <w:t>). Any person who desires to construct or maintain a structure, dam, obstruction, deposit or excavation, or allow the same in any floodplain or floodway has a responsibility to contact the department to determine whether approval is required from the department or a local government authorized to act for the department.</w:t>
      </w:r>
    </w:p>
    <w:p>
      <w:pPr>
        <w:spacing w:before="0" w:after="0"/>
        <w:ind w:left="120"/>
        <w:jc w:val="both"/>
      </w:pPr>
      <w:r>
        <w:rPr>
          <w:rFonts w:ascii="Times New Roman" w:hAnsi="Times New Roman"/>
          <w:b w:val="false"/>
          <w:i w:val="false"/>
          <w:color w:val="000000"/>
          <w:sz w:val="22"/>
        </w:rPr>
        <w:t xml:space="preserve">Minimum statewide criteria for most types of floodplain development are listed in </w:t>
      </w:r>
      <w:hyperlink r:id="rId8">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 xml:space="preserve">. Special requirements for dams are listed in </w:t>
      </w:r>
      <w:hyperlink r:id="rId9">
        <w:r>
          <w:rPr>
            <w:rStyle w:val="Hyperlink"/>
            <w:rFonts w:ascii="Times New Roman" w:hAnsi="Times New Roman"/>
            <w:b w:val="false"/>
            <w:i w:val="false"/>
            <w:color w:val="000000"/>
            <w:sz w:val="22"/>
          </w:rPr>
          <w:t>567—Chapter 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567—70.2</w:t>
      </w:r>
      <w:r>
        <w:rPr>
          <w:rFonts w:ascii="Times New Roman" w:hAnsi="Times New Roman"/>
          <w:b/>
          <w:i w:val="false"/>
          <w:color w:val="000000"/>
          <w:sz w:val="22"/>
        </w:rPr>
        <w:t xml:space="preserve">(455B,481A) </w:t>
      </w:r>
      <w:r>
        <w:rPr>
          <w:rFonts w:ascii="Times New Roman" w:hAnsi="Times New Roman"/>
          <w:b/>
          <w:i w:val="false"/>
          <w:color w:val="000000"/>
          <w:sz w:val="22"/>
        </w:rPr>
        <w:t xml:space="preserve">Definitions. </w:t>
      </w:r>
      <w:r>
        <w:rPr>
          <w:rFonts w:ascii="Times New Roman" w:hAnsi="Times New Roman"/>
          <w:b w:val="false"/>
          <w:i w:val="false"/>
          <w:color w:val="000000"/>
          <w:sz w:val="22"/>
        </w:rPr>
        <w:t>Definitions used in this title are listed in alphabetical order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levees or dikes” </w:t>
      </w:r>
      <w:r>
        <w:rPr>
          <w:rFonts w:ascii="Times New Roman" w:hAnsi="Times New Roman"/>
          <w:b w:val="false"/>
          <w:i w:val="false"/>
          <w:color w:val="000000"/>
          <w:sz w:val="22"/>
        </w:rPr>
        <w:t>means levees or dikes constructed to provide limited flood protection to land used primarily for agricultural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feeding operation” </w:t>
      </w:r>
      <w:r>
        <w:rPr>
          <w:rFonts w:ascii="Times New Roman" w:hAnsi="Times New Roman"/>
          <w:b w:val="false"/>
          <w:i w:val="false"/>
          <w:color w:val="000000"/>
          <w:sz w:val="22"/>
        </w:rPr>
        <w:t xml:space="preserve">means the same as defined in </w:t>
      </w:r>
      <w:hyperlink r:id="rId10">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“Animal feeding operation structure” </w:t>
      </w:r>
      <w:r>
        <w:rPr>
          <w:rFonts w:ascii="Times New Roman" w:hAnsi="Times New Roman"/>
          <w:b w:val="false"/>
          <w:i w:val="false"/>
          <w:color w:val="000000"/>
          <w:sz w:val="22"/>
        </w:rPr>
        <w:t xml:space="preserve">means the same as defined in </w:t>
      </w:r>
      <w:hyperlink r:id="rId11">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“Backwater” </w:t>
      </w:r>
      <w:r>
        <w:rPr>
          <w:rFonts w:ascii="Times New Roman" w:hAnsi="Times New Roman"/>
          <w:b w:val="false"/>
          <w:i w:val="false"/>
          <w:color w:val="000000"/>
          <w:sz w:val="22"/>
        </w:rPr>
        <w:t>means the increase in water surface level immediately upstream from any structure, dam, obstruction or deposit, erected, used, or maintained in the floodway or on the floodplains caused by the resulting reduction in conveyance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means all residential housing including mobile homes as defined herein, cabins, factories, warehouses, storage sheds, and other walled, roofed structures constructed for occupation by people or animals or for storage of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“Channel” </w:t>
      </w:r>
      <w:r>
        <w:rPr>
          <w:rFonts w:ascii="Times New Roman" w:hAnsi="Times New Roman"/>
          <w:b w:val="false"/>
          <w:i w:val="false"/>
          <w:color w:val="000000"/>
          <w:sz w:val="22"/>
        </w:rPr>
        <w:t>means a natural or artificial flow path of a stream with definite bed and banks to collect and conduct the normal flow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“Channel change” </w:t>
      </w:r>
      <w:r>
        <w:rPr>
          <w:rFonts w:ascii="Times New Roman" w:hAnsi="Times New Roman"/>
          <w:b w:val="false"/>
          <w:i w:val="false"/>
          <w:color w:val="000000"/>
          <w:sz w:val="22"/>
        </w:rPr>
        <w:t>means either (a) the alteration of the location of a channel of a stream or (b) a substantial modification of the size, slope, or flow characteristics of a channel of a stream for a purpose related to the use of the stream’s floodplain surface rather than for the purpose of actually using the water itself, or putting the water to a new use. (</w:t>
      </w:r>
      <w:r>
        <w:rPr>
          <w:rFonts w:ascii="Times New Roman" w:hAnsi="Times New Roman"/>
          <w:b w:val="false"/>
          <w:i w:val="false"/>
          <w:color w:val="000000"/>
          <w:sz w:val="22"/>
        </w:rPr>
        <w:t>NOTE:</w:t>
      </w:r>
      <w:r>
        <w:rPr>
          <w:rFonts w:ascii="Times New Roman" w:hAnsi="Times New Roman"/>
          <w:b w:val="false"/>
          <w:i w:val="false"/>
          <w:color w:val="000000"/>
          <w:sz w:val="22"/>
        </w:rPr>
        <w:t xml:space="preserve"> Diversions of water subject to the permit requirements of Iowa Code sections </w:t>
      </w:r>
      <w:hyperlink r:id="rId12">
        <w:r>
          <w:rPr>
            <w:rStyle w:val="Hyperlink"/>
            <w:rFonts w:ascii="Times New Roman" w:hAnsi="Times New Roman"/>
            <w:b w:val="false"/>
            <w:i w:val="false"/>
            <w:color w:val="000000"/>
            <w:sz w:val="22"/>
          </w:rPr>
          <w:t>455B.268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455B.269</w:t>
        </w:r>
      </w:hyperlink>
      <w:r>
        <w:rPr>
          <w:rFonts w:ascii="Times New Roman" w:hAnsi="Times New Roman"/>
          <w:b w:val="false"/>
          <w:i w:val="false"/>
          <w:color w:val="000000"/>
          <w:sz w:val="22"/>
        </w:rPr>
        <w:t xml:space="preserve"> usually are not channel changes.) Increasing the cross-sectional area of a channel by less than 10 percent is not considered a substantial modification of the size, slope, or flow characteristics of a channel of a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w:t>
      </w:r>
      <w:r>
        <w:rPr>
          <w:rFonts w:ascii="Times New Roman" w:hAnsi="Times New Roman"/>
          <w:b w:val="false"/>
          <w:i w:val="false"/>
          <w:color w:val="000000"/>
          <w:sz w:val="22"/>
        </w:rPr>
        <w:t xml:space="preserve">means the same as defined in </w:t>
      </w:r>
      <w:hyperlink r:id="rId14">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building”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“confinement building” </w:t>
      </w:r>
      <w:r>
        <w:rPr>
          <w:rFonts w:ascii="Times New Roman" w:hAnsi="Times New Roman"/>
          <w:b w:val="false"/>
          <w:i w:val="false"/>
          <w:color w:val="000000"/>
          <w:sz w:val="22"/>
        </w:rPr>
        <w:t xml:space="preserve">means the same as defined in </w:t>
      </w:r>
      <w:hyperlink r:id="rId15">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“Confinement feeding operation structure” </w:t>
      </w:r>
      <w:r>
        <w:rPr>
          <w:rFonts w:ascii="Times New Roman" w:hAnsi="Times New Roman"/>
          <w:b w:val="false"/>
          <w:i w:val="false"/>
          <w:color w:val="000000"/>
          <w:sz w:val="22"/>
        </w:rPr>
        <w:t xml:space="preserve">means the same as defined in </w:t>
      </w:r>
      <w:hyperlink r:id="rId16">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 </w:t>
      </w:r>
      <w:r>
        <w:rPr>
          <w:rFonts w:ascii="Times New Roman" w:hAnsi="Times New Roman"/>
          <w:b w:val="false"/>
          <w:i w:val="false"/>
          <w:color w:val="000000"/>
          <w:sz w:val="22"/>
        </w:rPr>
        <w:t xml:space="preserve">means the same as defined in rule </w:t>
      </w:r>
      <w:hyperlink r:id="rId17">
        <w:r>
          <w:rPr>
            <w:rStyle w:val="Hyperlink"/>
            <w:rFonts w:ascii="Times New Roman" w:hAnsi="Times New Roman"/>
            <w:b w:val="false"/>
            <w:i w:val="false"/>
            <w:color w:val="000000"/>
            <w:sz w:val="22"/>
          </w:rPr>
          <w:t>567—73.2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“Development” </w:t>
      </w:r>
      <w:r>
        <w:rPr>
          <w:rFonts w:ascii="Times New Roman" w:hAnsi="Times New Roman"/>
          <w:b w:val="false"/>
          <w:i w:val="false"/>
          <w:color w:val="000000"/>
          <w:sz w:val="22"/>
        </w:rPr>
        <w:t>means a structure, dam, obstruction, deposit, excavation or flood control work in a floodway or floodplain.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“Drainage district ditch” </w:t>
      </w:r>
      <w:r>
        <w:rPr>
          <w:rFonts w:ascii="Times New Roman" w:hAnsi="Times New Roman"/>
          <w:b w:val="false"/>
          <w:i w:val="false"/>
          <w:color w:val="000000"/>
          <w:sz w:val="22"/>
        </w:rPr>
        <w:t>means a channel located within the boundaries of a drainage district and excavated to establish a design channel-bottom profile for efficient conveyance of water discharged from agricultural tile systems and open drains.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“Elevating” </w:t>
      </w:r>
      <w:r>
        <w:rPr>
          <w:rFonts w:ascii="Times New Roman" w:hAnsi="Times New Roman"/>
          <w:b w:val="false"/>
          <w:i w:val="false"/>
          <w:color w:val="000000"/>
          <w:sz w:val="22"/>
        </w:rPr>
        <w:t>means raising buildings by fill or other means to or above a minimum level of flood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“Encroachment limits” </w:t>
      </w:r>
      <w:r>
        <w:rPr>
          <w:rFonts w:ascii="Times New Roman" w:hAnsi="Times New Roman"/>
          <w:b w:val="false"/>
          <w:i w:val="false"/>
          <w:color w:val="000000"/>
          <w:sz w:val="22"/>
        </w:rPr>
        <w:t>means the boundaries of the floodway established in the floodplains and designating the width of the channel and minimum width of the overbank areas needed for the conveyance of Q100.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“Equal and opposite conveyance” </w:t>
      </w:r>
      <w:r>
        <w:rPr>
          <w:rFonts w:ascii="Times New Roman" w:hAnsi="Times New Roman"/>
          <w:b w:val="false"/>
          <w:i w:val="false"/>
          <w:color w:val="000000"/>
          <w:sz w:val="22"/>
        </w:rPr>
        <w:t>means the location of development offsets from stream banks so that floodplain lands on each side of a stream convey a share of the flood flows proportionate to the total conveyance available on each respective side of the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“Experienced Iowa flood chart” </w:t>
      </w:r>
      <w:r>
        <w:rPr>
          <w:rFonts w:ascii="Times New Roman" w:hAnsi="Times New Roman"/>
          <w:b w:val="false"/>
          <w:i w:val="false"/>
          <w:color w:val="000000"/>
          <w:sz w:val="22"/>
        </w:rPr>
        <w:t>means a plot on logarithmic graph paper of points representing floods which have been observed and measured in Iowa and subsequently published by the U.S. geological survey or other agency. Each point on the plot is located with the drainage area in square miles as the abscissa and discharge in cubic feet per second as the ordinate.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 control works” </w:t>
      </w:r>
      <w:r>
        <w:rPr>
          <w:rFonts w:ascii="Times New Roman" w:hAnsi="Times New Roman"/>
          <w:b w:val="false"/>
          <w:i w:val="false"/>
          <w:color w:val="000000"/>
          <w:sz w:val="22"/>
        </w:rPr>
        <w:t>means physical works such as dams, levees, floodwalls, and channel improvements or relocations undertaken to provide moderate to high degree of flood protection to existing or proposed structures or land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 hazard area” </w:t>
      </w:r>
      <w:r>
        <w:rPr>
          <w:rFonts w:ascii="Times New Roman" w:hAnsi="Times New Roman"/>
          <w:b w:val="false"/>
          <w:i w:val="false"/>
          <w:color w:val="000000"/>
          <w:sz w:val="22"/>
        </w:rPr>
        <w:t>means the area including the floodplains and the river or stream channel.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“Floodplain” </w:t>
      </w:r>
      <w:r>
        <w:rPr>
          <w:rFonts w:ascii="Times New Roman" w:hAnsi="Times New Roman"/>
          <w:b w:val="false"/>
          <w:i w:val="false"/>
          <w:color w:val="000000"/>
          <w:sz w:val="22"/>
        </w:rPr>
        <w:t>means the land adjacent to a stream which has been or may be inundated by a flood having the magnitude of the regional flood as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 proofing” </w:t>
      </w:r>
      <w:r>
        <w:rPr>
          <w:rFonts w:ascii="Times New Roman" w:hAnsi="Times New Roman"/>
          <w:b w:val="false"/>
          <w:i w:val="false"/>
          <w:color w:val="000000"/>
          <w:sz w:val="22"/>
        </w:rPr>
        <w:t>means a combination of structural provisions, changes, or adjustments in construction to buildings, structures, or properties subject to flooding primarily for the reduction or elimination of flood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“Floodway fringe” </w:t>
      </w:r>
      <w:r>
        <w:rPr>
          <w:rFonts w:ascii="Times New Roman" w:hAnsi="Times New Roman"/>
          <w:b w:val="false"/>
          <w:i w:val="false"/>
          <w:color w:val="000000"/>
          <w:sz w:val="22"/>
        </w:rPr>
        <w:t>means those portions of the floodplains located landward of the encroachment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 damage potential” </w:t>
      </w:r>
      <w:r>
        <w:rPr>
          <w:rFonts w:ascii="Times New Roman" w:hAnsi="Times New Roman"/>
          <w:b w:val="false"/>
          <w:i w:val="false"/>
          <w:color w:val="000000"/>
          <w:sz w:val="22"/>
        </w:rPr>
        <w:t>means the flood damage potential associated with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Habitable residential buildings and building complexes which include seasonal residential buildings;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Industrial, commercial, agricultural, recreational and other similar buildings or building complexes, which, if inundated by flooding, would result in high public damages as determined by the department or which contain high-value equipment or contents that are not easily removed;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Public buildings or building complexes, which, if inundated by flooding, would result in high public damages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damage potential” </w:t>
      </w:r>
      <w:r>
        <w:rPr>
          <w:rFonts w:ascii="Times New Roman" w:hAnsi="Times New Roman"/>
          <w:b w:val="false"/>
          <w:i w:val="false"/>
          <w:color w:val="000000"/>
          <w:sz w:val="22"/>
        </w:rPr>
        <w:t>means all buildings, building complexes or floodplain uses not defined as maximum or high damage potential where such structures are designed in a manner that inundation by flood waters results in minimal damage to the structure and its contents. Such structures include but are not limited to the following: detached residential garages, sheds, park shelters, buildings used for storage of equipment or crops that can be easily removed, and buildings used as temporary shelter for livestock.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“Major water source” </w:t>
      </w:r>
      <w:r>
        <w:rPr>
          <w:rFonts w:ascii="Times New Roman" w:hAnsi="Times New Roman"/>
          <w:b w:val="false"/>
          <w:i w:val="false"/>
          <w:color w:val="000000"/>
          <w:sz w:val="22"/>
        </w:rPr>
        <w:t xml:space="preserve">means the same as defined in </w:t>
      </w:r>
      <w:hyperlink r:id="rId18">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“Manure storage structure” </w:t>
      </w:r>
      <w:r>
        <w:rPr>
          <w:rFonts w:ascii="Times New Roman" w:hAnsi="Times New Roman"/>
          <w:b w:val="false"/>
          <w:i w:val="false"/>
          <w:color w:val="000000"/>
          <w:sz w:val="22"/>
        </w:rPr>
        <w:t xml:space="preserve">means the same as defined in </w:t>
      </w:r>
      <w:hyperlink r:id="rId19">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“Maximum damage potential” </w:t>
      </w:r>
      <w:r>
        <w:rPr>
          <w:rFonts w:ascii="Times New Roman" w:hAnsi="Times New Roman"/>
          <w:b w:val="false"/>
          <w:i w:val="false"/>
          <w:color w:val="000000"/>
          <w:sz w:val="22"/>
        </w:rPr>
        <w:t>means the flood damage potential associated with hospitals and like institutions; buildings or building complexes containing documents, data, or instruments of great public value; buildings or building complexes containing materials dangerous to the public or fuel storage facilities; power installations needed in emergency or buildings or building complexes similar in nature or use to those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“Minimum level of flood protection” </w:t>
      </w:r>
      <w:r>
        <w:rPr>
          <w:rFonts w:ascii="Times New Roman" w:hAnsi="Times New Roman"/>
          <w:b w:val="false"/>
          <w:i w:val="false"/>
          <w:color w:val="000000"/>
          <w:sz w:val="22"/>
        </w:rPr>
        <w:t>means the elevation corresponding to the water surface profile of the regulatory flood associated with a damage potential classification listed in these rules plus any freeboard specified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“Mobile home” </w:t>
      </w:r>
      <w:r>
        <w:rPr>
          <w:rFonts w:ascii="Times New Roman" w:hAnsi="Times New Roman"/>
          <w:b w:val="false"/>
          <w:i w:val="false"/>
          <w:color w:val="000000"/>
          <w:sz w:val="22"/>
        </w:rPr>
        <w:t>means a structure, transportable in one or more sections, which is built on a permanent chassis and designed to be used with or without a permanent foundation when connected to the required utilities. It does not include recreational vehicles or travel trailers.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“Nominated stream” </w:t>
      </w:r>
      <w:r>
        <w:rPr>
          <w:rFonts w:ascii="Times New Roman" w:hAnsi="Times New Roman"/>
          <w:b w:val="false"/>
          <w:i w:val="false"/>
          <w:color w:val="000000"/>
          <w:sz w:val="22"/>
        </w:rPr>
        <w:t xml:space="preserve">means the stream or water source named in the petition described in </w:t>
      </w:r>
      <w:hyperlink r:id="rId20">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 xml:space="preserve"> that seeks designation of a stream as a protected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storage” </w:t>
      </w:r>
      <w:r>
        <w:rPr>
          <w:rFonts w:ascii="Times New Roman" w:hAnsi="Times New Roman"/>
          <w:b w:val="false"/>
          <w:i w:val="false"/>
          <w:color w:val="000000"/>
          <w:sz w:val="22"/>
        </w:rPr>
        <w:t>means the volume of water expressed in acre-feet which is stored upstream from a dam or in an impoundment up the level of the principal outlet works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maximum flood” </w:t>
      </w:r>
      <w:r>
        <w:rPr>
          <w:rFonts w:ascii="Times New Roman" w:hAnsi="Times New Roman"/>
          <w:b w:val="false"/>
          <w:i w:val="false"/>
          <w:color w:val="000000"/>
          <w:sz w:val="22"/>
        </w:rPr>
        <w:t>means the flood that may be expected from the most severe combination of critical meteorological and hydrologic conditions that are reasonably possible in the region, and is derived from probable maximum precipitation, the theoretical greatest depth of precipitation for a given duration that is physically possible over a particular drainage area at a certain time of year. The probable maximum precipitation within designated zones in Iowa has been determined by the National Weather Service. The probable maximum flood for any location within Iowa is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“Protected stream” </w:t>
      </w:r>
      <w:r>
        <w:rPr>
          <w:rFonts w:ascii="Times New Roman" w:hAnsi="Times New Roman"/>
          <w:b w:val="false"/>
          <w:i w:val="false"/>
          <w:color w:val="000000"/>
          <w:sz w:val="22"/>
        </w:rPr>
        <w:t xml:space="preserve">means a stream designated by the department as a “protected stream” in </w:t>
      </w:r>
      <w:hyperlink r:id="rId21">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damages” </w:t>
      </w:r>
      <w:r>
        <w:rPr>
          <w:rFonts w:ascii="Times New Roman" w:hAnsi="Times New Roman"/>
          <w:b w:val="false"/>
          <w:i w:val="false"/>
          <w:color w:val="000000"/>
          <w:sz w:val="22"/>
        </w:rPr>
        <w:t>means costs resulting from damage to roads and streets, sewers, water mains, other public utilities and public buildings; expenditures for emergency flood protection, evacuation and relief, rehabilitation and cleanup; losses due to interruption of utilities and transportation routes, and interruption of commerce and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“Q100,” “Q50,” “Q25,” “Q15,” “Q10,” </w:t>
      </w:r>
      <w:r>
        <w:rPr>
          <w:rFonts w:ascii="Times New Roman" w:hAnsi="Times New Roman"/>
          <w:b w:val="false"/>
          <w:i w:val="false"/>
          <w:color w:val="000000"/>
          <w:sz w:val="22"/>
        </w:rPr>
        <w:t>et cetera, means a flood having a 1, 2, 4, 7, 10, et cetera, percent chance of being equaled or exceeded in any one year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“Regional flood” </w:t>
      </w:r>
      <w:r>
        <w:rPr>
          <w:rFonts w:ascii="Times New Roman" w:hAnsi="Times New Roman"/>
          <w:b w:val="false"/>
          <w:i w:val="false"/>
          <w:color w:val="000000"/>
          <w:sz w:val="22"/>
        </w:rPr>
        <w:t>means a flood representative of the largest floods which have been observed on streams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“Repair and maintenance of a drainage district ditch” </w:t>
      </w:r>
      <w:r>
        <w:rPr>
          <w:rFonts w:ascii="Times New Roman" w:hAnsi="Times New Roman"/>
          <w:b w:val="false"/>
          <w:i w:val="false"/>
          <w:color w:val="000000"/>
          <w:sz w:val="22"/>
        </w:rPr>
        <w:t xml:space="preserve">means the restoration of the original grade line, cross-sectional area, or other design specifications of a drainage district ditch lawfully established as part of a drainage district formed and operating under the provisions of Iowa Code chapter </w:t>
      </w:r>
      <w:hyperlink r:id="rId22">
        <w:r>
          <w:rPr>
            <w:rStyle w:val="Hyperlink"/>
            <w:rFonts w:ascii="Times New Roman" w:hAnsi="Times New Roman"/>
            <w:b w:val="false"/>
            <w:i w:val="false"/>
            <w:color w:val="000000"/>
            <w:sz w:val="22"/>
          </w:rPr>
          <w:t>468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“Road projects” </w:t>
      </w:r>
      <w:r>
        <w:rPr>
          <w:rFonts w:ascii="Times New Roman" w:hAnsi="Times New Roman"/>
          <w:b w:val="false"/>
          <w:i w:val="false"/>
          <w:color w:val="000000"/>
          <w:sz w:val="22"/>
        </w:rPr>
        <w:t>means the construction and maintenance of any bridges, culverts, road embankments, and temporary stream crossings.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“Rural areas” </w:t>
      </w:r>
      <w:r>
        <w:rPr>
          <w:rFonts w:ascii="Times New Roman" w:hAnsi="Times New Roman"/>
          <w:b w:val="false"/>
          <w:i w:val="false"/>
          <w:color w:val="000000"/>
          <w:sz w:val="22"/>
        </w:rPr>
        <w:t>means any area not defined or designated as an urban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“Seasonal homes” </w:t>
      </w:r>
      <w:r>
        <w:rPr>
          <w:rFonts w:ascii="Times New Roman" w:hAnsi="Times New Roman"/>
          <w:b w:val="false"/>
          <w:i w:val="false"/>
          <w:color w:val="000000"/>
          <w:sz w:val="22"/>
        </w:rPr>
        <w:t>means residential buildings or building complexes which are not used for permanent or year-round human habitation.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“Stream” </w:t>
      </w:r>
      <w:r>
        <w:rPr>
          <w:rFonts w:ascii="Times New Roman" w:hAnsi="Times New Roman"/>
          <w:b w:val="false"/>
          <w:i w:val="false"/>
          <w:color w:val="000000"/>
          <w:sz w:val="22"/>
        </w:rPr>
        <w:t xml:space="preserve">means a water source that either drains an area of at least two square miles or has been designated as a protected stream in </w:t>
      </w:r>
      <w:hyperlink r:id="rId23">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storage” </w:t>
      </w:r>
      <w:r>
        <w:rPr>
          <w:rFonts w:ascii="Times New Roman" w:hAnsi="Times New Roman"/>
          <w:b w:val="false"/>
          <w:i w:val="false"/>
          <w:color w:val="000000"/>
          <w:sz w:val="22"/>
        </w:rPr>
        <w:t>means the volume of water expressed in acre-feet which may be stored upstream from a dam or in an impoundment above the level of the principal outlet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“Urban areas” </w:t>
      </w:r>
      <w:r>
        <w:rPr>
          <w:rFonts w:ascii="Times New Roman" w:hAnsi="Times New Roman"/>
          <w:b w:val="false"/>
          <w:i w:val="false"/>
          <w:color w:val="000000"/>
          <w:sz w:val="22"/>
        </w:rPr>
        <w:t>means incorporated municipalities.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“Water source” </w:t>
      </w:r>
      <w:r>
        <w:rPr>
          <w:rFonts w:ascii="Times New Roman" w:hAnsi="Times New Roman"/>
          <w:b w:val="false"/>
          <w:i w:val="false"/>
          <w:color w:val="000000"/>
          <w:sz w:val="22"/>
        </w:rPr>
        <w:t xml:space="preserve">means the same as defined in </w:t>
      </w:r>
      <w:hyperlink r:id="rId24">
        <w:r>
          <w:rPr>
            <w:rStyle w:val="Hyperlink"/>
            <w:rFonts w:ascii="Times New Roman" w:hAnsi="Times New Roman"/>
            <w:b w:val="false"/>
            <w:i w:val="false"/>
            <w:color w:val="000000"/>
            <w:sz w:val="22"/>
          </w:rPr>
          <w:t>567—65.1</w:t>
        </w:r>
      </w:hyperlink>
      <w:r>
        <w:rPr>
          <w:rFonts w:ascii="Times New Roman" w:hAnsi="Times New Roman"/>
          <w:b w:val="false"/>
          <w:i w:val="false"/>
          <w:color w:val="000000"/>
          <w:sz w:val="22"/>
        </w:rPr>
        <w:t>(459,459B).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5899C</w:t>
      </w:r>
      <w:r>
        <w:rPr>
          <w:rFonts w:ascii="Times New Roman" w:hAnsi="Times New Roman"/>
          <w:b w:val="false"/>
          <w:i w:val="false"/>
          <w:color w:val="000000"/>
          <w:sz w:val="16"/>
        </w:rPr>
        <w:t>, IAB 9/8/21, effective 10/13/21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567—70.3</w:t>
      </w:r>
      <w:r>
        <w:rPr>
          <w:rFonts w:ascii="Times New Roman" w:hAnsi="Times New Roman"/>
          <w:b/>
          <w:i w:val="false"/>
          <w:color w:val="000000"/>
          <w:sz w:val="22"/>
        </w:rPr>
        <w:t xml:space="preserve">(17A,455B,481A)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Any private or public person or agency desiring to secure a permit under this chapter shall file a properly completed application, DNR Form 36. For application and supplemental forms, any private or public person or agency should see </w:t>
      </w:r>
      <w:hyperlink r:id="rId25">
        <w:r>
          <w:rPr>
            <w:rStyle w:val="Hyperlink"/>
            <w:rFonts w:ascii="Times New Roman" w:hAnsi="Times New Roman"/>
            <w:b w:val="false"/>
            <w:i w:val="false"/>
            <w:color w:val="000000"/>
            <w:sz w:val="22"/>
            <w:u w:val="single"/>
          </w:rPr>
          <w:t>www.iowadnr.gov/Environmental-Protection/Land-Quality/Flood-Plain-Management</w:t>
        </w:r>
      </w:hyperlink>
      <w:r>
        <w:rPr>
          <w:rFonts w:ascii="Times New Roman" w:hAnsi="Times New Roman"/>
          <w:b w:val="false"/>
          <w:i w:val="false"/>
          <w:color w:val="000000"/>
          <w:sz w:val="22"/>
        </w:rPr>
        <w:t>. Application forms may also be obtained from:</w:t>
      </w:r>
    </w:p>
    <w:p>
      <w:pPr>
        <w:spacing w:before="0" w:after="0"/>
        <w:ind w:left="356"/>
        <w:jc w:val="both"/>
      </w:pPr>
      <w:r>
        <w:rPr>
          <w:rFonts w:ascii="Times New Roman" w:hAnsi="Times New Roman"/>
          <w:b w:val="false"/>
          <w:i w:val="false"/>
          <w:color w:val="000000"/>
          <w:sz w:val="22"/>
        </w:rPr>
        <w:t>Floodplain and Dam Safety Section</w:t>
      </w:r>
    </w:p>
    <w:p>
      <w:pPr>
        <w:spacing w:before="0" w:after="0"/>
        <w:ind w:left="356"/>
        <w:jc w:val="both"/>
      </w:pPr>
      <w:r>
        <w:rPr>
          <w:rFonts w:ascii="Times New Roman" w:hAnsi="Times New Roman"/>
          <w:b w:val="false"/>
          <w:i w:val="false"/>
          <w:color w:val="000000"/>
          <w:sz w:val="22"/>
        </w:rPr>
        <w:t>Iowa Department of Natural Resources</w:t>
      </w:r>
    </w:p>
    <w:p>
      <w:pPr>
        <w:spacing w:before="0" w:after="0"/>
        <w:ind w:left="356"/>
        <w:jc w:val="both"/>
      </w:pPr>
      <w:r>
        <w:rPr>
          <w:rFonts w:ascii="Times New Roman" w:hAnsi="Times New Roman"/>
          <w:b w:val="false"/>
          <w:i w:val="false"/>
          <w:color w:val="000000"/>
          <w:sz w:val="22"/>
        </w:rPr>
        <w:t>Henry A. Wallace Building</w:t>
      </w:r>
    </w:p>
    <w:p>
      <w:pPr>
        <w:spacing w:before="0" w:after="0"/>
        <w:ind w:left="356"/>
        <w:jc w:val="both"/>
      </w:pPr>
      <w:r>
        <w:rPr>
          <w:rFonts w:ascii="Times New Roman" w:hAnsi="Times New Roman"/>
          <w:b w:val="false"/>
          <w:i w:val="false"/>
          <w:color w:val="000000"/>
          <w:sz w:val="22"/>
        </w:rPr>
        <w:t>502 East Ninth Street</w:t>
      </w:r>
    </w:p>
    <w:p>
      <w:pPr>
        <w:spacing w:before="0" w:after="0"/>
        <w:ind w:left="356"/>
        <w:jc w:val="both"/>
      </w:pPr>
      <w:r>
        <w:rPr>
          <w:rFonts w:ascii="Times New Roman" w:hAnsi="Times New Roman"/>
          <w:b w:val="false"/>
          <w:i w:val="false"/>
          <w:color w:val="000000"/>
          <w:sz w:val="22"/>
        </w:rPr>
        <w:t>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567—70.4</w:t>
      </w:r>
      <w:r>
        <w:rPr>
          <w:rFonts w:ascii="Times New Roman" w:hAnsi="Times New Roman"/>
          <w:b/>
          <w:i w:val="false"/>
          <w:color w:val="000000"/>
          <w:sz w:val="22"/>
        </w:rPr>
        <w:t xml:space="preserve">(17A,455B,481A) </w:t>
      </w:r>
      <w:r>
        <w:rPr>
          <w:rFonts w:ascii="Times New Roman" w:hAnsi="Times New Roman"/>
          <w:b/>
          <w:i w:val="false"/>
          <w:color w:val="000000"/>
          <w:sz w:val="22"/>
        </w:rPr>
        <w:t xml:space="preserve">Requesting approval of floodplain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70.4(1)</w:t>
      </w:r>
      <w:r>
        <w:rPr>
          <w:rFonts w:ascii="Times New Roman" w:hAnsi="Times New Roman"/>
          <w:b w:val="false"/>
          <w:i w:val="false"/>
          <w:color w:val="000000"/>
          <w:sz w:val="22"/>
        </w:rPr>
        <w:t> </w:t>
      </w:r>
      <w:r>
        <w:rPr>
          <w:rFonts w:ascii="Times New Roman" w:hAnsi="Times New Roman"/>
          <w:b w:val="false"/>
          <w:i/>
          <w:color w:val="000000"/>
          <w:sz w:val="22"/>
        </w:rPr>
        <w:t xml:space="preserve">Development needing approval. </w:t>
      </w:r>
      <w:r>
        <w:rPr>
          <w:rFonts w:ascii="Times New Roman" w:hAnsi="Times New Roman"/>
          <w:b w:val="false"/>
          <w:i w:val="false"/>
          <w:color w:val="000000"/>
          <w:sz w:val="22"/>
        </w:rPr>
        <w:t xml:space="preserve">Any development in a floodway or floodplain which exceeds the thresholds in </w:t>
      </w:r>
      <w:hyperlink r:id="rId26">
        <w:r>
          <w:rPr>
            <w:rStyle w:val="Hyperlink"/>
            <w:rFonts w:ascii="Times New Roman" w:hAnsi="Times New Roman"/>
            <w:b w:val="false"/>
            <w:i w:val="false"/>
            <w:color w:val="000000"/>
            <w:sz w:val="22"/>
          </w:rPr>
          <w:t>567—Chapter 71</w:t>
        </w:r>
      </w:hyperlink>
      <w:r>
        <w:rPr>
          <w:rFonts w:ascii="Times New Roman" w:hAnsi="Times New Roman"/>
          <w:b w:val="false"/>
          <w:i w:val="false"/>
          <w:color w:val="000000"/>
          <w:sz w:val="22"/>
        </w:rPr>
        <w:t xml:space="preserve"> and is not otherwise regulated by a department floodplain management order or a department-approved, locally adopted floodplain management ordinance requires a department floodplain development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70.4(2)</w:t>
      </w:r>
      <w:r>
        <w:rPr>
          <w:rFonts w:ascii="Times New Roman" w:hAnsi="Times New Roman"/>
          <w:b w:val="false"/>
          <w:i w:val="false"/>
          <w:color w:val="000000"/>
          <w:sz w:val="22"/>
        </w:rPr>
        <w:t> </w:t>
      </w:r>
      <w:r>
        <w:rPr>
          <w:rFonts w:ascii="Times New Roman" w:hAnsi="Times New Roman"/>
          <w:b w:val="false"/>
          <w:i/>
          <w:color w:val="000000"/>
          <w:sz w:val="22"/>
        </w:rPr>
        <w:t xml:space="preserve">Applying for a floodplain development permit. </w:t>
      </w:r>
      <w:r>
        <w:rPr>
          <w:rFonts w:ascii="Times New Roman" w:hAnsi="Times New Roman"/>
          <w:b w:val="false"/>
          <w:i w:val="false"/>
          <w:color w:val="000000"/>
          <w:sz w:val="22"/>
        </w:rPr>
        <w:t>Application for a floodplain development permit shall be made on DNR Form 36 or a reasonable facsimile thereof. The application shall be submitted by or on behalf of the person or persons who have or will have responsibility by reason of ownership, lease, or easement for the property on which the project site is located. The application must be signed by the applicant or a duly authorized agent. Completed applications along with supporting information shall be mailed or otherwise delivered to the Floodplain and Dam Safety Section, Environmental Services Division, Iowa Department of Natural Resources, Wallace State Office Building, 502 East Ninth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70.4(3)</w:t>
      </w:r>
      <w:r>
        <w:rPr>
          <w:rFonts w:ascii="Times New Roman" w:hAnsi="Times New Roman"/>
          <w:b w:val="false"/>
          <w:i w:val="false"/>
          <w:color w:val="000000"/>
          <w:sz w:val="22"/>
        </w:rPr>
        <w:t> </w:t>
      </w:r>
      <w:r>
        <w:rPr>
          <w:rFonts w:ascii="Times New Roman" w:hAnsi="Times New Roman"/>
          <w:b w:val="false"/>
          <w:i/>
          <w:color w:val="000000"/>
          <w:sz w:val="22"/>
        </w:rPr>
        <w:t xml:space="preserve">Engineering plans.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 of certified plans. </w:t>
      </w:r>
      <w:r>
        <w:rPr>
          <w:rFonts w:ascii="Times New Roman" w:hAnsi="Times New Roman"/>
          <w:b w:val="false"/>
          <w:i w:val="false"/>
          <w:color w:val="000000"/>
          <w:sz w:val="22"/>
        </w:rPr>
        <w:t xml:space="preserve">An application shall not be considered complete until sufficient engineering plans have been submitted to enable the department to determine whether the project as proposed satisfies applicable criteria. The engineering plans shall contain information, as specified by the department, which is needed for the department to conduct a technical review pursuant to paragraph </w:t>
      </w:r>
      <w:hyperlink r:id="rId27">
        <w:r>
          <w:rPr>
            <w:rStyle w:val="Hyperlink"/>
            <w:rFonts w:ascii="Times New Roman" w:hAnsi="Times New Roman"/>
            <w:b w:val="false"/>
            <w:i w:val="false"/>
            <w:color w:val="000000"/>
            <w:sz w:val="22"/>
          </w:rPr>
          <w:t>70.5(3)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engineering plans shall include specifications, operation procedures and other information relating to environmental impacts. The engineering plans and other engineering information shall be certified by a licensed professional engineer or, if applicable, a licensed land surveyor, as required by Iowa Code chapter </w:t>
      </w:r>
      <w:hyperlink r:id="rId28">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Duplicate copies of certified plans are required so that one copy can be returned to the applicant upon approval or disapproval of the application. An additional copy of the certified plans shall be required if the plans are incorporated as part of an approval or disapproval order which is filed with a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Waiver of submission of certified plans. </w:t>
      </w:r>
      <w:r>
        <w:rPr>
          <w:rFonts w:ascii="Times New Roman" w:hAnsi="Times New Roman"/>
          <w:b w:val="false"/>
          <w:i w:val="false"/>
          <w:color w:val="000000"/>
          <w:sz w:val="22"/>
        </w:rPr>
        <w:t xml:space="preserve">The department may waive the requirement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 that the application for approval of a floodplain project be supported by certified engineering plans by making one of the following determinations: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Engineering data are not required to determine that the project conforms to all applicable administrative and statutory criteria;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Adequate engineering data used to evaluate the dimensions and effects of the project were already available to the engineering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70.4(4)</w:t>
      </w:r>
      <w:r>
        <w:rPr>
          <w:rFonts w:ascii="Times New Roman" w:hAnsi="Times New Roman"/>
          <w:b w:val="false"/>
          <w:i w:val="false"/>
          <w:color w:val="000000"/>
          <w:sz w:val="22"/>
        </w:rPr>
        <w:t> </w:t>
      </w:r>
      <w:r>
        <w:rPr>
          <w:rFonts w:ascii="Times New Roman" w:hAnsi="Times New Roman"/>
          <w:b w:val="false"/>
          <w:i/>
          <w:color w:val="000000"/>
          <w:sz w:val="22"/>
        </w:rPr>
        <w:t xml:space="preserve">Application fee. </w:t>
      </w:r>
      <w:r>
        <w:rPr>
          <w:rFonts w:ascii="Times New Roman" w:hAnsi="Times New Roman"/>
          <w:b w:val="false"/>
          <w:i w:val="false"/>
          <w:color w:val="000000"/>
          <w:sz w:val="22"/>
        </w:rPr>
        <w:t>Reserved. No fee is charged at this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70.4(5)</w:t>
      </w:r>
      <w:r>
        <w:rPr>
          <w:rFonts w:ascii="Times New Roman" w:hAnsi="Times New Roman"/>
          <w:b w:val="false"/>
          <w:i w:val="false"/>
          <w:color w:val="000000"/>
          <w:sz w:val="22"/>
        </w:rPr>
        <w:t> </w:t>
      </w:r>
      <w:r>
        <w:rPr>
          <w:rFonts w:ascii="Times New Roman" w:hAnsi="Times New Roman"/>
          <w:b w:val="false"/>
          <w:i/>
          <w:color w:val="000000"/>
          <w:sz w:val="22"/>
        </w:rPr>
        <w:t xml:space="preserve">Modification of application or plans. </w:t>
      </w:r>
      <w:r>
        <w:rPr>
          <w:rFonts w:ascii="Times New Roman" w:hAnsi="Times New Roman"/>
          <w:b w:val="false"/>
          <w:i w:val="false"/>
          <w:color w:val="000000"/>
          <w:sz w:val="22"/>
        </w:rPr>
        <w:t>Applicants and prospective applicants are encouraged to communicate with the department’s staff before submitting plans to identify the data required for review of a project and to discuss project modifications reasonably required to make the project conform to applicable criteria. When staff review of submitted plans discloses need for plan modification to conform to one or more criteria, the applicant is encouraged to submit revised plans.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2764C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567—70.5</w:t>
      </w:r>
      <w:r>
        <w:rPr>
          <w:rFonts w:ascii="Times New Roman" w:hAnsi="Times New Roman"/>
          <w:b/>
          <w:i w:val="false"/>
          <w:color w:val="000000"/>
          <w:sz w:val="22"/>
        </w:rPr>
        <w:t xml:space="preserve">(17A,455B,481A) </w:t>
      </w:r>
      <w:r>
        <w:rPr>
          <w:rFonts w:ascii="Times New Roman" w:hAnsi="Times New Roman"/>
          <w:b/>
          <w:i w:val="false"/>
          <w:color w:val="000000"/>
          <w:sz w:val="22"/>
        </w:rPr>
        <w:t xml:space="preserve">Procedures for review of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70.5(1)</w:t>
      </w:r>
      <w:r>
        <w:rPr>
          <w:rFonts w:ascii="Times New Roman" w:hAnsi="Times New Roman"/>
          <w:b w:val="false"/>
          <w:i w:val="false"/>
          <w:color w:val="000000"/>
          <w:sz w:val="22"/>
        </w:rPr>
        <w:t> </w:t>
      </w:r>
      <w:r>
        <w:rPr>
          <w:rFonts w:ascii="Times New Roman" w:hAnsi="Times New Roman"/>
          <w:b w:val="false"/>
          <w:i/>
          <w:color w:val="000000"/>
          <w:sz w:val="22"/>
        </w:rPr>
        <w:t xml:space="preserve">Initial screening of applications. </w:t>
      </w:r>
      <w:r>
        <w:rPr>
          <w:rFonts w:ascii="Times New Roman" w:hAnsi="Times New Roman"/>
          <w:b w:val="false"/>
          <w:i w:val="false"/>
          <w:color w:val="000000"/>
          <w:sz w:val="22"/>
        </w:rPr>
        <w:t>Each application upon receipt shall be promptly evaluated by the department to determine whether adequate information is available to review the project. The department shall advise the applicant of any additional information required to review the project. If the requested information is not submitted within 60 days of the date the request is made, the department may consider the application withdrawn.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w:t>
      </w:r>
      <w:r>
        <w:rPr>
          <w:rFonts w:ascii="Times New Roman" w:hAnsi="Times New Roman"/>
          <w:b w:val="false"/>
          <w:i w:val="false"/>
          <w:color w:val="000000"/>
          <w:sz w:val="22"/>
        </w:rPr>
        <w:t> </w:t>
      </w:r>
      <w:r>
        <w:rPr>
          <w:rFonts w:ascii="Times New Roman" w:hAnsi="Times New Roman"/>
          <w:b w:val="false"/>
          <w:i/>
          <w:color w:val="000000"/>
          <w:sz w:val="22"/>
        </w:rPr>
        <w:t xml:space="preserve">Order of processing. </w:t>
      </w:r>
      <w:r>
        <w:rPr>
          <w:rFonts w:ascii="Times New Roman" w:hAnsi="Times New Roman"/>
          <w:b w:val="false"/>
          <w:i w:val="false"/>
          <w:color w:val="000000"/>
          <w:sz w:val="22"/>
        </w:rPr>
        <w:t>In general, complete applications including sufficient plans and specifications shall be reviewed in the order that complete information is received. However, when there are a large number of pending applications, which preclude the department from promptly processing all applications, the department may expedite review of a particular application out of order if the completed application and supporting documents were submitted at the earliest practicable time and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Relatively little staff review time (generally less than four hours) is required and delay will cause the applicant hardship;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can demonstrate that a delay in the permit will result in a substantial cost increase of a large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Prompt review of the permit would result in earlier completion of a project that conveys a significant public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need for a permit is the result of an unforeseen emergency or catastrophic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permit is needed to complete a project that will abate or prevent an imminent threat to the public health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w:t>
      </w:r>
      <w:r>
        <w:rPr>
          <w:rFonts w:ascii="Times New Roman" w:hAnsi="Times New Roman"/>
          <w:b w:val="false"/>
          <w:i w:val="false"/>
          <w:color w:val="000000"/>
          <w:sz w:val="22"/>
        </w:rPr>
        <w:t> </w:t>
      </w:r>
      <w:r>
        <w:rPr>
          <w:rFonts w:ascii="Times New Roman" w:hAnsi="Times New Roman"/>
          <w:b w:val="false"/>
          <w:i/>
          <w:color w:val="000000"/>
          <w:sz w:val="22"/>
        </w:rPr>
        <w:t xml:space="preserve">Project investigation. </w:t>
      </w:r>
      <w:r>
        <w:rPr>
          <w:rFonts w:ascii="Times New Roman" w:hAnsi="Times New Roman"/>
          <w:b w:val="false"/>
          <w:i w:val="false"/>
          <w:color w:val="000000"/>
          <w:sz w:val="22"/>
        </w:rPr>
        <w:t>The department shall make an investigation of a project for which an application is submitted. The following are standard procedures for an investigation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Agency personnel may make one or more field inspections of the project site when necessary to obtain information about the project. Submission of the application is deemed to constitute consent by the applicant for the agency staff and its agents to enter upon the land on which the proposed activity or project will be located for the sole purpose of collecting the data necessary to process the application, unless the applicant indicates to the contrary on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Technical review. </w:t>
      </w:r>
      <w:r>
        <w:rPr>
          <w:rFonts w:ascii="Times New Roman" w:hAnsi="Times New Roman"/>
          <w:b w:val="false"/>
          <w:i w:val="false"/>
          <w:color w:val="000000"/>
          <w:sz w:val="22"/>
        </w:rPr>
        <w:t>The department staff shall conduct a technical review using appropriate analytical techniques such as application of hydrologic and hydraulic models to determine the effects and impacts of a proposed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Solicitation of expert comments on environmental effects. </w:t>
      </w:r>
      <w:r>
        <w:rPr>
          <w:rFonts w:ascii="Times New Roman" w:hAnsi="Times New Roman"/>
          <w:b w:val="false"/>
          <w:i w:val="false"/>
          <w:color w:val="000000"/>
          <w:sz w:val="22"/>
        </w:rPr>
        <w:t>For channel changes or other development which may cause significant adverse effects on the wise use and protection of water resources, water quality, fish, wildlife and recreational facilities or uses, the department shall request comments from the fish and wildlife division of the department or other knowledgeable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Summary report of project review. </w:t>
      </w:r>
      <w:r>
        <w:rPr>
          <w:rFonts w:ascii="Times New Roman" w:hAnsi="Times New Roman"/>
          <w:b w:val="false"/>
          <w:i w:val="false"/>
          <w:color w:val="000000"/>
          <w:sz w:val="22"/>
        </w:rPr>
        <w:t>The department staff may, if indicated, prepare a project summary report which summarizes the results of the review with respect to relevant criteria, the analytical methods used in the review and other project information. Typical indications of when project summary reports will be prepared are for those projects for which negative comments have been received from potentially affected landowners, those projects which are not approvable, and those projects which are complex in nature. Project summary reports will not normally be prepared for routine, noncontroversial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Notice to landowners who might be affected. </w:t>
      </w:r>
      <w:r>
        <w:rPr>
          <w:rFonts w:ascii="Times New Roman" w:hAnsi="Times New Roman"/>
          <w:b w:val="false"/>
          <w:i w:val="false"/>
          <w:color w:val="000000"/>
          <w:sz w:val="22"/>
        </w:rPr>
        <w:t>Before an application for approval of a levee or channel change is approved the department shall require the applicant to provide the names of the owners and occupants of land located immediately upstream, downstream, and across from the project site, and owners of any other land which the agency staff determines may be adversely affected by the project. The department shall then notify the landowners that the project is under consideration and provide a reasonable opportunity for submission of comments. The requirements of this paragraph also apply to other types of floodplain development when the project review discloses that lands not controlled by the applicant may be adversely affected by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Notice to the applicant that project does not conform to criteria. </w:t>
      </w:r>
      <w:r>
        <w:rPr>
          <w:rFonts w:ascii="Times New Roman" w:hAnsi="Times New Roman"/>
          <w:b w:val="false"/>
          <w:i w:val="false"/>
          <w:color w:val="000000"/>
          <w:sz w:val="22"/>
        </w:rPr>
        <w:t>If the project review discloses that the project violates one or more criteria and that the project should be disapproved, or approved only subject to special conditions to which the applicant has not agreed, the department shall notify the applicant and, when practical, suggest appropriate project modifications. The department shall offer the applicant an opportunity to submit comments before an initial decision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70.5(4)</w:t>
      </w:r>
      <w:r>
        <w:rPr>
          <w:rFonts w:ascii="Times New Roman" w:hAnsi="Times New Roman"/>
          <w:b w:val="false"/>
          <w:i w:val="false"/>
          <w:color w:val="000000"/>
          <w:sz w:val="22"/>
        </w:rPr>
        <w:t> </w:t>
      </w:r>
      <w:r>
        <w:rPr>
          <w:rFonts w:ascii="Times New Roman" w:hAnsi="Times New Roman"/>
          <w:b w:val="false"/>
          <w:i/>
          <w:color w:val="000000"/>
          <w:sz w:val="22"/>
        </w:rPr>
        <w:t xml:space="preserve">Initial decision by the department. </w:t>
      </w:r>
      <w:r>
        <w:rPr>
          <w:rFonts w:ascii="Times New Roman" w:hAnsi="Times New Roman"/>
          <w:b w:val="false"/>
          <w:i w:val="false"/>
          <w:color w:val="000000"/>
          <w:sz w:val="22"/>
        </w:rPr>
        <w:t xml:space="preserve">The initial decision by the department on an application for a floodplain development permit shall be either approval or disapproval. The initial decision shall include a determination whether the project satisfied all relevant criteria and may incorporate by reference and attachment the summary report described in </w:t>
      </w:r>
      <w:hyperlink r:id="rId29">
        <w:r>
          <w:rPr>
            <w:rStyle w:val="Hyperlink"/>
            <w:rFonts w:ascii="Times New Roman" w:hAnsi="Times New Roman"/>
            <w:b w:val="false"/>
            <w:i w:val="false"/>
            <w:color w:val="000000"/>
            <w:sz w:val="22"/>
          </w:rPr>
          <w:t>70.5(3)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 xml:space="preserve">Issuance of a floodplain development permit shall constitute approval of a project. The permit shall include applicable general conditions listed in </w:t>
      </w:r>
      <w:hyperlink r:id="rId30">
        <w:r>
          <w:rPr>
            <w:rStyle w:val="Hyperlink"/>
            <w:rFonts w:ascii="Times New Roman" w:hAnsi="Times New Roman"/>
            <w:b w:val="false"/>
            <w:i w:val="false"/>
            <w:color w:val="000000"/>
            <w:sz w:val="22"/>
          </w:rPr>
          <w:t>567—Chapter 72</w:t>
        </w:r>
      </w:hyperlink>
      <w:r>
        <w:rPr>
          <w:rFonts w:ascii="Times New Roman" w:hAnsi="Times New Roman"/>
          <w:b w:val="false"/>
          <w:i w:val="false"/>
          <w:color w:val="000000"/>
          <w:sz w:val="22"/>
        </w:rPr>
        <w:t xml:space="preserve"> and may include one or more special conditions when reasonably necessary to implement relevant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A letter to the applicant denying the application shall constitute disapproval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initial decision. </w:t>
      </w:r>
      <w:r>
        <w:rPr>
          <w:rFonts w:ascii="Times New Roman" w:hAnsi="Times New Roman"/>
          <w:b w:val="false"/>
          <w:i w:val="false"/>
          <w:color w:val="000000"/>
          <w:sz w:val="22"/>
        </w:rPr>
        <w:t xml:space="preserve">Copies of the initial decision shall be mailed to the applicant, any person who commented pursuant to </w:t>
      </w:r>
      <w:hyperlink r:id="rId31">
        <w:r>
          <w:rPr>
            <w:rStyle w:val="Hyperlink"/>
            <w:rFonts w:ascii="Times New Roman" w:hAnsi="Times New Roman"/>
            <w:b w:val="false"/>
            <w:i w:val="false"/>
            <w:color w:val="000000"/>
            <w:sz w:val="22"/>
          </w:rPr>
          <w:t>70.5(3)</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any other person who has requested a copy of the decision. The decision may be sent by ordinary mail, first class, and shall be accompanied by a certification of the date of mailing. An initial decision becomes the final decision of the department unless a timely notice of appeal is filed in accordance with </w:t>
      </w:r>
      <w:hyperlink r:id="rId32">
        <w:r>
          <w:rPr>
            <w:rStyle w:val="Hyperlink"/>
            <w:rFonts w:ascii="Times New Roman" w:hAnsi="Times New Roman"/>
            <w:b w:val="false"/>
            <w:i w:val="false"/>
            <w:color w:val="000000"/>
            <w:sz w:val="22"/>
          </w:rPr>
          <w:t>567—70.6</w:t>
        </w:r>
      </w:hyperlink>
      <w:r>
        <w:rPr>
          <w:rFonts w:ascii="Times New Roman" w:hAnsi="Times New Roman"/>
          <w:b w:val="false"/>
          <w:i w:val="false"/>
          <w:color w:val="000000"/>
          <w:sz w:val="22"/>
        </w:rPr>
        <w:t>(17A,455B,481A). The final decision may be filed with the appropriate county recorder to give constructive notice to future landowners of any conditions or requirements imposed by the final decision.</w:t>
      </w:r>
    </w:p>
    <w:p>
      <w:pPr>
        <w:spacing w:before="0" w:after="0"/>
        <w:ind w:left="120"/>
        <w:jc w:val="both"/>
      </w:pPr>
      <w:r>
        <w:rPr>
          <w:rFonts w:ascii="Times New Roman" w:hAnsi="Times New Roman"/>
          <w:b/>
          <w:i w:val="false"/>
          <w:color w:val="000000"/>
          <w:sz w:val="22"/>
        </w:rPr>
        <w:t>567—70.6</w:t>
      </w:r>
      <w:r>
        <w:rPr>
          <w:rFonts w:ascii="Times New Roman" w:hAnsi="Times New Roman"/>
          <w:b/>
          <w:i w:val="false"/>
          <w:color w:val="000000"/>
          <w:sz w:val="22"/>
        </w:rPr>
        <w:t xml:space="preserve">(17A,455B,481A) </w:t>
      </w:r>
      <w:r>
        <w:rPr>
          <w:rFonts w:ascii="Times New Roman" w:hAnsi="Times New Roman"/>
          <w:b/>
          <w:i w:val="false"/>
          <w:color w:val="000000"/>
          <w:sz w:val="22"/>
        </w:rPr>
        <w:t xml:space="preserve">Appeal of initial decision. </w:t>
      </w:r>
      <w:r>
        <w:rPr>
          <w:rFonts w:ascii="Times New Roman" w:hAnsi="Times New Roman"/>
          <w:b w:val="false"/>
          <w:i w:val="false"/>
          <w:color w:val="000000"/>
          <w:sz w:val="22"/>
        </w:rPr>
        <w:t xml:space="preserve">Any person aggrieved by an initial decision issued under </w:t>
      </w:r>
      <w:hyperlink r:id="rId33">
        <w:r>
          <w:rPr>
            <w:rStyle w:val="Hyperlink"/>
            <w:rFonts w:ascii="Times New Roman" w:hAnsi="Times New Roman"/>
            <w:b w:val="false"/>
            <w:i w:val="false"/>
            <w:color w:val="000000"/>
            <w:sz w:val="22"/>
          </w:rPr>
          <w:t>567—70.5</w:t>
        </w:r>
      </w:hyperlink>
      <w:r>
        <w:rPr>
          <w:rFonts w:ascii="Times New Roman" w:hAnsi="Times New Roman"/>
          <w:b w:val="false"/>
          <w:i w:val="false"/>
          <w:color w:val="000000"/>
          <w:sz w:val="22"/>
        </w:rPr>
        <w:t xml:space="preserve">(17A,455B,481A) of these rules may file a notice of appeal with the director. The notice of appeal must be filed within 30 days following the certified date of mailing of the decision unless the appellant shows good cause for failure to receive actual notice and file within the allowed time. The form of the notice of appeal and appeal procedures are governed by </w:t>
      </w:r>
      <w:hyperlink r:id="rId34">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shall mail a copy of the notice of appeal to each person who was sent a copy of the initial decision. The department shall attach an explanation of the opportunity to seek intervention in the contested case.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455B.105</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459.301</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481A.15</w:t>
        </w:r>
      </w:hyperlink>
      <w:r>
        <w:rPr>
          <w:rFonts w:ascii="Times New Roman" w:hAnsi="Times New Roman"/>
          <w:b w:val="false"/>
          <w:i w:val="false"/>
          <w:color w:val="000000"/>
          <w:sz w:val="22"/>
        </w:rPr>
        <w:t xml:space="preserve"> and Iowa Code chapter </w:t>
      </w:r>
      <w:hyperlink r:id="rId4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division III, part 4.</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emergency 9/20/85—published 10/9/85, effective 9/20/85]</w:t>
      </w:r>
    </w:p>
    <w:p>
      <w:pPr>
        <w:spacing w:before="0" w:after="0"/>
        <w:ind w:left="120"/>
        <w:jc w:val="center"/>
      </w:pPr>
      <w:r>
        <w:rPr>
          <w:rFonts w:ascii="Times New Roman" w:hAnsi="Times New Roman"/>
          <w:b w:val="false"/>
          <w:i w:val="false"/>
          <w:color w:val="000000"/>
          <w:sz w:val="21"/>
        </w:rPr>
        <w:t>[Filed 11/1/85, Notice 6/19/85—published 11/20/85, effective 12/25/85]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7/22/88, Notice 5/18/88—published 8/10/88, effective 9/14/88]</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10/22/93, Notice 8/18/93—published 11/10/93, effective 12/15/93]</w:t>
      </w:r>
    </w:p>
    <w:p>
      <w:pPr>
        <w:spacing w:before="0" w:after="0"/>
        <w:ind w:left="120"/>
        <w:jc w:val="center"/>
      </w:pPr>
      <w:r>
        <w:rPr>
          <w:rFonts w:ascii="Times New Roman" w:hAnsi="Times New Roman"/>
          <w:b w:val="false"/>
          <w:i w:val="false"/>
          <w:color w:val="000000"/>
          <w:sz w:val="21"/>
        </w:rPr>
        <w:t>[Filed 3/19/99, Notice 12/30/98—published 4/7/99, effective 5/12/99]</w:t>
      </w:r>
    </w:p>
    <w:p>
      <w:pPr>
        <w:spacing w:before="0" w:after="0"/>
        <w:ind w:left="120"/>
        <w:jc w:val="center"/>
      </w:pPr>
      <w:r>
        <w:rPr>
          <w:rFonts w:ascii="Times New Roman" w:hAnsi="Times New Roman"/>
          <w:b w:val="false"/>
          <w:i w:val="false"/>
          <w:color w:val="000000"/>
          <w:sz w:val="21"/>
        </w:rPr>
        <w:t>[Filed 4/24/03, Notice 1/8/03—published 5/14/03, effective 6/18/03]</w:t>
      </w:r>
    </w:p>
    <w:p>
      <w:pPr>
        <w:spacing w:before="0" w:after="0"/>
        <w:ind w:left="120"/>
        <w:jc w:val="center"/>
      </w:pPr>
      <w:r>
        <w:rPr>
          <w:rFonts w:ascii="Times New Roman" w:hAnsi="Times New Roman"/>
          <w:b w:val="false"/>
          <w:i w:val="false"/>
          <w:color w:val="000000"/>
          <w:sz w:val="21"/>
        </w:rPr>
        <w:t>[Filed ARC 2764C</w:t>
      </w:r>
      <w:r>
        <w:rPr>
          <w:rFonts w:ascii="Times New Roman" w:hAnsi="Times New Roman"/>
          <w:b w:val="false"/>
          <w:i w:val="false"/>
          <w:color w:val="000000"/>
          <w:sz w:val="21"/>
        </w:rPr>
        <w:t xml:space="preserve"> (Notice ARC 2629C,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pBdr>
          <w:bottom w:space="2"/>
        </w:pBdr>
        <w:spacing w:before="0" w:after="0"/>
        <w:ind w:left="120"/>
        <w:jc w:val="both"/>
      </w:pPr>
      <w:r>
        <w:rPr>
          <w:rFonts w:ascii="Times New Roman" w:hAnsi="Times New Roman"/>
          <w:b w:val="false"/>
          <w:i w:val="false"/>
          <w:color w:val="000000"/>
          <w:sz w:val="22"/>
        </w:rPr>
        <w:t>Effective date of definitions (channel change, drainage district ditch, repair and maintenance of a drainage district ditch) in rule 70.2 delayed 70 days by the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75.pdf" Type="http://schemas.openxmlformats.org/officeDocument/2006/relationships/hyperlink" Id="rId5"/>
    <Relationship TargetMode="External" Target="https://www.legis.iowa.gov/docs/iac/chapter/567.75.pdf" Type="http://schemas.openxmlformats.org/officeDocument/2006/relationships/hyperlink" Id="rId6"/>
    <Relationship TargetMode="External" Target="https://www.legis.iowa.gov/docs/iac/chapter/567.71.pdf" Type="http://schemas.openxmlformats.org/officeDocument/2006/relationships/hyperlink" Id="rId7"/>
    <Relationship TargetMode="External" Target="https://www.legis.iowa.gov/docs/iac/chapter/567.72.pdf" Type="http://schemas.openxmlformats.org/officeDocument/2006/relationships/hyperlink" Id="rId8"/>
    <Relationship TargetMode="External" Target="https://www.legis.iowa.gov/docs/iac/chapter/567.73.pdf" Type="http://schemas.openxmlformats.org/officeDocument/2006/relationships/hyperlink" Id="rId9"/>
    <Relationship TargetMode="External" Target="https://www.legis.iowa.gov/docs/iac/rule/567.65.1.pdf" Type="http://schemas.openxmlformats.org/officeDocument/2006/relationships/hyperlink" Id="rId10"/>
    <Relationship TargetMode="External" Target="https://www.legis.iowa.gov/docs/iac/rule/567.65.1.pdf" Type="http://schemas.openxmlformats.org/officeDocument/2006/relationships/hyperlink" Id="rId11"/>
    <Relationship TargetMode="External" Target="https://www.legis.iowa.gov/docs/ico/chapter/455B.268.pdf" Type="http://schemas.openxmlformats.org/officeDocument/2006/relationships/hyperlink" Id="rId12"/>
    <Relationship TargetMode="External" Target="https://www.legis.iowa.gov/docs/ico/chapter/455B.269.pdf" Type="http://schemas.openxmlformats.org/officeDocument/2006/relationships/hyperlink" Id="rId13"/>
    <Relationship TargetMode="External" Target="https://www.legis.iowa.gov/docs/iac/rule/567.65.1.pdf" Type="http://schemas.openxmlformats.org/officeDocument/2006/relationships/hyperlink" Id="rId14"/>
    <Relationship TargetMode="External" Target="https://www.legis.iowa.gov/docs/iac/rule/567.65.1.pdf" Type="http://schemas.openxmlformats.org/officeDocument/2006/relationships/hyperlink" Id="rId15"/>
    <Relationship TargetMode="External" Target="https://www.legis.iowa.gov/docs/iac/rule/567.65.1.pdf" Type="http://schemas.openxmlformats.org/officeDocument/2006/relationships/hyperlink" Id="rId16"/>
    <Relationship TargetMode="External" Target="https://www.legis.iowa.gov/docs/iac/rule/567.73.2.pdf" Type="http://schemas.openxmlformats.org/officeDocument/2006/relationships/hyperlink" Id="rId17"/>
    <Relationship TargetMode="External" Target="https://www.legis.iowa.gov/docs/iac/rule/567.65.1.pdf" Type="http://schemas.openxmlformats.org/officeDocument/2006/relationships/hyperlink" Id="rId18"/>
    <Relationship TargetMode="External" Target="https://www.legis.iowa.gov/docs/iac/rule/567.65.1.pdf" Type="http://schemas.openxmlformats.org/officeDocument/2006/relationships/hyperlink" Id="rId19"/>
    <Relationship TargetMode="External" Target="https://www.legis.iowa.gov/docs/iac/chapter/567.72.pdf" Type="http://schemas.openxmlformats.org/officeDocument/2006/relationships/hyperlink" Id="rId20"/>
    <Relationship TargetMode="External" Target="https://www.legis.iowa.gov/docs/iac/chapter/567.72.pdf" Type="http://schemas.openxmlformats.org/officeDocument/2006/relationships/hyperlink" Id="rId21"/>
    <Relationship TargetMode="External" Target="https://www.legis.iowa.gov/docs/ico/chapter/468.pdf" Type="http://schemas.openxmlformats.org/officeDocument/2006/relationships/hyperlink" Id="rId22"/>
    <Relationship TargetMode="External" Target="https://www.legis.iowa.gov/docs/iac/chapter/567.72.pdf" Type="http://schemas.openxmlformats.org/officeDocument/2006/relationships/hyperlink" Id="rId23"/>
    <Relationship TargetMode="External" Target="https://www.legis.iowa.gov/docs/iac/rule/567.65.1.pdf" Type="http://schemas.openxmlformats.org/officeDocument/2006/relationships/hyperlink" Id="rId24"/>
    <Relationship TargetMode="External" Target="http://www.iowadnr.gov/Environmental-Protection/Land-Quality/Flood-Plain-Management" Type="http://schemas.openxmlformats.org/officeDocument/2006/relationships/hyperlink" Id="rId25"/>
    <Relationship TargetMode="External" Target="https://www.legis.iowa.gov/docs/iac/chapter/567.71.pdf" Type="http://schemas.openxmlformats.org/officeDocument/2006/relationships/hyperlink" Id="rId26"/>
    <Relationship TargetMode="External" Target="https://www.legis.iowa.gov/docs/iac/rule/567.70.5.pdf" Type="http://schemas.openxmlformats.org/officeDocument/2006/relationships/hyperlink" Id="rId27"/>
    <Relationship TargetMode="External" Target="https://www.legis.iowa.gov/docs/ico/chapter/542B.pdf" Type="http://schemas.openxmlformats.org/officeDocument/2006/relationships/hyperlink" Id="rId28"/>
    <Relationship TargetMode="External" Target="https://www.legis.iowa.gov/docs/iac/rule/567.70.5.pdf" Type="http://schemas.openxmlformats.org/officeDocument/2006/relationships/hyperlink" Id="rId29"/>
    <Relationship TargetMode="External" Target="https://www.legis.iowa.gov/docs/iac/chapter/567.72.pdf" Type="http://schemas.openxmlformats.org/officeDocument/2006/relationships/hyperlink" Id="rId30"/>
    <Relationship TargetMode="External" Target="https://www.legis.iowa.gov/docs/iac/rule/567.70.5.pdf" Type="http://schemas.openxmlformats.org/officeDocument/2006/relationships/hyperlink" Id="rId31"/>
    <Relationship TargetMode="External" Target="https://www.legis.iowa.gov/docs/iac/rule/567.70.6.pdf" Type="http://schemas.openxmlformats.org/officeDocument/2006/relationships/hyperlink" Id="rId32"/>
    <Relationship TargetMode="External" Target="https://www.legis.iowa.gov/docs/iac/rule/567.70.5.pdf" Type="http://schemas.openxmlformats.org/officeDocument/2006/relationships/hyperlink" Id="rId33"/>
    <Relationship TargetMode="External" Target="https://www.legis.iowa.gov/docs/iac/chapter/567.7.pdf" Type="http://schemas.openxmlformats.org/officeDocument/2006/relationships/hyperlink" Id="rId34"/>
    <Relationship TargetMode="External" Target="https://www.legis.iowa.gov/docs/ico/chapter/17A.3.pdf" Type="http://schemas.openxmlformats.org/officeDocument/2006/relationships/hyperlink" Id="rId35"/>
    <Relationship TargetMode="External" Target="https://www.legis.iowa.gov/docs/ico/chapter/455B.105.pdf" Type="http://schemas.openxmlformats.org/officeDocument/2006/relationships/hyperlink" Id="rId36"/>
    <Relationship TargetMode="External" Target="https://www.legis.iowa.gov/docs/ico/chapter/459.102.pdf" Type="http://schemas.openxmlformats.org/officeDocument/2006/relationships/hyperlink" Id="rId37"/>
    <Relationship TargetMode="External" Target="https://www.legis.iowa.gov/docs/ico/chapter/459.301.pdf" Type="http://schemas.openxmlformats.org/officeDocument/2006/relationships/hyperlink" Id="rId38"/>
    <Relationship TargetMode="External" Target="https://www.legis.iowa.gov/docs/ico/chapter/481A.15.pdf" Type="http://schemas.openxmlformats.org/officeDocument/2006/relationships/hyperlink" Id="rId39"/>
    <Relationship TargetMode="External" Target="https://www.legis.iowa.gov/docs/ico/chapter/455B.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