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tiff" PartName="/word/media/document_image_rId215.tif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WASTEWATER CONSTRUCTION AND OPERATION PERMITS</w:t>
      </w:r>
    </w:p>
    <w:p>
      <w:pPr>
        <w:spacing w:before="0" w:after="0"/>
        <w:ind w:left="120"/>
        <w:jc w:val="center"/>
      </w:pPr>
      <w:r>
        <w:rPr>
          <w:rFonts w:ascii="Times New Roman" w:hAnsi="Times New Roman"/>
          <w:b w:val="false"/>
          <w:i w:val="false"/>
          <w:color w:val="000000"/>
          <w:sz w:val="14"/>
        </w:rPr>
        <w:t>[Prior to 7/1/83, DEQ Ch 19]</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567—64.1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ind w:left="120"/>
        <w:jc w:val="both"/>
      </w:pPr>
      <w:r>
        <w:rPr>
          <w:rFonts w:ascii="Times New Roman" w:hAnsi="Times New Roman"/>
          <w:b/>
          <w:i w:val="false"/>
          <w:color w:val="000000"/>
          <w:sz w:val="22"/>
        </w:rPr>
        <w:t>567—64.2</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to construct.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construct, install or modify any wastewater disposal system or part thereof or extension or addition thereto without, or contrary to any condition of, a construction permit issued by the director or by a local public works department authorized to issue such permits under </w:t>
      </w:r>
      <w:hyperlink r:id="rId5">
        <w:r>
          <w:rPr>
            <w:rStyle w:val="Hyperlink"/>
            <w:rFonts w:ascii="Times New Roman" w:hAnsi="Times New Roman"/>
            <w:b w:val="false"/>
            <w:i w:val="false"/>
            <w:color w:val="000000"/>
            <w:sz w:val="22"/>
          </w:rPr>
          <w:t>567—Chapter 9</w:t>
        </w:r>
      </w:hyperlink>
      <w:r>
        <w:rPr>
          <w:rFonts w:ascii="Times New Roman" w:hAnsi="Times New Roman"/>
          <w:b w:val="false"/>
          <w:i w:val="false"/>
          <w:color w:val="000000"/>
          <w:sz w:val="22"/>
        </w:rPr>
        <w:t xml:space="preserve">, nor shall any connection to a sewer extension in violation of any special limitation specified in a construction permit pursuant to </w:t>
      </w:r>
      <w:hyperlink r:id="rId6">
        <w:r>
          <w:rPr>
            <w:rStyle w:val="Hyperlink"/>
            <w:rFonts w:ascii="Times New Roman" w:hAnsi="Times New Roman"/>
            <w:b w:val="false"/>
            <w:i w:val="false"/>
            <w:color w:val="000000"/>
            <w:sz w:val="22"/>
          </w:rPr>
          <w:t>64.2(10)</w:t>
        </w:r>
      </w:hyperlink>
      <w:r>
        <w:rPr>
          <w:rFonts w:ascii="Times New Roman" w:hAnsi="Times New Roman"/>
          <w:b w:val="false"/>
          <w:i w:val="false"/>
          <w:color w:val="000000"/>
          <w:sz w:val="22"/>
        </w:rPr>
        <w:t xml:space="preserve"> be allowed by any person subject to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for each new wastewater treatment plant or expansion or upgrading of existing facilities must be inspected and approved by the department prior to submission of plans and specifications. Applications must be submitted in accordance with </w:t>
      </w:r>
      <w:hyperlink r:id="rId7">
        <w:r>
          <w:rPr>
            <w:rStyle w:val="Hyperlink"/>
            <w:rFonts w:ascii="Times New Roman" w:hAnsi="Times New Roman"/>
            <w:b w:val="false"/>
            <w:i w:val="false"/>
            <w:color w:val="000000"/>
            <w:sz w:val="22"/>
          </w:rPr>
          <w:t>567—60.4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val="false"/>
          <w:color w:val="000000"/>
          <w:sz w:val="22"/>
        </w:rPr>
        <w:t xml:space="preserve">Site approval under </w:t>
      </w:r>
      <w:hyperlink r:id="rId8">
        <w:r>
          <w:rPr>
            <w:rStyle w:val="Hyperlink"/>
            <w:rFonts w:ascii="Times New Roman" w:hAnsi="Times New Roman"/>
            <w:b w:val="false"/>
            <w:i w:val="false"/>
            <w:color w:val="000000"/>
            <w:sz w:val="22"/>
          </w:rPr>
          <w:t>64.2(2)</w:t>
        </w:r>
      </w:hyperlink>
      <w:r>
        <w:rPr>
          <w:rFonts w:ascii="Times New Roman" w:hAnsi="Times New Roman"/>
          <w:b w:val="false"/>
          <w:i w:val="false"/>
          <w:color w:val="000000"/>
          <w:sz w:val="22"/>
        </w:rPr>
        <w:t xml:space="preserve"> shall be based on the criteria contained in the Ten States Standards, design manuals published by the department, applicable federal guidelines and standards, standard textbooks, current technical literature and applicable safety standards. To the extent that separation distances of this subrule conflict with the separation distances of Iowa Code section </w:t>
      </w:r>
      <w:hyperlink r:id="rId9">
        <w:r>
          <w:rPr>
            <w:rStyle w:val="Hyperlink"/>
            <w:rFonts w:ascii="Times New Roman" w:hAnsi="Times New Roman"/>
            <w:b w:val="false"/>
            <w:i w:val="false"/>
            <w:color w:val="000000"/>
            <w:sz w:val="22"/>
          </w:rPr>
          <w:t>455B.134(3)</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greater distance shall prevail. The following separation distances from a treatment works shall apply unless a separation distance exception is provided in the “Iowa Wastewater Facilities Design Standards.” The separation distance from lagoons shall be measured from the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1000 feet from the nearest inhabitable residence, commercial building, or other inhabitable structure. If the inhabitable or commercial building is the property of the owner of the proposed treatment facility, or there is written agreement with the owner of the building, the separation criteria shall not apply. Any such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1000 feet from public shallow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400 feet from public deep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400 feet from private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400 feet from lakes and public impoundments.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25 feet from property lines and rights-of-way.</w:t>
      </w:r>
    </w:p>
    <w:p>
      <w:pPr>
        <w:spacing w:before="0" w:after="0"/>
        <w:ind w:left="120"/>
        <w:jc w:val="both"/>
      </w:pPr>
      <w:r>
        <w:rPr>
          <w:rFonts w:ascii="Times New Roman" w:hAnsi="Times New Roman"/>
          <w:b w:val="false"/>
          <w:i w:val="false"/>
          <w:color w:val="000000"/>
          <w:sz w:val="22"/>
        </w:rPr>
        <w:t>When the above separation distances cannot be maintained for the expansion, upgrading or replacement of existing facilities, the separation distances shall be maintained at no less than 90 percent of the existing separation distance on the site, providing no data is available indicating that a problem has existed or will be created.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 construction permit must be submitted to the director in accordance with </w:t>
      </w:r>
      <w:hyperlink r:id="rId10">
        <w:r>
          <w:rPr>
            <w:rStyle w:val="Hyperlink"/>
            <w:rFonts w:ascii="Times New Roman" w:hAnsi="Times New Roman"/>
            <w:b w:val="false"/>
            <w:i w:val="false"/>
            <w:color w:val="000000"/>
            <w:sz w:val="22"/>
          </w:rPr>
          <w:t>567—60.4</w:t>
        </w:r>
      </w:hyperlink>
      <w:r>
        <w:rPr>
          <w:rFonts w:ascii="Times New Roman" w:hAnsi="Times New Roman"/>
          <w:b w:val="false"/>
          <w:i w:val="false"/>
          <w:color w:val="000000"/>
          <w:sz w:val="22"/>
        </w:rPr>
        <w:t>(455B) at least 120 days in advance of the date of start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act upon the application within 60 days of receipt of a complete application by either issuing a construction permit or denying the construction permit in writing unless a longer review period is required and the applicant is so notified in writing. Notwithstanding the 120-day requirement in </w:t>
      </w:r>
      <w:hyperlink r:id="rId11">
        <w:r>
          <w:rPr>
            <w:rStyle w:val="Hyperlink"/>
            <w:rFonts w:ascii="Times New Roman" w:hAnsi="Times New Roman"/>
            <w:b w:val="false"/>
            <w:i w:val="false"/>
            <w:color w:val="000000"/>
            <w:sz w:val="22"/>
          </w:rPr>
          <w:t>64.2(4)</w:t>
        </w:r>
      </w:hyperlink>
      <w:r>
        <w:rPr>
          <w:rFonts w:ascii="Times New Roman" w:hAnsi="Times New Roman"/>
          <w:b w:val="false"/>
          <w:i w:val="false"/>
          <w:color w:val="000000"/>
          <w:sz w:val="22"/>
        </w:rPr>
        <w:t>, construction of the approved system may commence immediately after the issuance of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64.2(6)</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shall expire if construction thereunder is not commenced within one year of the date of issuance thereof. The director may grant an extension of time to commence construction if it is necessary or justified, upon showing of such necessity or justification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64.2(7)</w:t>
      </w:r>
      <w:r>
        <w:rPr>
          <w:rFonts w:ascii="Times New Roman" w:hAnsi="Times New Roman"/>
          <w:b w:val="false"/>
          <w:i w:val="false"/>
          <w:color w:val="000000"/>
          <w:sz w:val="22"/>
        </w:rPr>
        <w:t> </w:t>
      </w:r>
      <w:r>
        <w:rPr>
          <w:rFonts w:ascii="Times New Roman" w:hAnsi="Times New Roman"/>
          <w:b w:val="false"/>
          <w:i w:val="false"/>
          <w:color w:val="000000"/>
          <w:sz w:val="22"/>
        </w:rPr>
        <w:t>The director may modify or revoke a construction permit for cause which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construct said wastewater disposal system or part thereof in accordance with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facts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change during construction that requires material changes in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64.2(8)</w:t>
      </w:r>
      <w:r>
        <w:rPr>
          <w:rFonts w:ascii="Times New Roman" w:hAnsi="Times New Roman"/>
          <w:b w:val="false"/>
          <w:i w:val="false"/>
          <w:color w:val="000000"/>
          <w:sz w:val="22"/>
        </w:rPr>
        <w:t> </w:t>
      </w:r>
      <w:r>
        <w:rPr>
          <w:rFonts w:ascii="Times New Roman" w:hAnsi="Times New Roman"/>
          <w:b w:val="false"/>
          <w:i w:val="false"/>
          <w:color w:val="000000"/>
          <w:sz w:val="22"/>
        </w:rPr>
        <w:t>A construction permit shall not be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Storm sewers or storm water disposal systems that transport only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new disposal system or extension or addition to any existing disposal system that receives only domestic or sanitary sewage from a building, housing or occupied by 15 persons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privately owned pretreatment facility, except an anaerobic lagoon, where a treatment unit or units provide partial reduction of the strength or toxicity of the waste stream prior to additional treatment and disposal by another person, corporation, or municipality. However, the department may require that the design basis and construction drawings be filed for information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64.2(9)</w:t>
      </w:r>
      <w:r>
        <w:rPr>
          <w:rFonts w:ascii="Times New Roman" w:hAnsi="Times New Roman"/>
          <w:b w:val="false"/>
          <w:i w:val="false"/>
          <w:color w:val="000000"/>
          <w:sz w:val="22"/>
        </w:rPr>
        <w:t> </w:t>
      </w:r>
      <w:r>
        <w:rPr>
          <w:rFonts w:ascii="Times New Roman" w:hAnsi="Times New Roman"/>
          <w:b w:val="false"/>
          <w:i w:val="false"/>
          <w:color w:val="000000"/>
          <w:sz w:val="22"/>
        </w:rPr>
        <w:t>Review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of applications for construction permits shall be based on the criteria contained in the “Iowa Wastewater Facilities Design Standards,” the Ten States Standards, the “Iowa Antidegradation Implementation Procedure” effective August 12, 2016, applicable federal guidelines and standards, standard textbooks, current technical literature and applicable safety standards. To the extent of any conflict between the above criteria, the “Iowa Wastewater Facilities Design Standards” standards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chapters of the “Iowa Wastewater Facilities Design Standards”</w:t>
      </w:r>
      <w:r>
        <w:rPr>
          <w:rFonts w:ascii="Times New Roman" w:hAnsi="Times New Roman"/>
          <w:b w:val="false"/>
          <w:i w:val="false"/>
          <w:color w:val="000000"/>
          <w:sz w:val="10"/>
        </w:rPr>
        <w:t>*</w:t>
      </w:r>
      <w:r>
        <w:rPr>
          <w:rFonts w:ascii="Times New Roman" w:hAnsi="Times New Roman"/>
          <w:b w:val="false"/>
          <w:i w:val="false"/>
          <w:color w:val="000000"/>
          <w:sz w:val="22"/>
        </w:rPr>
        <w:t xml:space="preserve"> that apply to wastewater facilities projects, and the date of adoption of those chapters are:</w:t>
      </w:r>
    </w:p>
    <w:tbl>
      <w:tblPr>
        <w:tblW w:w="5000" w:type="pct"/>
        <w:tblCellSpacing w:w="0" w:type="auto"/>
        <w:tblBorders>
          <w:top w:val="none"/>
          <w:left w:val="none"/>
          <w:bottom w:val="none"/>
          <w:right w:val="none"/>
          <w:insideH w:val="none"/>
          <w:insideV w:val="none"/>
        </w:tblBorders>
        <w:tblLayout w:type="fixed"/>
      </w:tblPr>
      <w:tblGrid>
        <w:gridCol w:w="1106"/>
        <w:gridCol w:w="6290"/>
        <w:gridCol w:w="3794"/>
      </w:tblGrid>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Chapter</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Date of Adoption</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Project submittals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April 25, 1979</w:t>
            </w:r>
          </w:p>
        </w:tc>
      </w:tr>
      <w:tr>
        <w:trPr>
          <w:trHeight w:val="57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Standards for Sewer Systems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September 6, 1978</w:t>
            </w:r>
            <w:r>
              <w:br/>
            </w:r>
            <w:r>
              <w:rPr>
                <w:rFonts w:ascii="Times New Roman" w:hAnsi="Times New Roman"/>
                <w:b w:val="false"/>
                <w:i w:val="false"/>
                <w:color w:val="000000"/>
                <w:sz w:val="16"/>
              </w:rPr>
              <w:t>(Amended March 28, 1979 and</w:t>
            </w:r>
            <w:r>
              <w:br/>
            </w:r>
            <w:r>
              <w:rPr>
                <w:rFonts w:ascii="Times New Roman" w:hAnsi="Times New Roman"/>
                <w:b w:val="false"/>
                <w:i w:val="false"/>
                <w:color w:val="000000"/>
                <w:sz w:val="16"/>
              </w:rPr>
              <w:t>May 20, 1987)</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Wastewater pumping stations and force mains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March 19, 1985</w:t>
            </w:r>
          </w:p>
        </w:tc>
      </w:tr>
      <w:tr>
        <w:trPr>
          <w:trHeight w:val="39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Wastewater treatment works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March 22, 1984</w:t>
            </w:r>
            <w:r>
              <w:br/>
            </w:r>
            <w:r>
              <w:rPr>
                <w:rFonts w:ascii="Times New Roman" w:hAnsi="Times New Roman"/>
                <w:b w:val="false"/>
                <w:i w:val="false"/>
                <w:color w:val="000000"/>
                <w:sz w:val="16"/>
              </w:rPr>
              <w:t>(Amended May 20, 1987)</w:t>
            </w:r>
          </w:p>
        </w:tc>
      </w:tr>
      <w:tr>
        <w:trPr>
          <w:trHeight w:val="345"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Screening and grit removal</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February 18, 1986</w:t>
            </w:r>
          </w:p>
        </w:tc>
      </w:tr>
      <w:tr>
        <w:trPr>
          <w:trHeight w:val="39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Settling</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March 22, 1984</w:t>
            </w:r>
            <w:r>
              <w:br/>
            </w:r>
            <w:r>
              <w:rPr>
                <w:rFonts w:ascii="Times New Roman" w:hAnsi="Times New Roman"/>
                <w:b w:val="false"/>
                <w:i w:val="false"/>
                <w:color w:val="000000"/>
                <w:sz w:val="16"/>
              </w:rPr>
              <w:t>(Amended May 20, 1987)</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Sludge handling &amp; disposal</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March 26, 1980</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Biological treatment</w:t>
            </w:r>
          </w:p>
        </w:tc>
        <w:tc>
          <w:tcPr>
            <w:tcW w:w="3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A.</w:t>
            </w:r>
            <w:r>
              <w:rPr>
                <w:rFonts w:ascii="Times New Roman" w:hAnsi="Times New Roman"/>
                <w:b w:val="false"/>
                <w:i w:val="false"/>
                <w:color w:val="000000"/>
                <w:sz w:val="16"/>
              </w:rPr>
              <w:t xml:space="preserve"> Fixed film media treatment</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21, 1985</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B.</w:t>
            </w:r>
            <w:r>
              <w:rPr>
                <w:rFonts w:ascii="Times New Roman" w:hAnsi="Times New Roman"/>
                <w:b w:val="false"/>
                <w:i w:val="false"/>
                <w:color w:val="000000"/>
                <w:sz w:val="16"/>
              </w:rPr>
              <w:t xml:space="preserve"> Activated sludge</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March 22, 1984</w:t>
            </w:r>
          </w:p>
        </w:tc>
      </w:tr>
      <w:tr>
        <w:trPr>
          <w:trHeight w:val="57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C.</w:t>
            </w:r>
            <w:r>
              <w:rPr>
                <w:rFonts w:ascii="Times New Roman" w:hAnsi="Times New Roman"/>
                <w:b w:val="false"/>
                <w:i w:val="false"/>
                <w:color w:val="000000"/>
                <w:sz w:val="16"/>
              </w:rPr>
              <w:t xml:space="preserve"> Wastewater treatment ponds (Lagoons)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April 25, 1979</w:t>
            </w:r>
            <w:r>
              <w:br/>
            </w:r>
            <w:r>
              <w:rPr>
                <w:rFonts w:ascii="Times New Roman" w:hAnsi="Times New Roman"/>
                <w:b w:val="false"/>
                <w:i w:val="false"/>
                <w:color w:val="000000"/>
                <w:sz w:val="16"/>
              </w:rPr>
              <w:t>(Amended May 20, 1986 and</w:t>
            </w:r>
            <w:r>
              <w:br/>
            </w:r>
            <w:r>
              <w:rPr>
                <w:rFonts w:ascii="Times New Roman" w:hAnsi="Times New Roman"/>
                <w:b w:val="false"/>
                <w:i w:val="false"/>
                <w:color w:val="000000"/>
                <w:sz w:val="16"/>
              </w:rPr>
              <w:t>May 20, 1987)</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Supplemental treatment processes</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November 13, 1986</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Disinfection</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February 18, 1986</w:t>
            </w:r>
          </w:p>
        </w:tc>
      </w:tr>
      <w:tr>
        <w:trPr>
          <w:trHeight w:val="210" w:hRule="atLeast"/>
        </w:trPr>
        <w:tc>
          <w:tcPr>
            <w:tcW w:w="11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w:t>
            </w:r>
          </w:p>
        </w:tc>
        <w:tc>
          <w:tcPr>
            <w:tcW w:w="62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Land application of wastewater</w:t>
            </w:r>
          </w:p>
        </w:tc>
        <w:tc>
          <w:tcPr>
            <w:tcW w:w="37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April 25, 1979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Waivers from the design standards and siting criteria which provide in the judgment of the department for substantially equivalent or improved effectiveness may be requested when there are unique circumstances not found in most projects. The director may issue waivers when circumstances are appropriate. The denial of a waiver may be appealed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reviewing the waiver request the director may consider the unique circumstances of the project, direct or indirect environmental impacts, the durability and reliability of the alternative, and the purpose and intent of the rule or standard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Circumstances that would warrant consideration of a waiver (which provides for substantially equivalent or improved effectiveness)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utilization of new equipment or new process technology that is not explicitly covered by the current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of established and acceptable technologies in an innovative manner not covered by current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reasonably clear that the conditions and circumstances which were considered in the adoption of the rule or standard are not applicable for the project in question and therefore the effective purpose of the rule will not be compromised if a waiver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64.2(10)</w:t>
      </w:r>
      <w:r>
        <w:rPr>
          <w:rFonts w:ascii="Times New Roman" w:hAnsi="Times New Roman"/>
          <w:b w:val="false"/>
          <w:i w:val="false"/>
          <w:color w:val="000000"/>
          <w:sz w:val="22"/>
        </w:rPr>
        <w:t> </w:t>
      </w:r>
      <w:r>
        <w:rPr>
          <w:rFonts w:ascii="Times New Roman" w:hAnsi="Times New Roman"/>
          <w:b w:val="false"/>
          <w:i w:val="false"/>
          <w:color w:val="000000"/>
          <w:sz w:val="22"/>
        </w:rPr>
        <w:t>Applications for sanitary sewer extension construction permits shall conform to the Iowa Standards for Sewer Systems, and approval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at the time of application, the treatment facility treating wastewater from the proposed sewer is not in substantial compliance with its operating permit or if the treatment facility receives wastes in volumes or quantities that exceed its design capacity and interfere with its operation or performance.</w:t>
      </w:r>
    </w:p>
    <w:p>
      <w:pPr>
        <w:spacing w:before="0" w:after="0"/>
        <w:ind w:left="120"/>
        <w:jc w:val="both"/>
      </w:pPr>
      <w:r>
        <w:rPr>
          <w:rFonts w:ascii="Times New Roman" w:hAnsi="Times New Roman"/>
          <w:b w:val="false"/>
          <w:i w:val="false"/>
          <w:color w:val="000000"/>
          <w:sz w:val="22"/>
        </w:rPr>
        <w:t>If the applicant is operating under a compliance schedule which is being adhered to that leads to resolution of the substantial compliance issues or if the applicant can demonstrate that the problem has been identified, the planning completed, and corrective measures initiated, then the construction permit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bypassing has occurred at the treatment facility, except when any of the following conditions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bypassing is due to a combined sewer system, and the facility is in compliance with a long-term CSO control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bypassing occurs as a result of a storm with an intensity or duration greater than that of a storm with a return period of five years. (See 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that timely actions are being taken to eliminate the bypassing.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sanitary sewer extension construction permit may be denied if an existing downstream sewer is or will be overloaded or surcharged, resulting in bypassing, flooded basements, or overflowing manholes,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bypassing or flooding is the result of a precipitation event with an intensity or duration greater than that of a storm with a return period of two years. (See 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is under full-scale facility planning (I/I and SSES) and the applicant provides a schedule that is approved by the department for rehabilitating the system to the extent necessary to handle the additional loadings.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Potential loads. Construction permits may be granted for sanitary sewer extensions that are sized to serve future loads that would exceed the capacity of the existing treatment works. However, initial connections shall be limited to the load that can be handled by the existing treatment works. The department will determine this load and advise the applicant of the limit. This limitation will be in effect until additional treatment capacity has been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64.2(11)</w:t>
      </w:r>
      <w:r>
        <w:rPr>
          <w:rFonts w:ascii="Times New Roman" w:hAnsi="Times New Roman"/>
          <w:b w:val="false"/>
          <w:i w:val="false"/>
          <w:color w:val="000000"/>
          <w:sz w:val="22"/>
        </w:rPr>
        <w:t> </w:t>
      </w:r>
      <w:r>
        <w:rPr>
          <w:rFonts w:ascii="Times New Roman" w:hAnsi="Times New Roman"/>
          <w:b w:val="false"/>
          <w:i w:val="false"/>
          <w:color w:val="000000"/>
          <w:sz w:val="22"/>
        </w:rPr>
        <w:t>Certification of completion. Within 30 days after completion of construction, installation or modification of any wastewater disposal system or part thereof or extension or addition thereto, the permit holder shall submit a certification by a registered professional engineer that the project was completed in accordance with the approved plans and specifications.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2695C</w:t>
      </w:r>
      <w:r>
        <w:rPr>
          <w:rFonts w:ascii="Times New Roman" w:hAnsi="Times New Roman"/>
          <w:b w:val="false"/>
          <w:i w:val="false"/>
          <w:color w:val="000000"/>
          <w:sz w:val="16"/>
        </w:rPr>
        <w:t>, IAB 8/31/16, effective 8/12/16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The design manual as adopted and amended is available upon request to department, also filed with administrative rules coordinator.</w:t>
      </w:r>
    </w:p>
    <w:p>
      <w:pPr>
        <w:spacing w:before="0" w:after="0"/>
        <w:ind w:left="120"/>
        <w:jc w:val="both"/>
      </w:pPr>
      <w:r>
        <w:rPr>
          <w:rFonts w:ascii="Times New Roman" w:hAnsi="Times New Roman"/>
          <w:b/>
          <w:i w:val="false"/>
          <w:color w:val="000000"/>
          <w:sz w:val="22"/>
        </w:rPr>
        <w:t>567—64.3</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to operate.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this subrule, in </w:t>
      </w:r>
      <w:hyperlink r:id="rId12">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in </w:t>
      </w:r>
      <w:hyperlink r:id="rId1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no person shall operate any wastewater disposal system or part thereof without, or contrary to any condition of, an operation permit issued by the director. An operation permit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sewage disposal system which does not discharge into, or have the potential to reach, a designated water of the state or subsurface drainage tile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private sewage disposal systems under this exemption are regulated under </w:t>
      </w:r>
      <w:hyperlink r:id="rId14">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semipublic sewage disposal system, the construction of which has been approved by the department and which does not discharge into a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pretreatment system, the effluent of which is to be discharged directly to another disposal system for final treatment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discharge from a geothermal heat pump which does not reach a navigable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well construction and well services related discharge that does not reach a water of the United States as defined in 40 CFR Section 122.2.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Discharges from the application of biological pesticides and chemical pesticides where the discharge does not reach a water of the United States as defined in 40 CFR Section 122.2.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storm water discharges. This exclusion applies only to the operation permit requirement set forth in this rule and does not alter other requirements of law, including but not limited to any applicable requirements of Iowa Code chapters </w:t>
      </w:r>
      <w:hyperlink r:id="rId15">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Dewatering discharge from the installation, repair, or maintenance of agricultural drainage systems that does not reach a water of the state. This activity is not considered operation of a wastewater disposal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val="false"/>
          <w:color w:val="000000"/>
          <w:sz w:val="22"/>
        </w:rPr>
        <w:t>Rescinded, effective 2/20/85.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any disposal system or part thereof in existence before August 21, 1973, for which a permit has been previously granted by the Iowa department of health or the Iowa department of environmental quality shall submit such information as the director may require to determine the conformity of such system and its operation with the rules of the department by no later than 60 days after the receipt of a request for such information from the director. If the director determines that the disposal system does not conform to the rules of the department, the director may require the owner to make such modifications as are necessary to achieve compliance. A construction permit shall be required, pursuant to </w:t>
      </w:r>
      <w:hyperlink r:id="rId17">
        <w:r>
          <w:rPr>
            <w:rStyle w:val="Hyperlink"/>
            <w:rFonts w:ascii="Times New Roman" w:hAnsi="Times New Roman"/>
            <w:b w:val="false"/>
            <w:i w:val="false"/>
            <w:color w:val="000000"/>
            <w:sz w:val="22"/>
          </w:rPr>
          <w:t>64.2(1)</w:t>
        </w:r>
      </w:hyperlink>
      <w:r>
        <w:rPr>
          <w:rFonts w:ascii="Times New Roman" w:hAnsi="Times New Roman"/>
          <w:b w:val="false"/>
          <w:i w:val="false"/>
          <w:color w:val="000000"/>
          <w:sz w:val="22"/>
        </w:rPr>
        <w:t>, prior to any such modification of the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val="false"/>
          <w:color w:val="000000"/>
          <w:sz w:val="22"/>
        </w:rPr>
        <w:t>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w:t>
      </w:r>
      <w:r>
        <w:rPr>
          <w:rFonts w:ascii="Times New Roman" w:hAnsi="Times New Roman"/>
          <w:b w:val="false"/>
          <w:i w:val="false"/>
          <w:color w:val="000000"/>
          <w:sz w:val="22"/>
        </w:rPr>
        <w:t xml:space="preserve">Except as provided in </w:t>
      </w:r>
      <w:hyperlink r:id="rId18">
        <w:r>
          <w:rPr>
            <w:rStyle w:val="Hyperlink"/>
            <w:rFonts w:ascii="Times New Roman" w:hAnsi="Times New Roman"/>
            <w:b w:val="false"/>
            <w:i w:val="false"/>
            <w:color w:val="000000"/>
            <w:sz w:val="22"/>
          </w:rPr>
          <w:t>64.3(4)</w:t>
        </w:r>
        <w:r>
          <w:rPr>
            <w:rFonts w:ascii="Times New Roman" w:hAnsi="Times New Roman"/>
            <w:b w:val="false"/>
            <w:i/>
            <w:color w:val="000000"/>
            <w:sz w:val="22"/>
          </w:rPr>
          <w:t>“b,”</w:t>
        </w:r>
      </w:hyperlink>
      <w:r>
        <w:rPr>
          <w:rFonts w:ascii="Times New Roman" w:hAnsi="Times New Roman"/>
          <w:b w:val="false"/>
          <w:i w:val="false"/>
          <w:color w:val="000000"/>
          <w:sz w:val="22"/>
        </w:rPr>
        <w:t xml:space="preserve"> applications for operation permits required under </w:t>
      </w:r>
      <w:hyperlink r:id="rId19">
        <w:r>
          <w:rPr>
            <w:rStyle w:val="Hyperlink"/>
            <w:rFonts w:ascii="Times New Roman" w:hAnsi="Times New Roman"/>
            <w:b w:val="false"/>
            <w:i w:val="false"/>
            <w:color w:val="000000"/>
            <w:sz w:val="22"/>
          </w:rPr>
          <w:t>64.3(1)</w:t>
        </w:r>
      </w:hyperlink>
      <w:r>
        <w:rPr>
          <w:rFonts w:ascii="Times New Roman" w:hAnsi="Times New Roman"/>
          <w:b w:val="false"/>
          <w:i w:val="false"/>
          <w:color w:val="000000"/>
          <w:sz w:val="22"/>
        </w:rPr>
        <w:t xml:space="preserve"> shall be made on forms provided by the department, as noted in </w:t>
      </w:r>
      <w:hyperlink r:id="rId20">
        <w:r>
          <w:rPr>
            <w:rStyle w:val="Hyperlink"/>
            <w:rFonts w:ascii="Times New Roman" w:hAnsi="Times New Roman"/>
            <w:b w:val="false"/>
            <w:i w:val="false"/>
            <w:color w:val="000000"/>
            <w:sz w:val="22"/>
          </w:rPr>
          <w:t>567—60.3</w:t>
        </w:r>
      </w:hyperlink>
      <w:r>
        <w:rPr>
          <w:rFonts w:ascii="Times New Roman" w:hAnsi="Times New Roman"/>
          <w:b w:val="false"/>
          <w:i w:val="false"/>
          <w:color w:val="000000"/>
          <w:sz w:val="22"/>
        </w:rPr>
        <w:t xml:space="preserve">(455B,17A). The application for an operation permit under </w:t>
      </w:r>
      <w:hyperlink r:id="rId21">
        <w:r>
          <w:rPr>
            <w:rStyle w:val="Hyperlink"/>
            <w:rFonts w:ascii="Times New Roman" w:hAnsi="Times New Roman"/>
            <w:b w:val="false"/>
            <w:i w:val="false"/>
            <w:color w:val="000000"/>
            <w:sz w:val="22"/>
          </w:rPr>
          <w:t>64.3(1)</w:t>
        </w:r>
      </w:hyperlink>
      <w:r>
        <w:rPr>
          <w:rFonts w:ascii="Times New Roman" w:hAnsi="Times New Roman"/>
          <w:b w:val="false"/>
          <w:i w:val="false"/>
          <w:color w:val="000000"/>
          <w:sz w:val="22"/>
        </w:rPr>
        <w:t xml:space="preserve"> shall be filed pursuant to </w:t>
      </w:r>
      <w:hyperlink r:id="rId22">
        <w:r>
          <w:rPr>
            <w:rStyle w:val="Hyperlink"/>
            <w:rFonts w:ascii="Times New Roman" w:hAnsi="Times New Roman"/>
            <w:b w:val="false"/>
            <w:i w:val="false"/>
            <w:color w:val="000000"/>
            <w:sz w:val="22"/>
          </w:rPr>
          <w:t>567—subrule 60.4(2)</w:t>
        </w:r>
      </w:hyperlink>
      <w:r>
        <w:rPr>
          <w:rFonts w:ascii="Times New Roman" w:hAnsi="Times New Roman"/>
          <w:b w:val="false"/>
          <w:i w:val="false"/>
          <w:color w:val="000000"/>
          <w:sz w:val="22"/>
        </w:rPr>
        <w:t xml:space="preserve">. Permit applications for a new discharge of storm water associated with construction activity as defined in </w:t>
      </w:r>
      <w:hyperlink r:id="rId23">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under “storm water discharge associated with industrial activity” must be submitted at least 60 days before the date on which construction is to commence. Upon completion of a tentative determination with regard to the permit application as described in </w:t>
      </w:r>
      <w:hyperlink r:id="rId24">
        <w:r>
          <w:rPr>
            <w:rStyle w:val="Hyperlink"/>
            <w:rFonts w:ascii="Times New Roman" w:hAnsi="Times New Roman"/>
            <w:b w:val="false"/>
            <w:i w:val="false"/>
            <w:color w:val="000000"/>
            <w:sz w:val="22"/>
          </w:rPr>
          <w:t>64.5(1)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director shall issue operation permits for applications filed pursuant to </w:t>
      </w:r>
      <w:hyperlink r:id="rId25">
        <w:r>
          <w:rPr>
            <w:rStyle w:val="Hyperlink"/>
            <w:rFonts w:ascii="Times New Roman" w:hAnsi="Times New Roman"/>
            <w:b w:val="false"/>
            <w:i w:val="false"/>
            <w:color w:val="000000"/>
            <w:sz w:val="22"/>
          </w:rPr>
          <w:t>64.3(1)</w:t>
        </w:r>
      </w:hyperlink>
      <w:r>
        <w:rPr>
          <w:rFonts w:ascii="Times New Roman" w:hAnsi="Times New Roman"/>
          <w:b w:val="false"/>
          <w:i w:val="false"/>
          <w:color w:val="000000"/>
          <w:sz w:val="22"/>
        </w:rPr>
        <w:t xml:space="preserve"> within 90 days of the receipt of a complete application unless the application is for an NPDES permit or unless a longer period of time is required and the applicant is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permit. </w:t>
      </w:r>
      <w:r>
        <w:rPr>
          <w:rFonts w:ascii="Times New Roman" w:hAnsi="Times New Roman"/>
          <w:b w:val="false"/>
          <w:i w:val="false"/>
          <w:color w:val="000000"/>
          <w:sz w:val="22"/>
        </w:rPr>
        <w:t xml:space="preserve">A Notice of Intent (NOI) for coverage under a general permit shall be made on forms provided by the department as noted in </w:t>
      </w:r>
      <w:hyperlink r:id="rId26">
        <w:r>
          <w:rPr>
            <w:rStyle w:val="Hyperlink"/>
            <w:rFonts w:ascii="Times New Roman" w:hAnsi="Times New Roman"/>
            <w:b w:val="false"/>
            <w:i w:val="false"/>
            <w:color w:val="000000"/>
            <w:sz w:val="22"/>
          </w:rPr>
          <w:t>567—60.3</w:t>
        </w:r>
      </w:hyperlink>
      <w:r>
        <w:rPr>
          <w:rFonts w:ascii="Times New Roman" w:hAnsi="Times New Roman"/>
          <w:b w:val="false"/>
          <w:i w:val="false"/>
          <w:color w:val="000000"/>
          <w:sz w:val="22"/>
        </w:rPr>
        <w:t xml:space="preserve">(455B,17A) and in accordance with </w:t>
      </w:r>
      <w:hyperlink r:id="rId27">
        <w:r>
          <w:rPr>
            <w:rStyle w:val="Hyperlink"/>
            <w:rFonts w:ascii="Times New Roman" w:hAnsi="Times New Roman"/>
            <w:b w:val="false"/>
            <w:i w:val="false"/>
            <w:color w:val="000000"/>
            <w:sz w:val="22"/>
          </w:rPr>
          <w:t>567—64.6</w:t>
        </w:r>
      </w:hyperlink>
      <w:r>
        <w:rPr>
          <w:rFonts w:ascii="Times New Roman" w:hAnsi="Times New Roman"/>
          <w:b w:val="false"/>
          <w:i w:val="false"/>
          <w:color w:val="000000"/>
          <w:sz w:val="22"/>
        </w:rPr>
        <w:t>(455B). An NOI must be submitted to the department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existing storm water discharge associated with industrial activity, with the exception of discharges identified in subparagraphs (2) and (3) of this paragraph, on or before October 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any existing storm water discharge associated with industrial activity from a facility or construction site that is owned or operated by a municipality with a population of less than 100,000 other than an airport, power plant or uncontrolled sanitary landfill, on or before March 10, 2003.</w:t>
      </w:r>
    </w:p>
    <w:p>
      <w:pPr>
        <w:spacing w:before="0" w:after="0"/>
        <w:ind w:left="120"/>
        <w:jc w:val="both"/>
      </w:pPr>
      <w:r>
        <w:rPr>
          <w:rFonts w:ascii="Times New Roman" w:hAnsi="Times New Roman"/>
          <w:b w:val="false"/>
          <w:i w:val="false"/>
          <w:color w:val="000000"/>
          <w:sz w:val="22"/>
        </w:rPr>
        <w:t>For purposes of this subparagraph, municipality means city, town, borough, county, parish, district, association, or other public body created by or under state law. The entire population served by the public body shall be used in the determination of the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any existing storm water discharge associated with small construction activity on or before March 10,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storm water discharge associated with industrial activity which initiates operation after October 1, 1992, with the exception of discharges identified in subparagraphs (2) and (3) of this paragraph, where storm water discharge associated with industrial activity could occur as defined in rule </w:t>
      </w:r>
      <w:hyperlink r:id="rId28">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any private sewage disposal system installed after July 1, 1998, where subsoil discharge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any discharge, except a storm water only discharge, from a mining or processing facility after July 18,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any discharge from hydrostatic testing, tank ballasting and water lines, if required to be submitted by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 on or after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any discharge from dewatering or residential geothermal systems, if required to be submitted by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 on or after July 1,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w:t>
      </w:r>
      <w:r>
        <w:rPr>
          <w:rFonts w:ascii="Times New Roman" w:hAnsi="Times New Roman"/>
          <w:b w:val="false"/>
          <w:i w:val="false"/>
          <w:color w:val="000000"/>
          <w:sz w:val="22"/>
        </w:rPr>
        <w:t> </w:t>
      </w:r>
      <w:r>
        <w:rPr>
          <w:rFonts w:ascii="Times New Roman" w:hAnsi="Times New Roman"/>
          <w:b w:val="false"/>
          <w:i w:val="false"/>
          <w:color w:val="000000"/>
          <w:sz w:val="22"/>
        </w:rPr>
        <w:t>Requirements for industries that discharge to another disposal system except storm water point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any person discharging wastes to a publicly or privately owned disposal system to submit information similar to that required in an application for an operation permit, but no operation permit is required for such discharge.</w:t>
      </w:r>
    </w:p>
    <w:p>
      <w:pPr>
        <w:spacing w:before="0" w:after="0"/>
        <w:ind w:left="120"/>
        <w:jc w:val="both"/>
      </w:pPr>
      <w:r>
        <w:rPr>
          <w:rFonts w:ascii="Times New Roman" w:hAnsi="Times New Roman"/>
          <w:b w:val="false"/>
          <w:i w:val="false"/>
          <w:color w:val="000000"/>
          <w:sz w:val="22"/>
        </w:rPr>
        <w:t xml:space="preserve">Significant industrial users as defined in </w:t>
      </w:r>
      <w:hyperlink r:id="rId29">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must submit a treatment agreement which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agreement must be on the treatment agreement form, number 542-3221, as provided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identify and limit the monthly average and the daily maximum quantity of compatible and incompatible pollutants discharged to the disposal system and the variations in daily flow;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signed and dated by the significant industrial user and the owner of the disposal system accepting the wastewater;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quantities to be discharged to the disposal system must be in accordance with the applicable standards and requirements in </w:t>
      </w:r>
      <w:hyperlink r:id="rId30">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significant industrial user must submit a new treatment agreement form 60 days in advance of a proposed expansion, production increase or process modification that may result in discharges of sewage, industrial waste, or other waste in excess of the discharge stated in the existing treatment agreement. An industry that would become a significant industrial user as a result of a proposed expansion, production increase or process modification shall submit a treatment agreement form 60 days in advance of the proposed expansion, production increase or process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treatment agreement form must be submitted at least 180 days before a new significant industrial user proposes to discharge into a wastewater disposal system. The owner of a wastewater disposal system shall notify the director by submitting a complete treatment agreement to be received at least 10 days prior to making any commitment to accept waste from a proposed new significant industrial user. However, the department may notify the owner that verification of the data in the treatment agreement may take longer than 10 days and advise that the owner should not enter into a commitment until the data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treatment agreement form for each significant industrial user must be submitted with the facility plan or preliminary engineering report for the construction or modification of a wastewater disposal system. These agreements will be used in determining the design basis of the new or upgraded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Treatment agreement forms from significant industrial users shall be required as a part of the application for a permit to operate the wastewater disposal system receiving the wastes from the significant industrial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w:t>
      </w:r>
      <w:r>
        <w:rPr>
          <w:rFonts w:ascii="Times New Roman" w:hAnsi="Times New Roman"/>
          <w:b w:val="false"/>
          <w:i w:val="false"/>
          <w:color w:val="000000"/>
          <w:sz w:val="22"/>
        </w:rPr>
        <w:t> </w:t>
      </w:r>
      <w:r>
        <w:rPr>
          <w:rFonts w:ascii="Times New Roman" w:hAnsi="Times New Roman"/>
          <w:b w:val="false"/>
          <w:i w:val="false"/>
          <w:color w:val="000000"/>
          <w:sz w:val="22"/>
        </w:rPr>
        <w:t>Rescinded, effective 7/23/86.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64.3(7)</w:t>
      </w:r>
      <w:r>
        <w:rPr>
          <w:rFonts w:ascii="Times New Roman" w:hAnsi="Times New Roman"/>
          <w:b w:val="false"/>
          <w:i w:val="false"/>
          <w:color w:val="000000"/>
          <w:sz w:val="22"/>
        </w:rPr>
        <w:t> </w:t>
      </w:r>
      <w:r>
        <w:rPr>
          <w:rFonts w:ascii="Times New Roman" w:hAnsi="Times New Roman"/>
          <w:b w:val="false"/>
          <w:i w:val="false"/>
          <w:color w:val="000000"/>
          <w:sz w:val="22"/>
        </w:rPr>
        <w:t>NPDES permits may be granted for any period of time not to exceed five years. All other operation permits may be granted for an appropriate period of time as determined by the director, based on the type of wastewater disposal system being permitted. An application for renewal of an NPDES or operation permit must be submitted to the department 180 days in advance of the date the permit expires. General permits will be issued for a period not to exceed five years. Each permit to be renewed shall be subject to the provisions of all rules of the department in effect at the time of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64.3(8)</w:t>
      </w:r>
      <w:r>
        <w:rPr>
          <w:rFonts w:ascii="Times New Roman" w:hAnsi="Times New Roman"/>
          <w:b w:val="false"/>
          <w:i w:val="false"/>
          <w:color w:val="000000"/>
          <w:sz w:val="22"/>
        </w:rPr>
        <w:t> </w:t>
      </w:r>
      <w:r>
        <w:rPr>
          <w:rFonts w:ascii="Times New Roman" w:hAnsi="Times New Roman"/>
          <w:b w:val="false"/>
          <w:i w:val="false"/>
          <w:color w:val="000000"/>
          <w:sz w:val="22"/>
        </w:rPr>
        <w:t>Identity of signatories of permit applications. The person who signs the application for a permit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Corporations. </w:t>
      </w:r>
      <w:r>
        <w:rPr>
          <w:rFonts w:ascii="Times New Roman" w:hAnsi="Times New Roman"/>
          <w:b w:val="false"/>
          <w:i w:val="false"/>
          <w:color w:val="000000"/>
          <w:sz w:val="22"/>
        </w:rPr>
        <w:t>In the case of corporations, a responsible corporate officer. A responsible corporate officer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president, secretary, treasurer, or vice president in charge of a principal business function, or any other person who performs similar policy- or decision-making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manager of manufacturing, production, or operating facilities, if authority to sign documents has been assigned or delegated to the manager in accordance with corporate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Partnerships. </w:t>
      </w:r>
      <w:r>
        <w:rPr>
          <w:rFonts w:ascii="Times New Roman" w:hAnsi="Times New Roman"/>
          <w:b w:val="false"/>
          <w:i w:val="false"/>
          <w:color w:val="000000"/>
          <w:sz w:val="22"/>
        </w:rPr>
        <w:t>In the case of a partnership, a general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proprietorships. </w:t>
      </w:r>
      <w:r>
        <w:rPr>
          <w:rFonts w:ascii="Times New Roman" w:hAnsi="Times New Roman"/>
          <w:b w:val="false"/>
          <w:i w:val="false"/>
          <w:color w:val="000000"/>
          <w:sz w:val="22"/>
        </w:rPr>
        <w:t>In the case of a sole proprietorship, the proprietor.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Municipal, state, federal, or other public agency. </w:t>
      </w:r>
      <w:r>
        <w:rPr>
          <w:rFonts w:ascii="Times New Roman" w:hAnsi="Times New Roman"/>
          <w:b w:val="false"/>
          <w:i w:val="false"/>
          <w:color w:val="000000"/>
          <w:sz w:val="22"/>
        </w:rPr>
        <w:t>In the case of a municipal, state, or other public facility, either the principal executive officer or the ranking elected official. A principal executive officer of a public agency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chief executive officer of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senior executive officer having responsibility for the overall operations of a unit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Storm water discharge associated with industrial activity from construction activities. </w:t>
      </w:r>
      <w:r>
        <w:rPr>
          <w:rFonts w:ascii="Times New Roman" w:hAnsi="Times New Roman"/>
          <w:b w:val="false"/>
          <w:i w:val="false"/>
          <w:color w:val="000000"/>
          <w:sz w:val="22"/>
        </w:rPr>
        <w:t>In the case of a storm water discharge associated with construction activity, either the owner of the site or the general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Any person signing a document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 shall make the following certification:</w:t>
      </w:r>
    </w:p>
    <w:p>
      <w:pPr>
        <w:spacing w:before="0" w:after="0"/>
        <w:ind w:left="440"/>
        <w:jc w:val="both"/>
      </w:pPr>
      <w:r>
        <w:rPr>
          <w:rFonts w:ascii="Times New Roman" w:hAnsi="Times New Roman"/>
          <w:b w:val="false"/>
          <w:i w:val="false"/>
          <w:color w:val="000000"/>
          <w:sz w:val="22"/>
        </w:rPr>
        <w:t>I certify under penalty of law that this document and all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known violations.</w:t>
      </w:r>
    </w:p>
    <w:p>
      <w:pPr>
        <w:spacing w:before="0" w:after="0"/>
        <w:ind w:left="120"/>
        <w:jc w:val="both"/>
      </w:pPr>
      <w:r>
        <w:rPr>
          <w:rFonts w:ascii="Times New Roman" w:hAnsi="Times New Roman"/>
          <w:b w:val="false"/>
          <w:i w:val="false"/>
          <w:color w:val="000000"/>
          <w:sz w:val="22"/>
        </w:rPr>
        <w:t>The person who signs NPDES reports shall be a person described in this subrule, except that in the case of a corporation or a public body, monitoring reports required under the terms of the permit may be submitted by a duly authorized representative of the person described in this subrule. A person is a duly authorized representative if the authorization is made in writing by a person described in this subrule and the authorization specifies an individual or position having responsibility for the overall operation of the regulated facility, such as plant manager, superintendent, or position of equivalent responsibility, or an individual or position having overall responsibility for environmental matters for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64.3(9)</w:t>
      </w:r>
      <w:r>
        <w:rPr>
          <w:rFonts w:ascii="Times New Roman" w:hAnsi="Times New Roman"/>
          <w:b w:val="false"/>
          <w:i w:val="false"/>
          <w:color w:val="000000"/>
          <w:sz w:val="22"/>
        </w:rPr>
        <w:t> </w:t>
      </w:r>
      <w:r>
        <w:rPr>
          <w:rFonts w:ascii="Times New Roman" w:hAnsi="Times New Roman"/>
          <w:b w:val="false"/>
          <w:i w:val="false"/>
          <w:color w:val="000000"/>
          <w:sz w:val="22"/>
        </w:rPr>
        <w:t xml:space="preserve">When necessary to comply with present standards which must be met at a future date, an operation permit shall include a schedule for the alteration of the permitted facility to meet said standards in accordance with </w:t>
      </w:r>
      <w:hyperlink r:id="rId31">
        <w:r>
          <w:rPr>
            <w:rStyle w:val="Hyperlink"/>
            <w:rFonts w:ascii="Times New Roman" w:hAnsi="Times New Roman"/>
            <w:b w:val="false"/>
            <w:i w:val="false"/>
            <w:color w:val="000000"/>
            <w:sz w:val="22"/>
          </w:rPr>
          <w:t>64.7(4)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64.7(5)</w:t>
        </w:r>
      </w:hyperlink>
      <w:r>
        <w:rPr>
          <w:rFonts w:ascii="Times New Roman" w:hAnsi="Times New Roman"/>
          <w:b w:val="false"/>
          <w:i w:val="false"/>
          <w:color w:val="000000"/>
          <w:sz w:val="22"/>
        </w:rPr>
        <w:t xml:space="preserve">. Such schedules shall not relieve the permittee of the duty to obtain a construction permit pursuant to </w:t>
      </w:r>
      <w:hyperlink r:id="rId33">
        <w:r>
          <w:rPr>
            <w:rStyle w:val="Hyperlink"/>
            <w:rFonts w:ascii="Times New Roman" w:hAnsi="Times New Roman"/>
            <w:b w:val="false"/>
            <w:i w:val="false"/>
            <w:color w:val="000000"/>
            <w:sz w:val="22"/>
          </w:rPr>
          <w:t>567—64.2</w:t>
        </w:r>
      </w:hyperlink>
      <w:r>
        <w:rPr>
          <w:rFonts w:ascii="Times New Roman" w:hAnsi="Times New Roman"/>
          <w:b w:val="false"/>
          <w:i w:val="false"/>
          <w:color w:val="000000"/>
          <w:sz w:val="22"/>
        </w:rPr>
        <w:t>(455B). When necessary to comply with a pretreatment standard or requirement which must be met at a future date, a significant industrial user will be given a compliance schedule for meeting those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64.3(10)</w:t>
      </w:r>
      <w:r>
        <w:rPr>
          <w:rFonts w:ascii="Times New Roman" w:hAnsi="Times New Roman"/>
          <w:b w:val="false"/>
          <w:i w:val="false"/>
          <w:color w:val="000000"/>
          <w:sz w:val="22"/>
        </w:rPr>
        <w:t> </w:t>
      </w:r>
      <w:r>
        <w:rPr>
          <w:rFonts w:ascii="Times New Roman" w:hAnsi="Times New Roman"/>
          <w:b w:val="false"/>
          <w:i w:val="false"/>
          <w:color w:val="000000"/>
          <w:sz w:val="22"/>
        </w:rPr>
        <w:t>Operation permits shall contain such conditions as are deemed necessary by the director to ensure compliance with all applicable rules of the department, including monitoring and reporting conditions, to protect the public health and beneficial uses of state waters, and to prevent water pollution from waste storage or disposal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amend, revoke and reissue, or terminate in whole or in part any individual operation permit or coverage under a general permit for cause. Except for general permits, the director may modify in whole or in part any individual operation permit for cause. A waiver or modification to the terms and conditions of a general permit shall not be granted. If a waiver or modification to a general permit is desired, the applicant must apply for an individual permit following the procedures in </w:t>
      </w:r>
      <w:hyperlink r:id="rId34">
        <w:r>
          <w:rPr>
            <w:rStyle w:val="Hyperlink"/>
            <w:rFonts w:ascii="Times New Roman" w:hAnsi="Times New Roman"/>
            <w:b w:val="false"/>
            <w:i w:val="false"/>
            <w:color w:val="000000"/>
            <w:sz w:val="22"/>
          </w:rPr>
          <w:t>64.3(4)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may be amended, revoked and reissued, or terminated for cause either at the request of any interested person (including the permittee) or upon the director’s initiative. All requests shall be in writing and shall contain facts or reasons supporting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Cause under this subrule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Violation of any term or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a permit by misrepresentation of fact or failure to disclose fully all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any condition that requires either a temporary or permanent reduction or elimination of the permitted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submit such records and information as the director shall require both generally and as a condition of the permit in order to ensure compliance with the discharge conditions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of an NPDES permittee to carry out the requirements of </w:t>
      </w:r>
      <w:hyperlink r:id="rId35">
        <w:r>
          <w:rPr>
            <w:rStyle w:val="Hyperlink"/>
            <w:rFonts w:ascii="Times New Roman" w:hAnsi="Times New Roman"/>
            <w:b w:val="false"/>
            <w:i w:val="false"/>
            <w:color w:val="000000"/>
            <w:sz w:val="22"/>
          </w:rPr>
          <w:t>64.7(7)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provide all the required application materials or appropriate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 modification of a schedule of compliance, an interim effluent limitation, or the minimum monitoring requirements pursuant to </w:t>
      </w:r>
      <w:hyperlink r:id="rId36">
        <w:r>
          <w:rPr>
            <w:rStyle w:val="Hyperlink"/>
            <w:rFonts w:ascii="Times New Roman" w:hAnsi="Times New Roman"/>
            <w:b w:val="false"/>
            <w:i w:val="false"/>
            <w:color w:val="000000"/>
            <w:sz w:val="22"/>
          </w:rPr>
          <w:t>567—paragraph 60.4(2)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Causes listed in 40 CFR Sections 122.62 and 122.64.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permittee shall furnish to the director, within a reasonable time, any information that the director may request to determine whether cause exists for amending, revoking and reissuing, or terminating a permit, including a new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filing of a request by an interested person for an amendment, revocation and reissuance, or termination does not stay any permit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director decides the request is not justified, the director shall send the requester a brief written response giving a reason for the decision. Denials of requests for modification, revocation and reissuance, or termination are not subject to public notice, comment, hearings, 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Draft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tentatively decides to amend, revoke and reissue, or terminate a permit, a draft permit shall be prepared according to </w:t>
      </w:r>
      <w:hyperlink r:id="rId37">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permit is amended under this paragraph, only those conditions to be modified shall be reopened when a new draft permit is prepared. All other aspects of the existing permit shall remain in effect for the duration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permit is revoked and reissued under this paragraph, the entire permit is reopened just as if the permit had expired and was being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amendment falls under the definition of “minor amendment” in </w:t>
      </w:r>
      <w:hyperlink r:id="rId38">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 the permit may be amended without a draft permit or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During any amendment, revocation and reissuance, or termination proceeding, the permittee shall comply with all conditions of the existing permit until a new final permit is reissued.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64.3(12)</w:t>
      </w:r>
      <w:r>
        <w:rPr>
          <w:rFonts w:ascii="Times New Roman" w:hAnsi="Times New Roman"/>
          <w:b w:val="false"/>
          <w:i w:val="false"/>
          <w:color w:val="000000"/>
          <w:sz w:val="22"/>
        </w:rPr>
        <w:t> </w:t>
      </w:r>
      <w:r>
        <w:rPr>
          <w:rFonts w:ascii="Times New Roman" w:hAnsi="Times New Roman"/>
          <w:b w:val="false"/>
          <w:i w:val="false"/>
          <w:color w:val="000000"/>
          <w:sz w:val="22"/>
        </w:rPr>
        <w:t>No permit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applicant is required to obtain certification under Section 401 of the Clean Water Act and that certification has not been obtained or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imposition of conditions cannot ensure compliance with the applicable water quality requirements of all affected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new source or new discharger if the discharge from its construction or operation will cause or contribute to a violation of water quality standards. The owner or operator of a new source or new discharger proposing to discharge to a water segment which does not meet applicable water quality standards must demonstrate, before the close of the public comment period for a draft NPDES permit,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sufficient remaining load in the water segment to allow for the discharge;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existing dischargers to the segment are subject to compliance schedules designed to bring the segment into compliance with water quality standards.</w:t>
      </w:r>
    </w:p>
    <w:p>
      <w:pPr>
        <w:spacing w:before="0" w:after="0"/>
        <w:ind w:left="120"/>
        <w:jc w:val="both"/>
      </w:pPr>
      <w:r>
        <w:rPr>
          <w:rFonts w:ascii="Times New Roman" w:hAnsi="Times New Roman"/>
          <w:b w:val="false"/>
          <w:i w:val="false"/>
          <w:color w:val="000000"/>
          <w:sz w:val="22"/>
        </w:rPr>
        <w:t>The director may waive the demonstration if the director already has adequate information to demonstrate (1) and (2).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8520B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0529C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2572C</w:t>
      </w:r>
      <w:r>
        <w:rPr>
          <w:rFonts w:ascii="Times New Roman" w:hAnsi="Times New Roman"/>
          <w:b w:val="false"/>
          <w:i w:val="false"/>
          <w:color w:val="000000"/>
          <w:sz w:val="16"/>
        </w:rPr>
        <w:t>, IAB 6/8/16,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3786C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567—64.4</w:t>
      </w:r>
      <w:r>
        <w:rPr>
          <w:rFonts w:ascii="Times New Roman" w:hAnsi="Times New Roman"/>
          <w:b/>
          <w:i w:val="false"/>
          <w:color w:val="000000"/>
          <w:sz w:val="22"/>
        </w:rPr>
        <w:t xml:space="preserve">(455B) </w:t>
      </w:r>
      <w:r>
        <w:rPr>
          <w:rFonts w:ascii="Times New Roman" w:hAnsi="Times New Roman"/>
          <w:b/>
          <w:i w:val="false"/>
          <w:color w:val="000000"/>
          <w:sz w:val="22"/>
        </w:rPr>
        <w:t xml:space="preserve">Issuance of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color w:val="000000"/>
          <w:sz w:val="22"/>
        </w:rPr>
        <w:t xml:space="preserve">Individual permit. </w:t>
      </w:r>
      <w:r>
        <w:rPr>
          <w:rFonts w:ascii="Times New Roman" w:hAnsi="Times New Roman"/>
          <w:b w:val="false"/>
          <w:i w:val="false"/>
          <w:color w:val="000000"/>
          <w:sz w:val="22"/>
        </w:rPr>
        <w:t>An individual NPDES permit is required when there is a discharge of a pollutant from any point source into navigable waters. An NPDES permit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Discharges of dredged or fill material into navigable waters which are regulated under Section 404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introduction of sewage, industrial wastes or other pollutants into a POTW by indirect dischargers. (This exclusion from requiring an NPDES permit applies only to the actual addition of materials into the subsequent treatment works. Plans or agreements to make such additions in the future do not relieve dischargers of the obligation to apply for and receive permits until the discharges of pollutants to navigable waters are actually eliminated. It also should be noted that, in all appropriate cases, indirect discharges shall comply with pretreatment standards promulgated by the administrator pursuant to Section 307(b) of the Act and adopted by reference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discharge in compliance with the instruction of an On-Scene Coordinator pursuant to 40 CFR Part 300 (The National Oil and Hazardous Substances Pollution Contingency Plan) or 33 CFR Section 153.10(e) (Pollution by Oil and Hazardous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introduction of pollutants from nonpoint source agricultural and silvicultural activities, including storm water runoff from orchards, cultivated crops, pastures, range lands, and forest lands, except that this exclusion shall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Discharges from concentrated animal feeding operations as defined in 40 CFR Section 122.23;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Discharges from concentrated aquatic animal production facilities as defined in 40 CFR Section 122.24;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Discharges to aquaculture projects as defined in 40 CFR Section 122.25;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Discharges from silvicultural point sources as defined in 40 CFR Section 122.27;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Return flows from irrigated agriculture;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Water transfers, which are defined as activities that convey or connect navigable waters without subjecting the transferred water to intervening industrial, municipal, or commercial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color w:val="000000"/>
          <w:sz w:val="22"/>
        </w:rPr>
        <w:t xml:space="preserve">General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issue general permits which are consistent with </w:t>
      </w:r>
      <w:hyperlink r:id="rId39">
        <w:r>
          <w:rPr>
            <w:rStyle w:val="Hyperlink"/>
            <w:rFonts w:ascii="Times New Roman" w:hAnsi="Times New Roman"/>
            <w:b w:val="false"/>
            <w:i w:val="false"/>
            <w:color w:val="000000"/>
            <w:sz w:val="22"/>
          </w:rPr>
          <w:t>64.4(2)</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requirements specified in </w:t>
      </w:r>
      <w:hyperlink r:id="rId40">
        <w:r>
          <w:rPr>
            <w:rStyle w:val="Hyperlink"/>
            <w:rFonts w:ascii="Times New Roman" w:hAnsi="Times New Roman"/>
            <w:b w:val="false"/>
            <w:i w:val="false"/>
            <w:color w:val="000000"/>
            <w:sz w:val="22"/>
          </w:rPr>
          <w:t>567—64.6</w:t>
        </w:r>
      </w:hyperlink>
      <w:r>
        <w:rPr>
          <w:rFonts w:ascii="Times New Roman" w:hAnsi="Times New Roman"/>
          <w:b w:val="false"/>
          <w:i w:val="false"/>
          <w:color w:val="000000"/>
          <w:sz w:val="22"/>
        </w:rPr>
        <w:t xml:space="preserve">(455B), </w:t>
      </w:r>
      <w:hyperlink r:id="rId41">
        <w:r>
          <w:rPr>
            <w:rStyle w:val="Hyperlink"/>
            <w:rFonts w:ascii="Times New Roman" w:hAnsi="Times New Roman"/>
            <w:b w:val="false"/>
            <w:i w:val="false"/>
            <w:color w:val="000000"/>
            <w:sz w:val="22"/>
          </w:rPr>
          <w:t>567—64.7</w:t>
        </w:r>
      </w:hyperlink>
      <w:r>
        <w:rPr>
          <w:rFonts w:ascii="Times New Roman" w:hAnsi="Times New Roman"/>
          <w:b w:val="false"/>
          <w:i w:val="false"/>
          <w:color w:val="000000"/>
          <w:sz w:val="22"/>
        </w:rPr>
        <w:t xml:space="preserve">(455B), subrule </w:t>
      </w:r>
      <w:hyperlink r:id="rId42">
        <w:r>
          <w:rPr>
            <w:rStyle w:val="Hyperlink"/>
            <w:rFonts w:ascii="Times New Roman" w:hAnsi="Times New Roman"/>
            <w:b w:val="false"/>
            <w:i w:val="false"/>
            <w:color w:val="000000"/>
            <w:sz w:val="22"/>
          </w:rPr>
          <w:t>64.8(2)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567—64.9</w:t>
        </w:r>
      </w:hyperlink>
      <w:r>
        <w:rPr>
          <w:rFonts w:ascii="Times New Roman" w:hAnsi="Times New Roman"/>
          <w:b w:val="false"/>
          <w:i w:val="false"/>
          <w:color w:val="000000"/>
          <w:sz w:val="22"/>
        </w:rPr>
        <w:t>(455B) to regulate one or more categories or subcategories of discharges where the sources within a covered category of discharges are either storm water point sources, point sources other than storm water point sources, or treatment works treating domestic sewage, if the sources within each category or subcategory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Involve the same or substantially similar types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Discharge the same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the same effluent limitations or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the same or similar monitoring;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more appropriately controlled under a general permit than under individual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general permit issued by 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adopted as an administrative rule in accordance with Iowa Code chapter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Administrative Procedure Act. Each proposed permit will be accompanied by a fact sheet setting forth the principal facts and methodologies considered during permit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 to existing geographic or political boundaries,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identified in </w:t>
      </w:r>
      <w:hyperlink r:id="rId45">
        <w:r>
          <w:rPr>
            <w:rStyle w:val="Hyperlink"/>
            <w:rFonts w:ascii="Times New Roman" w:hAnsi="Times New Roman"/>
            <w:b w:val="false"/>
            <w:i w:val="false"/>
            <w:color w:val="000000"/>
            <w:sz w:val="22"/>
          </w:rPr>
          <w:t>567—64.15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NPDES permit is required for an activity covered by a general permit, the applicant may seek either general permit coverage or an individual permit. Procedures and requirements for obtaining an individual NPDES permit are detailed in </w:t>
      </w:r>
      <w:hyperlink r:id="rId46">
        <w:r>
          <w:rPr>
            <w:rStyle w:val="Hyperlink"/>
            <w:rFonts w:ascii="Times New Roman" w:hAnsi="Times New Roman"/>
            <w:b w:val="false"/>
            <w:i w:val="false"/>
            <w:color w:val="000000"/>
            <w:sz w:val="22"/>
          </w:rPr>
          <w:t>64.3(4)</w:t>
        </w:r>
        <w:r>
          <w:rPr>
            <w:rFonts w:ascii="Times New Roman" w:hAnsi="Times New Roman"/>
            <w:b w:val="false"/>
            <w:i/>
            <w:color w:val="000000"/>
            <w:sz w:val="22"/>
          </w:rPr>
          <w:t>“a.”</w:t>
        </w:r>
      </w:hyperlink>
      <w:r>
        <w:rPr>
          <w:rFonts w:ascii="Times New Roman" w:hAnsi="Times New Roman"/>
          <w:b w:val="false"/>
          <w:i w:val="false"/>
          <w:color w:val="000000"/>
          <w:sz w:val="22"/>
        </w:rPr>
        <w:t xml:space="preserve"> Procedures for filing a Notice of Intent for coverage under a general permit are described in </w:t>
      </w:r>
      <w:hyperlink r:id="rId47">
        <w:r>
          <w:rPr>
            <w:rStyle w:val="Hyperlink"/>
            <w:rFonts w:ascii="Times New Roman" w:hAnsi="Times New Roman"/>
            <w:b w:val="false"/>
            <w:i w:val="false"/>
            <w:color w:val="000000"/>
            <w:sz w:val="22"/>
          </w:rPr>
          <w:t>567—64.6</w:t>
        </w:r>
      </w:hyperlink>
      <w:r>
        <w:rPr>
          <w:rFonts w:ascii="Times New Roman" w:hAnsi="Times New Roman"/>
          <w:b w:val="false"/>
          <w:i w:val="false"/>
          <w:color w:val="000000"/>
          <w:sz w:val="22"/>
        </w:rPr>
        <w:t>(455B) “Completing a Notice of Intent for Coverage Under a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color w:val="000000"/>
          <w:sz w:val="22"/>
        </w:rPr>
        <w:t xml:space="preserve">Effect of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any toxic effluent standards and prohibitions imposed under Section 307 of the Act and standards for sewage sludge use or disposal under Section 405(d) of the Act, compliance with a permit during its term constitutes compliance, for purposes of enforcement, with Sections 301, 302, 306, 307, 318, 403 and 405(a)-(b) of the Act, and equivalent limitations and standards set out in </w:t>
      </w:r>
      <w:hyperlink r:id="rId48">
        <w:r>
          <w:rPr>
            <w:rStyle w:val="Hyperlink"/>
            <w:rFonts w:ascii="Times New Roman" w:hAnsi="Times New Roman"/>
            <w:b w:val="false"/>
            <w:i w:val="false"/>
            <w:color w:val="000000"/>
            <w:sz w:val="22"/>
          </w:rPr>
          <w:t>567—Chapters 61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However, a permit may be terminated during its term for cause as set forth in </w:t>
      </w:r>
      <w:hyperlink r:id="rId50">
        <w:r>
          <w:rPr>
            <w:rStyle w:val="Hyperlink"/>
            <w:rFonts w:ascii="Times New Roman" w:hAnsi="Times New Roman"/>
            <w:b w:val="false"/>
            <w:i w:val="false"/>
            <w:color w:val="000000"/>
            <w:sz w:val="22"/>
          </w:rPr>
          <w:t>64.3(11)</w:t>
        </w:r>
      </w:hyperlink>
      <w:r>
        <w:rPr>
          <w:rFonts w:ascii="Times New Roman" w:hAnsi="Times New Roman"/>
          <w:b w:val="false"/>
          <w:i w:val="false"/>
          <w:color w:val="000000"/>
          <w:sz w:val="22"/>
        </w:rPr>
        <w:t>. Compliance with a permit condition which implements a particular standard for sewage sludge use or disposal shall be an affirmative defense in any enforcement action brought for a violation of that standard for sewage sludge use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does not convey any property rights of any sort, or any exclusive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8520B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3786C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567—64.5</w:t>
      </w:r>
      <w:r>
        <w:rPr>
          <w:rFonts w:ascii="Times New Roman" w:hAnsi="Times New Roman"/>
          <w:b/>
          <w:i w:val="false"/>
          <w:color w:val="000000"/>
          <w:sz w:val="22"/>
        </w:rPr>
        <w:t xml:space="preserve">(455B) </w:t>
      </w:r>
      <w:r>
        <w:rPr>
          <w:rFonts w:ascii="Times New Roman" w:hAnsi="Times New Roman"/>
          <w:b/>
          <w:i w:val="false"/>
          <w:color w:val="000000"/>
          <w:sz w:val="22"/>
        </w:rPr>
        <w:t xml:space="preserve">Notice and public participation in the individual NPDES permit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color w:val="000000"/>
          <w:sz w:val="22"/>
        </w:rPr>
        <w:t xml:space="preserve">Formulation of tentative determination. </w:t>
      </w:r>
      <w:r>
        <w:rPr>
          <w:rFonts w:ascii="Times New Roman" w:hAnsi="Times New Roman"/>
          <w:b w:val="false"/>
          <w:i w:val="false"/>
          <w:color w:val="000000"/>
          <w:sz w:val="22"/>
        </w:rPr>
        <w:t xml:space="preserve">The department shall make a tentative determination to issue or deny an operation or NPDES permit for the discharge described in a permit application in advance of the public notice as described in </w:t>
      </w:r>
      <w:hyperlink r:id="rId51">
        <w:r>
          <w:rPr>
            <w:rStyle w:val="Hyperlink"/>
            <w:rFonts w:ascii="Times New Roman" w:hAnsi="Times New Roman"/>
            <w:b w:val="false"/>
            <w:i w:val="false"/>
            <w:color w:val="000000"/>
            <w:sz w:val="22"/>
          </w:rPr>
          <w:t>64.5(2)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tentative determination is to issue an NPDES permit, the department shall prepare a permit rationale for each draft permit pursuant to </w:t>
      </w:r>
      <w:hyperlink r:id="rId52">
        <w:r>
          <w:rPr>
            <w:rStyle w:val="Hyperlink"/>
            <w:rFonts w:ascii="Times New Roman" w:hAnsi="Times New Roman"/>
            <w:b w:val="false"/>
            <w:i w:val="false"/>
            <w:color w:val="000000"/>
            <w:sz w:val="22"/>
          </w:rPr>
          <w:t>64.5(3)</w:t>
        </w:r>
      </w:hyperlink>
      <w:r>
        <w:rPr>
          <w:rFonts w:ascii="Times New Roman" w:hAnsi="Times New Roman"/>
          <w:b w:val="false"/>
          <w:i w:val="false"/>
          <w:color w:val="000000"/>
          <w:sz w:val="22"/>
        </w:rPr>
        <w:t xml:space="preserve"> and a draft permit. The draft permit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Effluent limitations identified pursuant to </w:t>
      </w:r>
      <w:hyperlink r:id="rId53">
        <w:r>
          <w:rPr>
            <w:rStyle w:val="Hyperlink"/>
            <w:rFonts w:ascii="Times New Roman" w:hAnsi="Times New Roman"/>
            <w:b w:val="false"/>
            <w:i w:val="false"/>
            <w:color w:val="000000"/>
            <w:sz w:val="22"/>
          </w:rPr>
          <w:t>64.7(2)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64.7(3)</w:t>
        </w:r>
      </w:hyperlink>
      <w:r>
        <w:rPr>
          <w:rFonts w:ascii="Times New Roman" w:hAnsi="Times New Roman"/>
          <w:b w:val="false"/>
          <w:i w:val="false"/>
          <w:color w:val="000000"/>
          <w:sz w:val="22"/>
        </w:rPr>
        <w:t>, for those pollutants proposed to be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necessary, a proposed schedule of compliance, including interim dates and requirements, identified pursuant to </w:t>
      </w:r>
      <w:hyperlink r:id="rId55">
        <w:r>
          <w:rPr>
            <w:rStyle w:val="Hyperlink"/>
            <w:rFonts w:ascii="Times New Roman" w:hAnsi="Times New Roman"/>
            <w:b w:val="false"/>
            <w:i w:val="false"/>
            <w:color w:val="000000"/>
            <w:sz w:val="22"/>
          </w:rPr>
          <w:t>64.7(4)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64.7(5)</w:t>
        </w:r>
      </w:hyperlink>
      <w:r>
        <w:rPr>
          <w:rFonts w:ascii="Times New Roman" w:hAnsi="Times New Roman"/>
          <w:b w:val="false"/>
          <w:i w:val="false"/>
          <w:color w:val="000000"/>
          <w:sz w:val="22"/>
        </w:rPr>
        <w:t>, for meeting the effluent limitations and other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special conditions (other than those required in </w:t>
      </w:r>
      <w:hyperlink r:id="rId57">
        <w:r>
          <w:rPr>
            <w:rStyle w:val="Hyperlink"/>
            <w:rFonts w:ascii="Times New Roman" w:hAnsi="Times New Roman"/>
            <w:b w:val="false"/>
            <w:i w:val="false"/>
            <w:color w:val="000000"/>
            <w:sz w:val="22"/>
          </w:rPr>
          <w:t>64.7(7)</w:t>
        </w:r>
      </w:hyperlink>
      <w:r>
        <w:rPr>
          <w:rFonts w:ascii="Times New Roman" w:hAnsi="Times New Roman"/>
          <w:b w:val="false"/>
          <w:i w:val="false"/>
          <w:color w:val="000000"/>
          <w:sz w:val="22"/>
        </w:rPr>
        <w:t>) which will have a significant impact upon the discharge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tentative determination is to deny an NPDES permit, the department shall prepare a notice of intent to deny the permit application. The notice of intent to deny an application will be placed on public notice as described in </w:t>
      </w:r>
      <w:hyperlink r:id="rId58">
        <w:r>
          <w:rPr>
            <w:rStyle w:val="Hyperlink"/>
            <w:rFonts w:ascii="Times New Roman" w:hAnsi="Times New Roman"/>
            <w:b w:val="false"/>
            <w:i w:val="false"/>
            <w:color w:val="000000"/>
            <w:sz w:val="22"/>
          </w:rPr>
          <w:t>64.5(2)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tentative determination is to issue an operation permit (non-NPDES permit), the department shall prepare a final permit and transmit the final permit to the applicant. The applicant will have 30 days to appeal the final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tentative determination is to deny an operation permit (non-NPDES permit), no public notice is required. The department shall send written notice of the denial to the applicant. The applicant will have 30 days to appeal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color w:val="000000"/>
          <w:sz w:val="22"/>
        </w:rPr>
        <w:t xml:space="preserve">Public notice for individual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an NPDES permit, a major NPDES permit amendment, or the denial of a permit application for an NPDES permit, public notice shall be circulated in a manner designed to inform interested and potentially interested persons of the proposed discharge and of the tentative determination to issue or deny an NPDES permit for the proposed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be transmitted by the department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federal or state agency which has issued or is required to issue an NPDES permit for the same facility or activity, including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and state agencies with jurisdiction over fish, shellfish, and wildlife resources, state historic preservation officers, and affected states (the term “state” includes Indian tribes treated as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state agency responsible for the development of an areawide waste treatment management plan or a water quality standards and implementation plan under CWA Section 208(b)(2), 208(b)(4) or 303(e);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U.S. Army Corps of Engineers, the U.S. Fish and Wildlife Service and the National Marine Fisheries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user identified in the permit application of a privately owned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unit of local government having jurisdiction over the area where the facility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state agency having any authority under state law with respect to the construction or operation of such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be transmitted by the department to any person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person or group may request to receive copies of all public notices concerning the tentative determinations with respect to the permit applications within the state or within a certain geographical area. The department shall transmit a copy of all public notices to such persons or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periodically notify the public of the opportunity to receive notices. The director may update the notice distribution list from time to time by requesting written indication of continued interest from those listed. The director may delete from the list the name of any person or group who fails to respond to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publish all notices of activities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to the department’s website. If this option is selected for a draft permit, the director must post the draft permit and permit rationale on the website for the duration of the public comment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a period of not less than 30 days following the date of the public notice during which time interested persons may submit their written views on the tentative determinations with respect to the permit application and request a public hearing pursuant to </w:t>
      </w:r>
      <w:hyperlink r:id="rId59">
        <w:r>
          <w:rPr>
            <w:rStyle w:val="Hyperlink"/>
            <w:rFonts w:ascii="Times New Roman" w:hAnsi="Times New Roman"/>
            <w:b w:val="false"/>
            <w:i w:val="false"/>
            <w:color w:val="000000"/>
            <w:sz w:val="22"/>
          </w:rPr>
          <w:t>64.5(6)</w:t>
        </w:r>
      </w:hyperlink>
      <w:r>
        <w:rPr>
          <w:rFonts w:ascii="Times New Roman" w:hAnsi="Times New Roman"/>
          <w:b w:val="false"/>
          <w:i w:val="false"/>
          <w:color w:val="000000"/>
          <w:sz w:val="22"/>
        </w:rPr>
        <w:t xml:space="preserve">. Written comments may be submitted by paper or electronic means. All pertinent comments submitted during the 30-day comment period shall be retained by the department and considered by the director in the formulation of the director’s final determinations with respect to the permit application. The period for comment may be extended at the discretion of the department. Pertinent and significant comments received during either the original comment period or an extended comment period shall be responded to in a responsiveness summary pursuant to </w:t>
      </w:r>
      <w:hyperlink r:id="rId60">
        <w:r>
          <w:rPr>
            <w:rStyle w:val="Hyperlink"/>
            <w:rFonts w:ascii="Times New Roman" w:hAnsi="Times New Roman"/>
            <w:b w:val="false"/>
            <w:i w:val="false"/>
            <w:color w:val="000000"/>
            <w:sz w:val="22"/>
          </w:rPr>
          <w:t>64.5(8)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contents of the public notice of a draft NPDES permit, a major permit amendment, or the denial of a permit application for an NPDES permit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activities or operations which result in the discharge described in the permit application (e.g., municipal waste treatment plant, corn wet milling plant, or meat packing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waterway to which each discharge of the applicant is made and a short description of the location of each discharge of the applicant on the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department’s tentative determination to issue, amend, or deny an NPDES permit for the discharge or discharges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description of the procedures for the formulation of final determinations, including the 30-day comment period required by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procedures for requesting a public hearing and any other means by which interested persons may influence or comment upon those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telephone number, email address, and website of places at which interested persons may obtain further information, request a copy of the tentative determination and any associated documents prepared pursuant to </w:t>
      </w:r>
      <w:hyperlink r:id="rId61">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xml:space="preserve">, request a copy of the permit rationale described in </w:t>
      </w:r>
      <w:hyperlink r:id="rId62">
        <w:r>
          <w:rPr>
            <w:rStyle w:val="Hyperlink"/>
            <w:rFonts w:ascii="Times New Roman" w:hAnsi="Times New Roman"/>
            <w:b w:val="false"/>
            <w:i w:val="false"/>
            <w:color w:val="000000"/>
            <w:sz w:val="22"/>
          </w:rPr>
          <w:t>64.5(3)</w:t>
        </w:r>
      </w:hyperlink>
      <w:r>
        <w:rPr>
          <w:rFonts w:ascii="Times New Roman" w:hAnsi="Times New Roman"/>
          <w:b w:val="false"/>
          <w:i w:val="false"/>
          <w:color w:val="000000"/>
          <w:sz w:val="22"/>
        </w:rPr>
        <w:t>, and inspect and copy permit forms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public notice is required for a minor permit amendment, including but not limited to an amendment to correct typographical errors, include more frequent monitoring requirements, revise interim compliance schedule dates, change an owner or facility name or address, include a local pretreatment program, or remove a point source outfall that does not result in the discharge of pollutants from other outfalls.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public notice is required when a request for a permit amendment or a request for a termination of a permit is denied. The department shall send written notice of the denial to the requester and the permittee only. No public notice is required if an applicant withdraws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color w:val="000000"/>
          <w:sz w:val="22"/>
        </w:rPr>
        <w:t xml:space="preserve">Permit rationales and notices of intent to deny.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made a determination to issue an NPDES permit as described in </w:t>
      </w:r>
      <w:hyperlink r:id="rId63">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the department shall prepare and, upon request, shall send to any person a permit rationale with respect to the application described in the public notice. The contents of such permit rationales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location of the discharge described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quantitative description of the discharge described in the permit application which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average daily discharge in pounds per day of any pollutants which are subject to limitations or prohibitions under </w:t>
      </w:r>
      <w:hyperlink r:id="rId64">
        <w:r>
          <w:rPr>
            <w:rStyle w:val="Hyperlink"/>
            <w:rFonts w:ascii="Times New Roman" w:hAnsi="Times New Roman"/>
            <w:b w:val="false"/>
            <w:i w:val="false"/>
            <w:color w:val="000000"/>
            <w:sz w:val="22"/>
          </w:rPr>
          <w:t>64.7(2)</w:t>
        </w:r>
      </w:hyperlink>
      <w:r>
        <w:rPr>
          <w:rFonts w:ascii="Times New Roman" w:hAnsi="Times New Roman"/>
          <w:b w:val="false"/>
          <w:i w:val="false"/>
          <w:color w:val="000000"/>
          <w:sz w:val="22"/>
        </w:rPr>
        <w:t xml:space="preserve"> or Section 301, 302, 306 or 307 of the Act and regulations published thereunder;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thermal discharges subject to limitation under the Act, the average and maximum summer and winter discharge temperatures in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tentative determinations required under </w:t>
      </w:r>
      <w:hyperlink r:id="rId65">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citation, including a brief identification of the uses for which the receiving waters have been classified, of the water quality standards applicable to the receiving waters and effluent standards and limitations applicable to the proposed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principal facts and the significant factual, legal, methodological, and policy questions considered in the preparation of the draft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calculations or other necessary explanation of the derivation of effluent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made a determination to deny an application for an NPDES permit as described in </w:t>
      </w:r>
      <w:hyperlink r:id="rId66">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the department shall prepare and, upon request, shall send to any person a notice of intent to deny with respect to the application described in the public notice. The contents of such notice of intent to deny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location of the discharge described in the permit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reasons supporting the tentative decision to deny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made a determination to issue an operation permit as described in </w:t>
      </w:r>
      <w:hyperlink r:id="rId67">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the department shall prepare a short description of the waste disposal system and the reasons supporting the decision to issue an operation permit. The description shall be sent to the operation permit applicant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has made a determination to deny an application for an operation permit as described in </w:t>
      </w:r>
      <w:hyperlink r:id="rId68">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the department shall prepare and send written notice of the denial to the applicant only. The written denial shall include a description of the reasons supporting the decision to deny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add the name of any person or group to a distribution list to receive copies of permit rationales and notices of intent to deny and shall send a copy of all permit rationales and notices of intent to deny to such persons or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government agencies. </w:t>
      </w:r>
      <w:r>
        <w:rPr>
          <w:rFonts w:ascii="Times New Roman" w:hAnsi="Times New Roman"/>
          <w:b w:val="false"/>
          <w:i w:val="false"/>
          <w:color w:val="000000"/>
          <w:sz w:val="22"/>
        </w:rPr>
        <w:t xml:space="preserve">Prior to the issuance of an NPDES permit, the department shall notify other appropriate government agencies of each complete application for an NPDES permit and shall provide such agencies an opportunity to submit their written views and recommendations. Notifications may be distributed and written views or recommendations may be submitted by paper or electronic means. Procedures for such notification shall include the procedures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issuance of public notice pursuant to </w:t>
      </w:r>
      <w:hyperlink r:id="rId69">
        <w:r>
          <w:rPr>
            <w:rStyle w:val="Hyperlink"/>
            <w:rFonts w:ascii="Times New Roman" w:hAnsi="Times New Roman"/>
            <w:b w:val="false"/>
            <w:i w:val="false"/>
            <w:color w:val="000000"/>
            <w:sz w:val="22"/>
          </w:rPr>
          <w:t>64.5(2)</w:t>
        </w:r>
      </w:hyperlink>
      <w:r>
        <w:rPr>
          <w:rFonts w:ascii="Times New Roman" w:hAnsi="Times New Roman"/>
          <w:b w:val="false"/>
          <w:i w:val="false"/>
          <w:color w:val="000000"/>
          <w:sz w:val="22"/>
        </w:rPr>
        <w:t>, the department shall transmit the public notice to any other state whose waters may be affected by the issuance of the NPDES permit. Each affected state shall be afforded an opportunity to submit written recommendations to the department and to the regional administrator which the director may incorporate into the permit if issued. Should the director fail to incorporate any written recommendation thus received, the director shall provide to the affected state or states and to the regional administrator a written explanation of the reasons for failing to accept any written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issuance of public notice pursuant to </w:t>
      </w:r>
      <w:hyperlink r:id="rId70">
        <w:r>
          <w:rPr>
            <w:rStyle w:val="Hyperlink"/>
            <w:rFonts w:ascii="Times New Roman" w:hAnsi="Times New Roman"/>
            <w:b w:val="false"/>
            <w:i w:val="false"/>
            <w:color w:val="000000"/>
            <w:sz w:val="22"/>
          </w:rPr>
          <w:t>64.5(2)</w:t>
        </w:r>
      </w:hyperlink>
      <w:r>
        <w:rPr>
          <w:rFonts w:ascii="Times New Roman" w:hAnsi="Times New Roman"/>
          <w:b w:val="false"/>
          <w:i w:val="false"/>
          <w:color w:val="000000"/>
          <w:sz w:val="22"/>
        </w:rPr>
        <w:t>, the department shall send the public notice for proposed discharges (other than minor discharges) into navigable waters to the appropriate district engineer of the army corps of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district engineer for each corps of engineers district within the state may arrange for: notice to the district engineer of minor discharges; waiver by the district engineer of the right to receive public notices with respect to classes, types, and sizes within any category of point sources and with respect to discharges to particular navigable waters or parts thereof; and any procedures for the transmission of forms, period of comment by the district engineer (e.g., 30 days), and for objections of the district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written agreement between the department and a district engineer shall be forwarded to the regional administrator and shall be available to the public for inspection and copying in accordance with </w:t>
      </w:r>
      <w:hyperlink r:id="rId71">
        <w:r>
          <w:rPr>
            <w:rStyle w:val="Hyperlink"/>
            <w:rFonts w:ascii="Times New Roman" w:hAnsi="Times New Roman"/>
            <w:b w:val="false"/>
            <w:i w:val="false"/>
            <w:color w:val="000000"/>
            <w:sz w:val="22"/>
          </w:rPr>
          <w:t>567—Chapter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department shall send the public notice to any other federal, state, or local agency, or any affected county, and provide such agencies an opportunity to respond, comment, or request a public hearing pursuant to </w:t>
      </w:r>
      <w:hyperlink r:id="rId72">
        <w:r>
          <w:rPr>
            <w:rStyle w:val="Hyperlink"/>
            <w:rFonts w:ascii="Times New Roman" w:hAnsi="Times New Roman"/>
            <w:b w:val="false"/>
            <w:i w:val="false"/>
            <w:color w:val="000000"/>
            <w:sz w:val="22"/>
          </w:rPr>
          <w:t>64.5(6)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the public notice for any proposed NPDES permit within the geographical area of a designated and approved management agency under Section 208 of the Act (33 U.S.C.1288).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the public notice to the local board of health for the purpose of assisting the applicant in coordinating the applicable requirements of the Act and Iowa Code chapter </w:t>
      </w:r>
      <w:hyperlink r:id="rId7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with any applicable requirements of the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department shall provide any of the entities listed in </w:t>
      </w:r>
      <w:hyperlink r:id="rId74">
        <w:r>
          <w:rPr>
            <w:rStyle w:val="Hyperlink"/>
            <w:rFonts w:ascii="Times New Roman" w:hAnsi="Times New Roman"/>
            <w:b w:val="false"/>
            <w:i w:val="false"/>
            <w:color w:val="000000"/>
            <w:sz w:val="22"/>
          </w:rPr>
          <w:t>64.5(4)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hyperlink>
      <w:r>
        <w:rPr>
          <w:rFonts w:ascii="Times New Roman" w:hAnsi="Times New Roman"/>
          <w:b w:val="false"/>
          <w:i w:val="false"/>
          <w:color w:val="000000"/>
          <w:sz w:val="22"/>
        </w:rPr>
        <w:t xml:space="preserve"> with a copy of the permit rationale, permit application, or proposed permit prepared pursuant to </w:t>
      </w:r>
      <w:hyperlink r:id="rId75">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NPDES information. </w:t>
      </w:r>
      <w:r>
        <w:rPr>
          <w:rFonts w:ascii="Times New Roman" w:hAnsi="Times New Roman"/>
          <w:b w:val="false"/>
          <w:i w:val="false"/>
          <w:color w:val="000000"/>
          <w:sz w:val="22"/>
        </w:rPr>
        <w:t xml:space="preserve">The records of the department connected with NPDES permits are available for public inspection and copying to the extent provided in </w:t>
      </w:r>
      <w:hyperlink r:id="rId76">
        <w:r>
          <w:rPr>
            <w:rStyle w:val="Hyperlink"/>
            <w:rFonts w:ascii="Times New Roman" w:hAnsi="Times New Roman"/>
            <w:b w:val="false"/>
            <w:i w:val="false"/>
            <w:color w:val="000000"/>
            <w:sz w:val="22"/>
          </w:rPr>
          <w:t>567—Chapter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on proposed NPDES permits. </w:t>
      </w:r>
      <w:r>
        <w:rPr>
          <w:rFonts w:ascii="Times New Roman" w:hAnsi="Times New Roman"/>
          <w:b w:val="false"/>
          <w:i w:val="false"/>
          <w:color w:val="000000"/>
          <w:sz w:val="22"/>
        </w:rPr>
        <w:t xml:space="preserve">The applicant, any affected state, the regional administrator, or any interested agency, person or group of persons may request or petition for a public hearing with respect to an NPDES application. Any such request shall clearly state issues and topics to be addressed at the hearing. Any such request or petition for public hearing must be filed with the director within the 30-day period prescribed in </w:t>
      </w:r>
      <w:hyperlink r:id="rId77">
        <w:r>
          <w:rPr>
            <w:rStyle w:val="Hyperlink"/>
            <w:rFonts w:ascii="Times New Roman" w:hAnsi="Times New Roman"/>
            <w:b w:val="false"/>
            <w:i w:val="false"/>
            <w:color w:val="000000"/>
            <w:sz w:val="22"/>
          </w:rPr>
          <w:t>64.5(2)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shall indicate the interest of the party filing such request and the reasons why a hearing is warranted. The director shall hold an informal and noncontested case hearing if there is a significant public interest (including the filing of requests or petitions for such hearing) in holding such a hearing. Frivolous or insubstantial requests for hearing may be denied by the director. Instances of doubt should be resolved in favor of holding the hearing. Any hearing held pursuant to this subrule shall be held in the geographical area of the proposed discharge when possible, or other appropriate area at the discretion of the director. Web-based hearings may also be held at the discretion of the director. In addition, any hearing held pursuant to this subrule may, as appropriate, consider related groups of permit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w:t>
      </w:r>
      <w:r>
        <w:rPr>
          <w:rFonts w:ascii="Times New Roman" w:hAnsi="Times New Roman"/>
          <w:b w:val="false"/>
          <w:i w:val="false"/>
          <w:color w:val="000000"/>
          <w:sz w:val="22"/>
        </w:rPr>
        <w:t> </w:t>
      </w:r>
      <w:r>
        <w:rPr>
          <w:rFonts w:ascii="Times New Roman" w:hAnsi="Times New Roman"/>
          <w:b w:val="false"/>
          <w:i/>
          <w:color w:val="000000"/>
          <w:sz w:val="22"/>
        </w:rPr>
        <w:t xml:space="preserve">Public notice of public hearings on proposed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of any hearing held pursuant to </w:t>
      </w:r>
      <w:hyperlink r:id="rId78">
        <w:r>
          <w:rPr>
            <w:rStyle w:val="Hyperlink"/>
            <w:rFonts w:ascii="Times New Roman" w:hAnsi="Times New Roman"/>
            <w:b w:val="false"/>
            <w:i w:val="false"/>
            <w:color w:val="000000"/>
            <w:sz w:val="22"/>
          </w:rPr>
          <w:t>64.5(6)</w:t>
        </w:r>
      </w:hyperlink>
      <w:r>
        <w:rPr>
          <w:rFonts w:ascii="Times New Roman" w:hAnsi="Times New Roman"/>
          <w:b w:val="false"/>
          <w:i w:val="false"/>
          <w:color w:val="000000"/>
          <w:sz w:val="22"/>
        </w:rPr>
        <w:t xml:space="preserve"> shall be circulated at least as widely as was the notice of the tentative determinations with respect to the permit application. Notice pursuant to this paragraph shall be made at least 30 days in advance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shall be transmitted to all persons and government agencies which received a copy of the notice for the permit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shall be transmitted to any person or group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public notice of any hearing held pursuant to </w:t>
      </w:r>
      <w:hyperlink r:id="rId79">
        <w:r>
          <w:rPr>
            <w:rStyle w:val="Hyperlink"/>
            <w:rFonts w:ascii="Times New Roman" w:hAnsi="Times New Roman"/>
            <w:b w:val="false"/>
            <w:i w:val="false"/>
            <w:color w:val="000000"/>
            <w:sz w:val="22"/>
          </w:rPr>
          <w:t>64.5(6)</w:t>
        </w:r>
      </w:hyperlink>
      <w:r>
        <w:rPr>
          <w:rFonts w:ascii="Times New Roman" w:hAnsi="Times New Roman"/>
          <w:b w:val="false"/>
          <w:i w:val="false"/>
          <w:color w:val="000000"/>
          <w:sz w:val="22"/>
        </w:rPr>
        <w:t xml:space="preserv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water body to which each discharge is made and a short description of the location of each discharge to the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reference to the public notice issued for each NPDES application, including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or persons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telephone number, email address, and website where interested persons may obtain further information, request a copy of the draft NPDES permit prepared pursuant to </w:t>
      </w:r>
      <w:hyperlink r:id="rId80">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 xml:space="preserve">, request a copy of the permit rationale prepared pursuant to </w:t>
      </w:r>
      <w:hyperlink r:id="rId81">
        <w:r>
          <w:rPr>
            <w:rStyle w:val="Hyperlink"/>
            <w:rFonts w:ascii="Times New Roman" w:hAnsi="Times New Roman"/>
            <w:b w:val="false"/>
            <w:i w:val="false"/>
            <w:color w:val="000000"/>
            <w:sz w:val="22"/>
          </w:rPr>
          <w:t>64.5(3)</w:t>
        </w:r>
      </w:hyperlink>
      <w:r>
        <w:rPr>
          <w:rFonts w:ascii="Times New Roman" w:hAnsi="Times New Roman"/>
          <w:b w:val="false"/>
          <w:i w:val="false"/>
          <w:color w:val="000000"/>
          <w:sz w:val="22"/>
        </w:rPr>
        <w:t>, and inspect and copy permit forms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final date for submission of comments regarding the tentative determinations with respect to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64.5(8)</w:t>
      </w:r>
      <w:r>
        <w:rPr>
          <w:rFonts w:ascii="Times New Roman" w:hAnsi="Times New Roman"/>
          <w:b w:val="false"/>
          <w:i w:val="false"/>
          <w:color w:val="000000"/>
          <w:sz w:val="22"/>
        </w:rPr>
        <w:t> </w:t>
      </w:r>
      <w:r>
        <w:rPr>
          <w:rFonts w:ascii="Times New Roman" w:hAnsi="Times New Roman"/>
          <w:b w:val="false"/>
          <w:i/>
          <w:color w:val="000000"/>
          <w:sz w:val="22"/>
        </w:rPr>
        <w:t xml:space="preserve">Response to comments. </w:t>
      </w:r>
      <w:r>
        <w:rPr>
          <w:rFonts w:ascii="Times New Roman" w:hAnsi="Times New Roman"/>
          <w:b w:val="false"/>
          <w:i w:val="false"/>
          <w:color w:val="000000"/>
          <w:sz w:val="22"/>
        </w:rPr>
        <w:t>At the time a final NPDES permit is issued, the director shall issue a response to significant and pertinent comments in the form of a responsiveness summary. A copy of the responsiveness summary shall be sent to the permit applicant, and the document shall be made available to the public upon request. The responsiveness summary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which provisions, if any, of the draft permit have been changed in the final permit decision and the reasons for the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Briefly describe and respond to all significant and pertinent comments on the draft permit raised during the public comment period provided for in the public notice or during any hearing. Comments on a draft permit may be submitted by paper or electronic means or orally at a public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0529C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Completing a Notice of Intent for coverage under a general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complete Notice of Intent. </w:t>
      </w:r>
      <w:r>
        <w:rPr>
          <w:rFonts w:ascii="Times New Roman" w:hAnsi="Times New Roman"/>
          <w:b w:val="false"/>
          <w:i w:val="false"/>
          <w:color w:val="000000"/>
          <w:sz w:val="22"/>
        </w:rPr>
        <w:t xml:space="preserve">An applicant proposing to conduct activities covered by a general permit shall file a complete NOI by submitting to the department materials required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as applicable. An NOI is not required for discharges authorized under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6 or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 for certain discharges under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8, or for certain discharges under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(NOI) Form. </w:t>
      </w:r>
      <w:r>
        <w:rPr>
          <w:rFonts w:ascii="Times New Roman" w:hAnsi="Times New Roman"/>
          <w:b w:val="false"/>
          <w:i w:val="false"/>
          <w:color w:val="000000"/>
          <w:sz w:val="22"/>
        </w:rPr>
        <w:t>Electronic NOI forms provided by the department must be completed in full on the department’s website. Paper NOI forms, when provided, must be completed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permit fee. </w:t>
      </w:r>
      <w:r>
        <w:rPr>
          <w:rFonts w:ascii="Times New Roman" w:hAnsi="Times New Roman"/>
          <w:b w:val="false"/>
          <w:i w:val="false"/>
          <w:color w:val="000000"/>
          <w:sz w:val="22"/>
        </w:rPr>
        <w:t xml:space="preserve">The applicable general permit fee according to the schedule in </w:t>
      </w:r>
      <w:hyperlink r:id="rId82">
        <w:r>
          <w:rPr>
            <w:rStyle w:val="Hyperlink"/>
            <w:rFonts w:ascii="Times New Roman" w:hAnsi="Times New Roman"/>
            <w:b w:val="false"/>
            <w:i w:val="false"/>
            <w:color w:val="000000"/>
            <w:sz w:val="22"/>
          </w:rPr>
          <w:t>567—64.16</w:t>
        </w:r>
      </w:hyperlink>
      <w:r>
        <w:rPr>
          <w:rFonts w:ascii="Times New Roman" w:hAnsi="Times New Roman"/>
          <w:b w:val="false"/>
          <w:i w:val="false"/>
          <w:color w:val="000000"/>
          <w:sz w:val="22"/>
        </w:rPr>
        <w:t>(455B) is payable to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The public notification requirements only apply to General Permits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for General Permits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3 must demonstrate that a public notice was published in at least one newspaper with the largest circulation in the area in which the facility is located or the activity will 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newspaper notice shall, at the minimum, contain the following information:</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PUBLIC NOTICE OF STORM WATER DISCHARGE</w:t>
      </w:r>
    </w:p>
    <w:p>
      <w:pPr>
        <w:spacing w:before="0" w:after="0"/>
        <w:ind w:left="120"/>
        <w:jc w:val="both"/>
      </w:pPr>
      <w:r>
        <w:rPr>
          <w:rFonts w:ascii="Times New Roman" w:hAnsi="Times New Roman"/>
          <w:b w:val="false"/>
          <w:i w:val="false"/>
          <w:color w:val="000000"/>
          <w:sz w:val="22"/>
        </w:rPr>
        <w:t>The (applicant name) plans to submit a Notice of Intent to the Iowa Department of Natural Resources to be covered under NPDES General Permit (select the appropriate general permit—No.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“Storm Water Discharge Associated with Industrial Activity”,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“Storm Water Discharge Associated with Industrial Activity for Construction Activities” or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“Storm Water Discharge Associated with Industrial Activity for Asphalt Plants, Concrete Batch Plants, Rock Crushing Plants, and Construction Sand and Gravel Facilities”). The storm water discharge will be from (description of industrial activity) located in (¼ section, township, range, county). Storm water will be discharged from (number) point source(s) and will be discharged to the following streams: (stream name(s)).</w:t>
      </w:r>
    </w:p>
    <w:p>
      <w:pPr>
        <w:spacing w:before="0" w:after="0"/>
        <w:ind w:left="120"/>
        <w:jc w:val="both"/>
      </w:pPr>
      <w:r>
        <w:rPr>
          <w:rFonts w:ascii="Times New Roman" w:hAnsi="Times New Roman"/>
          <w:b w:val="false"/>
          <w:i w:val="false"/>
          <w:color w:val="000000"/>
          <w:sz w:val="22"/>
        </w:rPr>
        <w:t>Comments may be submitted to the Storm Water Discharge Coordinator, Iowa Department of Natural Resources, 502 East 9th Street, Des Moines, Iowa 50319-0034. The public may review the Notice of Intent from 8 a.m.to 4:30 p.m., Monday through Friday, at the above address after it has been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discharge under a general permit. </w:t>
      </w:r>
      <w:r>
        <w:rPr>
          <w:rFonts w:ascii="Times New Roman" w:hAnsi="Times New Roman"/>
          <w:b w:val="false"/>
          <w:i w:val="false"/>
          <w:color w:val="000000"/>
          <w:sz w:val="22"/>
        </w:rPr>
        <w:t xml:space="preserve">Upon the submittal of a complete NOI in accordance with </w:t>
      </w:r>
      <w:hyperlink r:id="rId83">
        <w:r>
          <w:rPr>
            <w:rStyle w:val="Hyperlink"/>
            <w:rFonts w:ascii="Times New Roman" w:hAnsi="Times New Roman"/>
            <w:b w:val="false"/>
            <w:i w:val="false"/>
            <w:color w:val="000000"/>
            <w:sz w:val="22"/>
          </w:rPr>
          <w:t>64.6(1)</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64.3(4)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applicant is authorized to discharge after the department has determined that the contents of the NOI satisfy the requirements of </w:t>
      </w:r>
      <w:hyperlink r:id="rId85">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evaluated the NOI, and determined that the proposed discharge meets the requirements of the general permit. The applicant will receive notification from the department of coverage under the general permit. If any of the items required for filing an NOI specified in </w:t>
      </w:r>
      <w:hyperlink r:id="rId86">
        <w:r>
          <w:rPr>
            <w:rStyle w:val="Hyperlink"/>
            <w:rFonts w:ascii="Times New Roman" w:hAnsi="Times New Roman"/>
            <w:b w:val="false"/>
            <w:i w:val="false"/>
            <w:color w:val="000000"/>
            <w:sz w:val="22"/>
          </w:rPr>
          <w:t>64.6(1)</w:t>
        </w:r>
      </w:hyperlink>
      <w:r>
        <w:rPr>
          <w:rFonts w:ascii="Times New Roman" w:hAnsi="Times New Roman"/>
          <w:b w:val="false"/>
          <w:i w:val="false"/>
          <w:color w:val="000000"/>
          <w:sz w:val="22"/>
        </w:rPr>
        <w:t xml:space="preserve"> are missing, the department will consider the application incomplete and will notify the applicant of the incomplete items. If the discharge described in the NOI does not meet the requirements of the general permit, the NOI may be denied. The department will notify applicants of denial within 30 days.</w:t>
      </w:r>
    </w:p>
    <w:p>
      <w:pPr>
        <w:spacing w:before="0" w:after="0"/>
        <w:ind w:left="120"/>
        <w:jc w:val="both"/>
      </w:pPr>
      <w:r>
        <w:rPr>
          <w:rFonts w:ascii="Times New Roman" w:hAnsi="Times New Roman"/>
          <w:b w:val="false"/>
          <w:i w:val="false"/>
          <w:color w:val="000000"/>
          <w:sz w:val="22"/>
        </w:rPr>
        <w:t xml:space="preserve">Authorization to discharge is automatic only for the general permits that do not require an NOI under </w:t>
      </w:r>
      <w:hyperlink r:id="rId87">
        <w:r>
          <w:rPr>
            <w:rStyle w:val="Hyperlink"/>
            <w:rFonts w:ascii="Times New Roman" w:hAnsi="Times New Roman"/>
            <w:b w:val="false"/>
            <w:i w:val="false"/>
            <w:color w:val="000000"/>
            <w:sz w:val="22"/>
          </w:rPr>
          <w:t>64.3(4)</w:t>
        </w:r>
      </w:hyperlink>
      <w:r>
        <w:rPr>
          <w:rFonts w:ascii="Times New Roman" w:hAnsi="Times New Roman"/>
          <w:b w:val="false"/>
          <w:i w:val="false"/>
          <w:color w:val="000000"/>
          <w:sz w:val="22"/>
        </w:rPr>
        <w:t>, provided the discharge is a covered activity and the permittee complies with all applicable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w:t>
      </w:r>
      <w:r>
        <w:rPr>
          <w:rFonts w:ascii="Times New Roman" w:hAnsi="Times New Roman"/>
          <w:b w:val="false"/>
          <w:i w:val="false"/>
          <w:color w:val="000000"/>
          <w:sz w:val="22"/>
        </w:rPr>
        <w:t> </w:t>
      </w:r>
      <w:r>
        <w:rPr>
          <w:rFonts w:ascii="Times New Roman" w:hAnsi="Times New Roman"/>
          <w:b w:val="false"/>
          <w:i/>
          <w:color w:val="000000"/>
          <w:sz w:val="22"/>
        </w:rPr>
        <w:t xml:space="preserve">General permit suspension or revocation. </w:t>
      </w:r>
      <w:r>
        <w:rPr>
          <w:rFonts w:ascii="Times New Roman" w:hAnsi="Times New Roman"/>
          <w:b w:val="false"/>
          <w:i w:val="false"/>
          <w:color w:val="000000"/>
          <w:sz w:val="22"/>
        </w:rPr>
        <w:t xml:space="preserve">In addition to the causes for suspension or revocation which are listed in </w:t>
      </w:r>
      <w:hyperlink r:id="rId88">
        <w:r>
          <w:rPr>
            <w:rStyle w:val="Hyperlink"/>
            <w:rFonts w:ascii="Times New Roman" w:hAnsi="Times New Roman"/>
            <w:b w:val="false"/>
            <w:i w:val="false"/>
            <w:color w:val="000000"/>
            <w:sz w:val="22"/>
          </w:rPr>
          <w:t>64.3(11)</w:t>
        </w:r>
      </w:hyperlink>
      <w:r>
        <w:rPr>
          <w:rFonts w:ascii="Times New Roman" w:hAnsi="Times New Roman"/>
          <w:b w:val="false"/>
          <w:i w:val="false"/>
          <w:color w:val="000000"/>
          <w:sz w:val="22"/>
        </w:rPr>
        <w:t xml:space="preserve">, the director may suspend or revoke coverage under a general permit issued to a facility or a class of facilities for the following reasons and require the applicant to apply for an individual NPDES permit in accordance with </w:t>
      </w:r>
      <w:hyperlink r:id="rId89">
        <w:r>
          <w:rPr>
            <w:rStyle w:val="Hyperlink"/>
            <w:rFonts w:ascii="Times New Roman" w:hAnsi="Times New Roman"/>
            <w:b w:val="false"/>
            <w:i w:val="false"/>
            <w:color w:val="000000"/>
            <w:sz w:val="22"/>
          </w:rPr>
          <w:t>64.3(4)</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would not comply with Iowa’s water quality standards pursuant to </w:t>
      </w:r>
      <w:hyperlink r:id="rId90">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the activities associated with an NOI filed with the department do not meet the conditions of the applicable general permit,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finds that any discharge covered under a general permit is not managed in a manner consistent with the conditions specified in the applicable general permit.</w:t>
      </w:r>
    </w:p>
    <w:p>
      <w:pPr>
        <w:spacing w:before="0" w:after="0"/>
        <w:ind w:left="120"/>
        <w:jc w:val="both"/>
      </w:pPr>
      <w:r>
        <w:rPr>
          <w:rFonts w:ascii="Times New Roman" w:hAnsi="Times New Roman"/>
          <w:b w:val="false"/>
          <w:i w:val="false"/>
          <w:color w:val="000000"/>
          <w:sz w:val="22"/>
        </w:rPr>
        <w:t>The department will notify the affected discharger and establish a deadline, not longer than one year, for submitting an individual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64.6(4)</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individual NPDES permit holders. </w:t>
      </w:r>
      <w:r>
        <w:rPr>
          <w:rFonts w:ascii="Times New Roman" w:hAnsi="Times New Roman"/>
          <w:b w:val="false"/>
          <w:i w:val="false"/>
          <w:color w:val="000000"/>
          <w:sz w:val="22"/>
        </w:rPr>
        <w:t xml:space="preserve">A person holding an individual NPDES permit for an activity covered by a general permit may apply for coverage under a general permit by filing an NOI according to procedures described in </w:t>
      </w:r>
      <w:hyperlink r:id="rId91">
        <w:r>
          <w:rPr>
            <w:rStyle w:val="Hyperlink"/>
            <w:rFonts w:ascii="Times New Roman" w:hAnsi="Times New Roman"/>
            <w:b w:val="false"/>
            <w:i w:val="false"/>
            <w:color w:val="000000"/>
            <w:sz w:val="22"/>
          </w:rPr>
          <w:t>64.3(4)</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567—64.6</w:t>
        </w:r>
      </w:hyperlink>
      <w:r>
        <w:rPr>
          <w:rFonts w:ascii="Times New Roman" w:hAnsi="Times New Roman"/>
          <w:b w:val="false"/>
          <w:i w:val="false"/>
          <w:color w:val="000000"/>
          <w:sz w:val="22"/>
        </w:rPr>
        <w:t>(455B). In addition to these requirements, the permittee must submit a written request, with the NOI, to close or revoke the individual NPDES permit or to amend the individual NPDES permit to remove the general permit-covered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 NOI and request for closure, revocation or amendment of an individual NPDES permit, the applicant shall be authorized to discharge under the general permit in accordance with </w:t>
      </w:r>
      <w:hyperlink r:id="rId93">
        <w:r>
          <w:rPr>
            <w:rStyle w:val="Hyperlink"/>
            <w:rFonts w:ascii="Times New Roman" w:hAnsi="Times New Roman"/>
            <w:b w:val="false"/>
            <w:i w:val="false"/>
            <w:color w:val="000000"/>
            <w:sz w:val="22"/>
          </w:rPr>
          <w:t>64.6(2)</w:t>
        </w:r>
      </w:hyperlink>
      <w:r>
        <w:rPr>
          <w:rFonts w:ascii="Times New Roman" w:hAnsi="Times New Roman"/>
          <w:b w:val="false"/>
          <w:i w:val="false"/>
          <w:color w:val="000000"/>
          <w:sz w:val="22"/>
        </w:rPr>
        <w:t>. The applicant will receive notification by the department of coverage under the general permit and of the closure, revocation or amendment of the individual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Authorization to discharge under a general permit that does not require an NOI will be automatic in accordance with </w:t>
      </w:r>
      <w:hyperlink r:id="rId94">
        <w:r>
          <w:rPr>
            <w:rStyle w:val="Hyperlink"/>
            <w:rFonts w:ascii="Times New Roman" w:hAnsi="Times New Roman"/>
            <w:b w:val="false"/>
            <w:i w:val="false"/>
            <w:color w:val="000000"/>
            <w:sz w:val="22"/>
          </w:rPr>
          <w:t>64.6(2)</w:t>
        </w:r>
      </w:hyperlink>
      <w:r>
        <w:rPr>
          <w:rFonts w:ascii="Times New Roman" w:hAnsi="Times New Roman"/>
          <w:b w:val="false"/>
          <w:i w:val="false"/>
          <w:color w:val="000000"/>
          <w:sz w:val="22"/>
        </w:rPr>
        <w:t xml:space="preserve"> and shall commence upon completion of individual NPDES permit closure, revocation, 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NPDES permit amendments under this subrule shall follow the applicable public notice procedures in </w:t>
      </w:r>
      <w:hyperlink r:id="rId95">
        <w:r>
          <w:rPr>
            <w:rStyle w:val="Hyperlink"/>
            <w:rFonts w:ascii="Times New Roman" w:hAnsi="Times New Roman"/>
            <w:b w:val="false"/>
            <w:i w:val="false"/>
            <w:color w:val="000000"/>
            <w:sz w:val="22"/>
          </w:rPr>
          <w:t>567—64.5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64.6(5)</w:t>
      </w:r>
      <w:r>
        <w:rPr>
          <w:rFonts w:ascii="Times New Roman" w:hAnsi="Times New Roman"/>
          <w:b w:val="false"/>
          <w:i w:val="false"/>
          <w:color w:val="000000"/>
          <w:sz w:val="22"/>
        </w:rPr>
        <w:t> </w:t>
      </w:r>
      <w:r>
        <w:rPr>
          <w:rFonts w:ascii="Times New Roman" w:hAnsi="Times New Roman"/>
          <w:b w:val="false"/>
          <w:i/>
          <w:color w:val="000000"/>
          <w:sz w:val="22"/>
        </w:rPr>
        <w:t xml:space="preserve">Filing a Notice of Discontinuation. </w:t>
      </w:r>
      <w:r>
        <w:rPr>
          <w:rFonts w:ascii="Times New Roman" w:hAnsi="Times New Roman"/>
          <w:b w:val="false"/>
          <w:i w:val="false"/>
          <w:color w:val="000000"/>
          <w:sz w:val="22"/>
        </w:rPr>
        <w:t>A notice to discontinue discharge associated with an activity covered by a general permit shall be made electronically or in writing to the department in accordance with the conditions established in each general permit.</w:t>
      </w:r>
    </w:p>
    <w:p>
      <w:pPr>
        <w:spacing w:before="0" w:after="0"/>
        <w:ind w:left="120"/>
        <w:jc w:val="both"/>
      </w:pPr>
      <w:r>
        <w:rPr>
          <w:rFonts w:ascii="Times New Roman" w:hAnsi="Times New Roman"/>
          <w:b w:val="false"/>
          <w:i w:val="false"/>
          <w:color w:val="000000"/>
          <w:sz w:val="22"/>
        </w:rPr>
        <w:t>The notice of discontinuation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facility to which the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permit number and permit authorization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permitted activity was, or will be, discontinued,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certification in accordance with the requirements in the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64.6(6)</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ownership—construction activity part of a larger common plan of development. </w:t>
      </w:r>
      <w:r>
        <w:rPr>
          <w:rFonts w:ascii="Times New Roman" w:hAnsi="Times New Roman"/>
          <w:b w:val="false"/>
          <w:i w:val="false"/>
          <w:color w:val="000000"/>
          <w:sz w:val="22"/>
        </w:rPr>
        <w:t>For construction activity which is part of a larger common plan of development, such as a housing or commercial development project, in the event a permittee transfers ownership of all or any part of property subject to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both the permittee and transferee shall be responsible for compliance with the provisions of the general permit for that portion of the project which has been transferred, including when the transferred property is less than one acre in area,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transferee is notified in writing of the existence and location of the general permit and pollution prevention plan, and of the transferee’s duty to comply, and proof of such notice is included with the notice to the department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transferee agrees, in writing, to become the sole responsible permittee for the property which has been transferred, then the transferee shall be solely responsible for compliance with the provisions of the general permit for the transferred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transferee agrees, in writing, to obtain coverage under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for the property which has been transferred, then the transferee is required to obtain coverage under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for the transferred property. After the transferee has agreed, in writing, to obtain coverage under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for the transferred property, the authorization issued under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to the transferor for the transferred property shall be considered by the department as not providing NPDES permit coverage for the transferred property and the transferor’s authorization issued under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for, and only for, the transferred property shall be deemed by the department as being discontinued without further action of the transferor.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notices as described in this subrule shall contain the name of the development as submitted to the department in the original Notice of Intent and as modified by any subsequent written notices of name changes submitted to the department, the authorization number assigned to the authorization by the department, the legal description of the transferred property including lot number, if any, and any other information necessary to precisely locate the transferred property and to establish the legality of the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8520B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1337C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3786C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567—64.7</w:t>
      </w:r>
      <w:r>
        <w:rPr>
          <w:rFonts w:ascii="Times New Roman" w:hAnsi="Times New Roman"/>
          <w:b/>
          <w:i w:val="false"/>
          <w:color w:val="000000"/>
          <w:sz w:val="22"/>
        </w:rPr>
        <w:t xml:space="preserve">(455B) </w:t>
      </w:r>
      <w:r>
        <w:rPr>
          <w:rFonts w:ascii="Times New Roman" w:hAnsi="Times New Roman"/>
          <w:b/>
          <w:i w:val="false"/>
          <w:color w:val="000000"/>
          <w:sz w:val="22"/>
        </w:rPr>
        <w:t xml:space="preserve">Terms and conditions of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color w:val="000000"/>
          <w:sz w:val="22"/>
        </w:rPr>
        <w:t xml:space="preserve">Prohibited discharges. </w:t>
      </w:r>
      <w:r>
        <w:rPr>
          <w:rFonts w:ascii="Times New Roman" w:hAnsi="Times New Roman"/>
          <w:b w:val="false"/>
          <w:i w:val="false"/>
          <w:color w:val="000000"/>
          <w:sz w:val="22"/>
        </w:rPr>
        <w:t xml:space="preserve">No NPDES permit may authorize any of the discharges prohibited by </w:t>
      </w:r>
      <w:hyperlink r:id="rId96">
        <w:r>
          <w:rPr>
            <w:rStyle w:val="Hyperlink"/>
            <w:rFonts w:ascii="Times New Roman" w:hAnsi="Times New Roman"/>
            <w:b w:val="false"/>
            <w:i w:val="false"/>
            <w:color w:val="000000"/>
            <w:sz w:val="22"/>
          </w:rPr>
          <w:t>567—62.1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effluent, pretreatment and water quality standards and other requirements. </w:t>
      </w:r>
      <w:r>
        <w:rPr>
          <w:rFonts w:ascii="Times New Roman" w:hAnsi="Times New Roman"/>
          <w:b w:val="false"/>
          <w:i w:val="false"/>
          <w:color w:val="000000"/>
          <w:sz w:val="22"/>
        </w:rPr>
        <w:t>Each NPDES permit shall include any of the following that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effluent limitation guideline promulgated by the administrator under Sections 301 and 304 of the Act and adopted by reference by the commission in </w:t>
      </w:r>
      <w:hyperlink r:id="rId97">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standard of performance for a new source promulgated by the administrator under Section 306 of the Act and adopted by reference by the commission in </w:t>
      </w:r>
      <w:hyperlink r:id="rId98">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effluent standard, effluent prohibition or pretreatment standard promulgated by the administrator under Section 307 of the Act and adopted by reference by the commission in </w:t>
      </w:r>
      <w:hyperlink r:id="rId99">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 xml:space="preserve">(455B) or </w:t>
      </w:r>
      <w:hyperlink r:id="rId100">
        <w:r>
          <w:rPr>
            <w:rStyle w:val="Hyperlink"/>
            <w:rFonts w:ascii="Times New Roman" w:hAnsi="Times New Roman"/>
            <w:b w:val="false"/>
            <w:i w:val="false"/>
            <w:color w:val="000000"/>
            <w:sz w:val="22"/>
          </w:rPr>
          <w:t>567—62.5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quality related effluent limitation established by the administrator pursuant to Section 302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promulgation by the administrator of applicable effluent and pretreatment standards under Sections 301, 302, 306, and 307 of the Act, such conditions as the director determines are necessary to carry out the provisions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limitation, including those: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Necessary to meet water quality standards, treatment or pretreatment standards, or schedules of compliance established pursuant to any Iowa law or regulation, or to implement the antidegradation policy in </w:t>
      </w:r>
      <w:hyperlink r:id="rId101">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to meet any other federal law or regulation;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Required to implement any applicable water quality standards;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legally applicable requirement necessary to implement total maximum daily loads established pursuant to Section 303(d) of the Act and incorporated in the continuing planning process approved under Section 303(e) of the Act and any regulations and guidelines issued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limitation necessary to comply with the antidegradation policy requirements of </w:t>
      </w:r>
      <w:hyperlink r:id="rId102">
        <w:r>
          <w:rPr>
            <w:rStyle w:val="Hyperlink"/>
            <w:rFonts w:ascii="Times New Roman" w:hAnsi="Times New Roman"/>
            <w:b w:val="false"/>
            <w:i w:val="false"/>
            <w:color w:val="000000"/>
            <w:sz w:val="22"/>
          </w:rPr>
          <w:t>567—subrule 61.2(2)</w:t>
        </w:r>
      </w:hyperlink>
      <w:r>
        <w:rPr>
          <w:rFonts w:ascii="Times New Roman" w:hAnsi="Times New Roman"/>
          <w:b w:val="false"/>
          <w:i w:val="false"/>
          <w:color w:val="000000"/>
          <w:sz w:val="22"/>
        </w:rPr>
        <w:t xml:space="preserve"> implemented according to procedures hereby incorporated by reference and known as the “Iowa Antidegradation Implementation Procedure,” effective August 12, 2016. This document may be obtained on the department’s website at: </w:t>
      </w:r>
      <w:hyperlink r:id="rId103">
        <w:r>
          <w:rPr>
            <w:rStyle w:val="Hyperlink"/>
            <w:rFonts w:ascii="Times New Roman" w:hAnsi="Times New Roman"/>
            <w:b w:val="false"/>
            <w:i w:val="false"/>
            <w:color w:val="000000"/>
            <w:sz w:val="22"/>
            <w:u w:val="single"/>
          </w:rPr>
          <w:t>www.iowadnr.gov/Environmental-Protection/Water-Quality/Water-Quality-Standards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Limitations must control all pollutants or pollutant parameters which the director determines are or may be discharged at a level which will cause, have the reasonable potential to cause, or contribute to an excursion above any water quality standard, including narrative criteria, in </w:t>
      </w:r>
      <w:hyperlink r:id="rId104">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When the permitting authority determines that a discharge causes, has the reasonable potential to cause, or contributes to an in-stream excursion of the water quality standard for an individual pollutant, the permit must contain effluent limits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more stringent legally applicable requirements necessary to comply with a plan approved pursuant to Section 208(b) of the Act.</w:t>
      </w:r>
    </w:p>
    <w:p>
      <w:pPr>
        <w:spacing w:before="0" w:after="0"/>
        <w:ind w:left="120"/>
        <w:jc w:val="both"/>
      </w:pPr>
      <w:r>
        <w:rPr>
          <w:rFonts w:ascii="Times New Roman" w:hAnsi="Times New Roman"/>
          <w:b w:val="false"/>
          <w:i w:val="false"/>
          <w:color w:val="000000"/>
          <w:sz w:val="22"/>
        </w:rPr>
        <w:t xml:space="preserve">In any case where an NPDES permit applies to effluent standards and limitations described in paragraph </w:t>
      </w:r>
      <w:r>
        <w:rPr>
          <w:rFonts w:ascii="Times New Roman" w:hAnsi="Times New Roman"/>
          <w:b w:val="false"/>
          <w:i/>
          <w:color w:val="000000"/>
          <w:sz w:val="22"/>
        </w:rPr>
        <w:t>“a,” “b,” “c,” “d,” “e,” “f,” “g,”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the director must state that the discharge authorized by the permit will not violate applicable water quality standards and must have prepared some verification of that statement. In any case where an NPDES permit applies any more stringent effluent limitation, described in </w:t>
      </w:r>
      <w:hyperlink r:id="rId105">
        <w:r>
          <w:rPr>
            <w:rStyle w:val="Hyperlink"/>
            <w:rFonts w:ascii="Times New Roman" w:hAnsi="Times New Roman"/>
            <w:b w:val="false"/>
            <w:i w:val="false"/>
            <w:color w:val="000000"/>
            <w:sz w:val="22"/>
          </w:rPr>
          <w:t>64.7(2)</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r>
        <w:rPr>
          <w:rFonts w:ascii="Times New Roman" w:hAnsi="Times New Roman"/>
          <w:b w:val="false"/>
          <w:i/>
          <w:color w:val="000000"/>
          <w:sz w:val="22"/>
        </w:rPr>
        <w:t>“g,”</w:t>
      </w:r>
      <w:r>
        <w:rPr>
          <w:rFonts w:ascii="Times New Roman" w:hAnsi="Times New Roman"/>
          <w:b w:val="false"/>
          <w:i w:val="false"/>
          <w:color w:val="000000"/>
          <w:sz w:val="22"/>
        </w:rPr>
        <w:t xml:space="preserve"> based upon applicable water quality standards, a waste load allocation must be prepared to ensure that the discharge authorized by the permit is consistent with applicable water quality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in issued NPDES permits. </w:t>
      </w:r>
      <w:r>
        <w:rPr>
          <w:rFonts w:ascii="Times New Roman" w:hAnsi="Times New Roman"/>
          <w:b w:val="false"/>
          <w:i w:val="false"/>
          <w:color w:val="000000"/>
          <w:sz w:val="22"/>
        </w:rPr>
        <w:t xml:space="preserve">In the application of effluent standards, and limitations, water quality standards, and other legally applicable requirements, pursuant to </w:t>
      </w:r>
      <w:hyperlink r:id="rId106">
        <w:r>
          <w:rPr>
            <w:rStyle w:val="Hyperlink"/>
            <w:rFonts w:ascii="Times New Roman" w:hAnsi="Times New Roman"/>
            <w:b w:val="false"/>
            <w:i w:val="false"/>
            <w:color w:val="000000"/>
            <w:sz w:val="22"/>
          </w:rPr>
          <w:t>64.7(2)</w:t>
        </w:r>
      </w:hyperlink>
      <w:r>
        <w:rPr>
          <w:rFonts w:ascii="Times New Roman" w:hAnsi="Times New Roman"/>
          <w:b w:val="false"/>
          <w:i w:val="false"/>
          <w:color w:val="000000"/>
          <w:sz w:val="22"/>
        </w:rPr>
        <w:t>, the director shall, for each issued NPDES permit, specify average and maximum daily quantitative limitations for the level of pollutants in the authorized discharge in terms of weight (except pH, temperature, radiation, and any other pollutants not appropriately expressed by weight). The director may, in addition to the specification of daily quantitative limitations by weight, specify other limitations such as average or maximum concentration limits, for the level of pollutants authorized in the discharge.</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COMMENT.</w:t>
      </w:r>
      <w:r>
        <w:rPr>
          <w:rFonts w:ascii="Times New Roman" w:hAnsi="Times New Roman"/>
          <w:b w:val="false"/>
          <w:i w:val="false"/>
          <w:color w:val="000000"/>
          <w:sz w:val="22"/>
        </w:rPr>
        <w:t xml:space="preserve"> The manner in which effluent limitations are expressed will depend upon the nature of the discharge. Continuous discharges shall be limited by daily loading figures and, where appropriate, may be limited as to concentration or discharge rate (e.g., for toxic or highly variable continuous discharges). Batch discharges should be more particularly described and limited in terms of (i) frequency (e.g., to occur not more than once every three weeks), (ii) total weight (e.g., not to exceed 300 pounds per batch discharge), (iii) maximum rate of discharge of pollutants during the batch discharge (e.g., not to exceed 2 pounds per minute), and (iv) prohibition or limitation by weight, concentration, or other appropriate measure of specified pollutants (e.g., shall not contain at any time more than 0.1 ppm zinc or more than ¼ pound of zinc in any batch discharge). Other intermittent discharges, such as recirculation blowdown, should be particularly limited to comply with any applicable water quality standards and effluent standards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64.7(4)</w:t>
      </w:r>
      <w:r>
        <w:rPr>
          <w:rFonts w:ascii="Times New Roman" w:hAnsi="Times New Roman"/>
          <w:b w:val="false"/>
          <w:i w:val="false"/>
          <w:color w:val="000000"/>
          <w:sz w:val="22"/>
        </w:rPr>
        <w:t> </w:t>
      </w:r>
      <w:r>
        <w:rPr>
          <w:rFonts w:ascii="Times New Roman" w:hAnsi="Times New Roman"/>
          <w:b w:val="false"/>
          <w:i/>
          <w:color w:val="000000"/>
          <w:sz w:val="22"/>
        </w:rPr>
        <w:t xml:space="preserve">Schedules of compliance in issued NPDES permits. </w:t>
      </w:r>
      <w:r>
        <w:rPr>
          <w:rFonts w:ascii="Times New Roman" w:hAnsi="Times New Roman"/>
          <w:b w:val="false"/>
          <w:i w:val="false"/>
          <w:color w:val="000000"/>
          <w:sz w:val="22"/>
        </w:rPr>
        <w:t>The director shall follow the following procedure in setting schedules in NPDES permit conditions to achieve compliance with applicable effluent standards and limitations, water quality standards, and other legally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any discharge which is not in compliance with applicable effluent standards and limitations, applicable water quality standards, or other legally applicable requirements listed in </w:t>
      </w:r>
      <w:hyperlink r:id="rId107">
        <w:r>
          <w:rPr>
            <w:rStyle w:val="Hyperlink"/>
            <w:rFonts w:ascii="Times New Roman" w:hAnsi="Times New Roman"/>
            <w:b w:val="false"/>
            <w:i w:val="false"/>
            <w:color w:val="000000"/>
            <w:sz w:val="22"/>
          </w:rPr>
          <w:t>64.7(2)</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64.7(2)</w:t>
        </w:r>
        <w:r>
          <w:rPr>
            <w:rFonts w:ascii="Times New Roman" w:hAnsi="Times New Roman"/>
            <w:b w:val="false"/>
            <w:i/>
            <w:color w:val="000000"/>
            <w:sz w:val="22"/>
          </w:rPr>
          <w:t>“g,”</w:t>
        </w:r>
      </w:hyperlink>
      <w:r>
        <w:rPr>
          <w:rFonts w:ascii="Times New Roman" w:hAnsi="Times New Roman"/>
          <w:b w:val="false"/>
          <w:i w:val="false"/>
          <w:color w:val="000000"/>
          <w:sz w:val="22"/>
        </w:rPr>
        <w:t xml:space="preserve"> the permittee shall be required to take specific steps to achieve compliance with: applicable effluent standards and limitations; if more stringent, water quality standards; or if more stringent, legally applicable requirements listed in </w:t>
      </w:r>
      <w:hyperlink r:id="rId109">
        <w:r>
          <w:rPr>
            <w:rStyle w:val="Hyperlink"/>
            <w:rFonts w:ascii="Times New Roman" w:hAnsi="Times New Roman"/>
            <w:b w:val="false"/>
            <w:i w:val="false"/>
            <w:color w:val="000000"/>
            <w:sz w:val="22"/>
          </w:rPr>
          <w:t>64.7(2)</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64.7(2)</w:t>
        </w:r>
        <w:r>
          <w:rPr>
            <w:rFonts w:ascii="Times New Roman" w:hAnsi="Times New Roman"/>
            <w:b w:val="false"/>
            <w:i/>
            <w:color w:val="000000"/>
            <w:sz w:val="22"/>
          </w:rPr>
          <w:t>“g.”</w:t>
        </w:r>
      </w:hyperlink>
      <w:r>
        <w:rPr>
          <w:rFonts w:ascii="Times New Roman" w:hAnsi="Times New Roman"/>
          <w:b w:val="false"/>
          <w:i w:val="false"/>
          <w:color w:val="000000"/>
          <w:sz w:val="22"/>
        </w:rPr>
        <w:t xml:space="preserve"> In the absence of any legally applicable schedule of compliance, such steps shall be achieved in the shortest, reasonable period of time, such period to be consistent with the guidelines and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case where the period of time for compliance specified in paragraph </w:t>
      </w:r>
      <w:hyperlink r:id="rId111">
        <w:r>
          <w:rPr>
            <w:rStyle w:val="Hyperlink"/>
            <w:rFonts w:ascii="Times New Roman" w:hAnsi="Times New Roman"/>
            <w:b w:val="false"/>
            <w:i w:val="false"/>
            <w:color w:val="000000"/>
            <w:sz w:val="22"/>
          </w:rPr>
          <w:t>64.7(4)</w:t>
        </w:r>
        <w:r>
          <w:rPr>
            <w:rFonts w:ascii="Times New Roman" w:hAnsi="Times New Roman"/>
            <w:b w:val="false"/>
            <w:i/>
            <w:color w:val="000000"/>
            <w:sz w:val="22"/>
          </w:rPr>
          <w:t>“a”</w:t>
        </w:r>
      </w:hyperlink>
      <w:r>
        <w:rPr>
          <w:rFonts w:ascii="Times New Roman" w:hAnsi="Times New Roman"/>
          <w:b w:val="false"/>
          <w:i w:val="false"/>
          <w:color w:val="000000"/>
          <w:sz w:val="22"/>
        </w:rPr>
        <w:t xml:space="preserve"> exceeds one year, a schedule of compliance shall be specified in the permit which shall set forth interim requirements and the dates for their achievement; in no event shall more than one year elapse between interim dates. If the time necessary for completion of the interim requirements (such as the construction of a treatment facility) is more than one year and is not readily divided into stages for completion, interim dates shall be specified for the submission of reports of progress toward completion of the interim requirement.</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COMMENT.</w:t>
      </w:r>
      <w:r>
        <w:rPr>
          <w:rFonts w:ascii="Times New Roman" w:hAnsi="Times New Roman"/>
          <w:b w:val="false"/>
          <w:i w:val="false"/>
          <w:color w:val="000000"/>
          <w:sz w:val="22"/>
        </w:rPr>
        <w:t xml:space="preserve"> Certain interim requirements such as the submission of preliminary or final plans often require less than one year, and thus a shorter interval should be specified. Other requirements such as the construction of treatment facilities may require several years for completion and may not readily subdivide into one-year intervals. Long-term interim requirements should nonetheless be subdivided into intervals not longer than one year at which the permittee is required to report progress to the director pursuant to </w:t>
      </w:r>
      <w:hyperlink r:id="rId112">
        <w:r>
          <w:rPr>
            <w:rStyle w:val="Hyperlink"/>
            <w:rFonts w:ascii="Times New Roman" w:hAnsi="Times New Roman"/>
            <w:b w:val="false"/>
            <w:i w:val="false"/>
            <w:color w:val="000000"/>
            <w:sz w:val="22"/>
          </w:rPr>
          <w:t>64.7(4)</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before or up to 14 days following each interim date and the final date of compliance the permittee shall provide the department with written notice of the permittee’s compliance or noncompliance with the interim or final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last day of the months of February, May, August, and November, the director shall transmit to the regional administrator a list of all instances, as of 30 days prior to the date of such report, of failure or refusal of a permittee to comply with an interim or final requirement or to notify the department of compliance or noncompliance with each interim or final requirement (as required pursuant to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Such list shall be available to the public for inspection and copying and shall contain at least the following information with respect to each instance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each noncomplying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short description of each instance of noncompliance (e.g., failure to submit preliminary plans, two-week delay in commencement of construction of treatment facility; failure to notify of compliance with interim requirement to complete construction by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short description of any actions or proposed actions by the permittee to comply or by the director to enforce compliance with the interim or final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details which tend to explain or mitigate an instance of noncompliance with an interim or final requirement (e.g., construction delayed due to materials shortage, plan approval delayed by objections).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permittee fails or refuses to comply with an interim or final requirement in an NPDES permit such noncompliance shall constitute a violation of the permit for which the director may, pursuant to </w:t>
      </w:r>
      <w:hyperlink r:id="rId113">
        <w:r>
          <w:rPr>
            <w:rStyle w:val="Hyperlink"/>
            <w:rFonts w:ascii="Times New Roman" w:hAnsi="Times New Roman"/>
            <w:b w:val="false"/>
            <w:i w:val="false"/>
            <w:color w:val="000000"/>
            <w:sz w:val="22"/>
          </w:rPr>
          <w:t>567—Chapters 7</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 modify, suspend or revoke the permit or take direct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64.7(5)</w:t>
      </w:r>
      <w:r>
        <w:rPr>
          <w:rFonts w:ascii="Times New Roman" w:hAnsi="Times New Roman"/>
          <w:b w:val="false"/>
          <w:i w:val="false"/>
          <w:color w:val="000000"/>
          <w:sz w:val="22"/>
        </w:rPr>
        <w:t> </w:t>
      </w:r>
      <w:r>
        <w:rPr>
          <w:rFonts w:ascii="Times New Roman" w:hAnsi="Times New Roman"/>
          <w:b w:val="false"/>
          <w:i/>
          <w:color w:val="000000"/>
          <w:sz w:val="22"/>
        </w:rPr>
        <w:t xml:space="preserve">Schedules of compliance in issued NPDES permits for disadvantaged communities. </w:t>
      </w:r>
      <w:r>
        <w:rPr>
          <w:rFonts w:ascii="Times New Roman" w:hAnsi="Times New Roman"/>
          <w:b w:val="false"/>
          <w:i w:val="false"/>
          <w:color w:val="000000"/>
          <w:sz w:val="22"/>
        </w:rPr>
        <w:t xml:space="preserve">If compliance with federal regulations, applicable requirements in </w:t>
      </w:r>
      <w:hyperlink r:id="rId115">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will result in substantial and widespread economic and social impact (SWESI) to the ratepayers and the affected community, the director may establish in an NPDES permit a schedule of compliance that will result in an improvement of water quality and reasonable progress toward complying with the applicable requirements but does not result in SWESI. Schedules of compliance established under this subrule are intended to result in compliance with the applicable federal and state regulations and requirements by the regulated entity and the affected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Disadvantaged community status. </w:t>
      </w:r>
      <w:r>
        <w:rPr>
          <w:rFonts w:ascii="Times New Roman" w:hAnsi="Times New Roman"/>
          <w:b w:val="false"/>
          <w:i w:val="false"/>
          <w:color w:val="000000"/>
          <w:sz w:val="22"/>
        </w:rPr>
        <w:t>The director shall find that a regulated entity and the affected community are a disadvantaged community by evaluating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ability of the regulated entity and the affected community to pay for a project based on the ratio of the total annual project costs per household to median household income (MHI),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MHI in the community and the unemployment rate of the county in which the community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outstanding debt of the system and the bond rating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Disadvantaged community analysis (DCA). </w:t>
      </w:r>
      <w:r>
        <w:rPr>
          <w:rFonts w:ascii="Times New Roman" w:hAnsi="Times New Roman"/>
          <w:b w:val="false"/>
          <w:i w:val="false"/>
          <w:color w:val="000000"/>
          <w:sz w:val="22"/>
        </w:rPr>
        <w:t xml:space="preserve">A regulated entity or affected community must submit a DCA to the director to be considered for disadvantaged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new requirements in a proposed or reissued NPDES permit may result in SWESI, a DCA may be submitted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wastewater disposal system owned by a municipal corporation or other public body created by or under Iowa law and having jurisdiction over disposal of sewage, industrial wastes or other wastes, or a designated and approved management agency under Section 208 of the Act (a POTW);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wastewater disposal system for the treatment or disposal of domestic sewage which is not a private sewage disposal system and which is not owned by a city, a sanitary sewer district, or a designated and approved management agency under Section 208 of the Act (33 U.S.C. 1288) (a semipublic system);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other owner of a wastewater disposal system that is not a private sewage disposal system and does not discharge industrial wastes. “Private sewage disposal system” and “industrial waste” are defined in rule </w:t>
      </w:r>
      <w:hyperlink r:id="rId120">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DCA may be submitted prior to the issuance of an initial NPDES permit if the facility does not discharge industrial wastes and is not a new source or new discharger. “New source” and “new discharger” are defined in rule </w:t>
      </w:r>
      <w:hyperlink r:id="rId121">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DCA may be submitted by the entities noted in subparagraph </w:t>
      </w:r>
      <w:hyperlink r:id="rId122">
        <w:r>
          <w:rPr>
            <w:rStyle w:val="Hyperlink"/>
            <w:rFonts w:ascii="Times New Roman" w:hAnsi="Times New Roman"/>
            <w:b w:val="false"/>
            <w:i w:val="false"/>
            <w:color w:val="000000"/>
            <w:sz w:val="22"/>
          </w:rPr>
          <w:t>64.7(5)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 for consideration of a disadvantaged community loan interest rate under the clean water state revolving fund, independent of the requirements in a proposed or reissued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a DCA.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DCA must contain all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Proposed total annual project costs as defined in paragraph </w:t>
      </w:r>
      <w:hyperlink r:id="rId123">
        <w:r>
          <w:rPr>
            <w:rStyle w:val="Hyperlink"/>
            <w:rFonts w:ascii="Times New Roman" w:hAnsi="Times New Roman"/>
            <w:b w:val="false"/>
            <w:i w:val="false"/>
            <w:color w:val="000000"/>
            <w:sz w:val="22"/>
          </w:rPr>
          <w:t>64.7(5)</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households in the affected community or, if the entity is not serving households, the number of ratepayers;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description of the bond rating of the affected community over the last year, if available;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user rates,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DCA is submitted by or for a municipality or other community, the current sewer rate ordinances, including the sewer rates of any industrial users;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DCA is submitted by or for a water treatment facility, the water rate schedules or tables;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DCA is submitted by or for an entity other than a municipality, community, or water treatment facility, the monthly ratepayer charge for wastewater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explanation of why the regulated entity or affected community believes that compliance with the proposed requirements will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DCA is submitted by or for an entity other than a municipality, community, or water treatment facility, the DCA must also contain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entities with more than ten households or ratepayers, the median household or ratepayer income, as determined by an income survey conducted by the regulated entity (the survey must be included in the DCA);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entities with ten or fewer households or ratepayers, an estimate of median household or ratepayer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Definition of total annual project costs. </w:t>
      </w:r>
      <w:r>
        <w:rPr>
          <w:rFonts w:ascii="Times New Roman" w:hAnsi="Times New Roman"/>
          <w:b w:val="false"/>
          <w:i w:val="false"/>
          <w:color w:val="000000"/>
          <w:sz w:val="22"/>
        </w:rPr>
        <w:t xml:space="preserve">“Total annual project costs” means the current costs of wastewater treatment in the community (if any) plus the future costs of proposed wastewater system improvements that will meet or exceed all applicable federal regulations, requirements in </w:t>
      </w:r>
      <w:hyperlink r:id="rId124">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requirements of an order of the department. Total annual project costs shall include any current and proposed facility operation and maintenance costs and any existing (outstanding) and proposed system debt, as expressed in current and proposed sewer rates. The costs of the proposed wastewater treatment shall assume a 30-year loan period at an interest rate equal to the current state revolving fund interest rate. Awarded grant funding must be subtracted from the total annual project costs.</w:t>
      </w:r>
    </w:p>
    <w:p>
      <w:pPr>
        <w:spacing w:before="0" w:after="0"/>
        <w:ind w:left="120"/>
        <w:jc w:val="both"/>
      </w:pPr>
      <w:r>
        <w:rPr>
          <w:rFonts w:ascii="Times New Roman" w:hAnsi="Times New Roman"/>
          <w:b w:val="false"/>
          <w:i w:val="false"/>
          <w:color w:val="000000"/>
          <w:sz w:val="22"/>
        </w:rPr>
        <w:t>The formula for the calculation of total annual project costs for a regulated entity and affected community is: total annual project costs = [(Estimated costs to design and build proposed project - Awarded grant funding) amortized over 30 years] + Current annual system budget (if any), including operation and maintenance (O&amp;M) and existing debt service + Future annual O&amp;M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Disadvantaged community matrix (DCM). </w:t>
      </w:r>
      <w:r>
        <w:rPr>
          <w:rFonts w:ascii="Times New Roman" w:hAnsi="Times New Roman"/>
          <w:b w:val="false"/>
          <w:i w:val="false"/>
          <w:color w:val="000000"/>
          <w:sz w:val="22"/>
        </w:rPr>
        <w:t>The department hereby incorporates by reference “Disadvantaged Community Matrix,” DNR Form 542-1246. This document may be obtained on the department’s website.</w:t>
      </w:r>
    </w:p>
    <w:p>
      <w:pPr>
        <w:spacing w:before="0" w:after="0"/>
        <w:ind w:left="120"/>
        <w:jc w:val="both"/>
      </w:pPr>
      <w:r>
        <w:rPr>
          <w:rFonts w:ascii="Times New Roman" w:hAnsi="Times New Roman"/>
          <w:b w:val="false"/>
          <w:i w:val="false"/>
          <w:color w:val="000000"/>
          <w:sz w:val="22"/>
        </w:rPr>
        <w:t xml:space="preserve">Upon receipt of a complete DCA, the director shall use the DCM to evaluate the disadvantaged status of the community. The DCM shall be used to evaluate DCAs submitted in accordance with </w:t>
      </w:r>
      <w:hyperlink r:id="rId129">
        <w:r>
          <w:rPr>
            <w:rStyle w:val="Hyperlink"/>
            <w:rFonts w:ascii="Times New Roman" w:hAnsi="Times New Roman"/>
            <w:b w:val="false"/>
            <w:i w:val="false"/>
            <w:color w:val="000000"/>
            <w:sz w:val="22"/>
          </w:rPr>
          <w:t>64.7(5)</w:t>
        </w:r>
        <w:r>
          <w:rPr>
            <w:rFonts w:ascii="Times New Roman" w:hAnsi="Times New Roman"/>
            <w:b w:val="false"/>
            <w:i/>
            <w:color w:val="000000"/>
            <w:sz w:val="22"/>
          </w:rPr>
          <w:t>“b.”</w:t>
        </w:r>
      </w:hyperlink>
      <w:r>
        <w:rPr>
          <w:rFonts w:ascii="Times New Roman" w:hAnsi="Times New Roman"/>
          <w:b w:val="false"/>
          <w:i w:val="false"/>
          <w:color w:val="000000"/>
          <w:sz w:val="22"/>
        </w:rPr>
        <w:t xml:space="preserve"> Compliance with the applicable federal regulations, requirements in </w:t>
      </w:r>
      <w:hyperlink r:id="rId130">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shall be considered to result in SWESI, and the regulated entity and affected community shall be considered a disadvantaged community, if the point total derived from the DCM is equal to or greater than 12. The following data sources shall be used to derive the point total in the DCM: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annual project costs as stated in the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households or ratepayers in a community as stated in the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bond rating of the community, if available, as stated in the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MHI of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community, as found in the most recent American Community Survey or United States Census or as stated in an income survey that is conducted by the regulated entity or community;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ratepayer group, as stated in an income survey that is conducted by the regulated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unemployment rate of the county where the community is located and of the state as found in the most recent Iowa Workforce Information Network unemployment data.</w:t>
      </w:r>
    </w:p>
    <w:p>
      <w:pPr>
        <w:spacing w:before="0" w:after="0"/>
        <w:ind w:left="120"/>
        <w:jc w:val="both"/>
      </w:pPr>
      <w:r>
        <w:rPr>
          <w:rFonts w:ascii="Times New Roman" w:hAnsi="Times New Roman"/>
          <w:b w:val="false"/>
          <w:i w:val="false"/>
          <w:color w:val="000000"/>
          <w:sz w:val="22"/>
        </w:rPr>
        <w:t>The ratio of the total annual project costs per household or per ratepayer to MHI shall be calculated in the DCM as follows: The total annual project costs shall be divided by the number of households or ratepayers to obtain the costs per household or per ratepayer, and the costs per household or per ratepayer shall be divided by the MHI to obtain the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Ratio. </w:t>
      </w:r>
      <w:r>
        <w:rPr>
          <w:rFonts w:ascii="Times New Roman" w:hAnsi="Times New Roman"/>
          <w:b w:val="false"/>
          <w:i w:val="false"/>
          <w:color w:val="000000"/>
          <w:sz w:val="22"/>
        </w:rPr>
        <w:t>The director shall not consider a regulated entity or affected community a disadvantaged community if the ratio of compliance costs to MHI is less than 1 percent. The director shall consider a regulated entity or affected community a disadvantaged community if the ratio of compliance costs to MHI is greater than or equal to 2 percent. If the ratio of compliance costs to MHI is greater than or equal to 1 percent and less than 2 percent, the director shall use the DCM to determine if the community is disadvantaged. The ratio of compliance costs to MHI shall be the ratio of the total annual project costs per household to MHI as calculated in the DCM.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Compliance schedule for a disadvantaged community. </w:t>
      </w:r>
      <w:r>
        <w:rPr>
          <w:rFonts w:ascii="Times New Roman" w:hAnsi="Times New Roman"/>
          <w:b w:val="false"/>
          <w:i w:val="false"/>
          <w:color w:val="000000"/>
          <w:sz w:val="22"/>
        </w:rPr>
        <w:t xml:space="preserve">A schedule of compliance established in an NPDES permit for a disadvantaged community as a result of SWESI may contain one or two parts as necessary to comply with the applicable federal regulations and requirements in </w:t>
      </w:r>
      <w:hyperlink r:id="rId135">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part of a schedule of compliance for a disadvantaged community shall encompass one five-year NPDES permit cycle and shall require the permit holder to submit an alternatives report, an alternatives implementation compliance plan (AICP), and annual reports of progress that contain brief updates regarding the completion of the alternatives report and the AICP.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Alternatives report. The alternatives report must detail the alternative pollution control measures that will be investigated and contain an examination of all other appropriate measures that may achieve compliance with applicable federal regulations, requirements in </w:t>
      </w:r>
      <w:hyperlink r:id="rId140">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without creating SWESI. The alternatives report must describe which measures will be evaluated for feasibility and affordability during the next portion of the compliance schedule. Alternative pollution control measures may include, but are not limited to, facility upgrades, construction of a new facility, relocation of the discharge point(s), regionalization, or outfall consolidation. Other appropriate measures may include, but are not limited to, mixing zone studies, consideration of seasonal limitations or site-specific data, alteration of current facility operations, intermittent discharges, source reduction, effluent recycling or reuse, or renegotiation of treatment agreements. The alternatives report must also include a plan for pursuing funding options, including grants and low-interest loans. The alternatives report shall be submitted no later than two years after permit issuance.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Alternatives implementation compliance plan (AICP). The AICP shall include the results of the investigation detailed in the alternatives report, a description of any feasible and affordable alternative(s) that will be implemented, a schedule of the time necessary to implement the alternative(s), and an updated DCA. The AICP shall be submitted no later than 4½ years after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entity or community continues to qualify as disadvantaged according to the DCM evaluation based on the DCA submitted with the AICP, the entity or community may receive a second schedule of compliance as specified in this subrule. The second schedule of compliance for a disadvantaged community may contain either the implementation schedule from the AICP or a schedule for submittal of a future compliance plan (FCP).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AICP implementation schedule. If the AICP proposes a schedule for implementation of one or more feasible alternatives, the proposed schedule shall be included in the reissued NPDES permit for the disadvantaged community.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Future compliance plan (FCP). The submittal of an FCP will be necessary only if the AICP concludes that the disadvantaged community cannot feasibly implement any alternatives and if the community is still disadvantaged according to the updated information in the DCA submitted with the AICP. The FCP shall detail how the disadvantaged community will meet the applicable federal regulations, requirements in 567—Chapters 60</w:t>
      </w:r>
      <w:r>
        <w:rPr>
          <w:rFonts w:ascii="Times New Roman" w:hAnsi="Times New Roman"/>
          <w:b w:val="false"/>
          <w:i w:val="false"/>
          <w:color w:val="000000"/>
          <w:sz w:val="22"/>
        </w:rPr>
        <w:t>567—Chapter 60</w:t>
      </w:r>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and the period necessary to do so. An FCP shall review the types of technology capable of treating the pollutant of concern, as well as the costs of installing and operating each type of technology. All technically feasible alternatives shall be explored. The FCP shall be submitted no later than three years after permit issuance. A schedule of compliance requiring the submittal of an FCP shall also require the submittal of annual reports of progress that contain updated financial information, an updated DCA, and a brief update regarding the completion or implementation of the FCP. If the DCM evaluation determines that an entity or community is no longer disadvantaged based on the most recent DCA, the NPDES permit may be amended to change the schedule of compliance.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Schedule extension. The second part of a schedule of compliance for a disadvantaged community may be extended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Schedules of compliance issued in accordance with this subrule shall comply with paragraphs </w:t>
      </w:r>
      <w:hyperlink r:id="rId149">
        <w:r>
          <w:rPr>
            <w:rStyle w:val="Hyperlink"/>
            <w:rFonts w:ascii="Times New Roman" w:hAnsi="Times New Roman"/>
            <w:b w:val="false"/>
            <w:i w:val="false"/>
            <w:color w:val="000000"/>
            <w:sz w:val="22"/>
          </w:rPr>
          <w:t>64.7(4)</w:t>
        </w:r>
        <w:r>
          <w:rPr>
            <w:rFonts w:ascii="Times New Roman" w:hAnsi="Times New Roman"/>
            <w:b w:val="false"/>
            <w:i/>
            <w:color w:val="000000"/>
            <w:sz w:val="22"/>
          </w:rPr>
          <w:t>“b”</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64.7(6)</w:t>
      </w:r>
      <w:r>
        <w:rPr>
          <w:rFonts w:ascii="Times New Roman" w:hAnsi="Times New Roman"/>
          <w:b w:val="false"/>
          <w:i w:val="false"/>
          <w:color w:val="000000"/>
          <w:sz w:val="22"/>
        </w:rPr>
        <w:t> </w:t>
      </w:r>
      <w:r>
        <w:rPr>
          <w:rFonts w:ascii="Times New Roman" w:hAnsi="Times New Roman"/>
          <w:b w:val="false"/>
          <w:i/>
          <w:color w:val="000000"/>
          <w:sz w:val="22"/>
        </w:rPr>
        <w:t xml:space="preserve">Disadvantaged unsewered communities. </w:t>
      </w:r>
      <w:r>
        <w:rPr>
          <w:rFonts w:ascii="Times New Roman" w:hAnsi="Times New Roman"/>
          <w:b w:val="false"/>
          <w:i w:val="false"/>
          <w:color w:val="000000"/>
          <w:sz w:val="22"/>
        </w:rPr>
        <w:t xml:space="preserve">If compliance with applicable federal regulations, requirements in </w:t>
      </w:r>
      <w:hyperlink r:id="rId150">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will result in substantial and widespread economic and social impact (SWESI) to the ratepayers of an unsewered community, the director may negotiate a compliance agreement that will result in an improvement of water quality and reasonable progress toward complying with the applicable requirements but does not result in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Disadvantaged unsewered community status. </w:t>
      </w:r>
      <w:r>
        <w:rPr>
          <w:rFonts w:ascii="Times New Roman" w:hAnsi="Times New Roman"/>
          <w:b w:val="false"/>
          <w:i w:val="false"/>
          <w:color w:val="000000"/>
          <w:sz w:val="22"/>
        </w:rPr>
        <w:t>The director shall find that an unsewered community is a disadvantaged unsewered community by evaluating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ability of the unsewered community to pay for a project based on the ratio of the total annual project costs per household to MHI,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unemployment rate in the county where the unsewered community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MHI of the unsewered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Disadvantaged unsewered community analysis (DUCA). </w:t>
      </w:r>
      <w:r>
        <w:rPr>
          <w:rFonts w:ascii="Times New Roman" w:hAnsi="Times New Roman"/>
          <w:b w:val="false"/>
          <w:i w:val="false"/>
          <w:color w:val="000000"/>
          <w:sz w:val="22"/>
        </w:rPr>
        <w:t xml:space="preserve">An unsewered community must submit a DUCA to the director to be considered for disadvantaged unsewered community status. Only unsewered communities may submit a DUCA under this subrule. For the purposes of this subrule, an unsewered community is defined as a grouping of ten or more residential houses with a density of one house or more per acre and with either no wastewater treatment or inadequate wastewater treatment. An entity defined in rule </w:t>
      </w:r>
      <w:hyperlink r:id="rId155">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 xml:space="preserve">(455B) as a private sewage disposal system may not submit a DUCA or qualify for a disadvantaged unsewered community compliance agreement under paragraph </w:t>
      </w:r>
      <w:hyperlink r:id="rId156">
        <w:r>
          <w:rPr>
            <w:rStyle w:val="Hyperlink"/>
            <w:rFonts w:ascii="Times New Roman" w:hAnsi="Times New Roman"/>
            <w:b w:val="false"/>
            <w:i w:val="false"/>
            <w:color w:val="000000"/>
            <w:sz w:val="22"/>
          </w:rPr>
          <w:t>64.7(6)</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unsewered community may submit a DUCA to the director prior to the issuance of or amendment to an administrative order with requirements that could result in SWESI and that are based on applicable federal regulations, requirements in </w:t>
      </w:r>
      <w:hyperlink r:id="rId157">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DUCA may also be submitted for consideration of a disadvantaged community loan interest rate under the clean water state revolving fund, independent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a DUCA. </w:t>
      </w:r>
      <w:r>
        <w:rPr>
          <w:rFonts w:ascii="Times New Roman" w:hAnsi="Times New Roman"/>
          <w:b w:val="false"/>
          <w:i w:val="false"/>
          <w:color w:val="000000"/>
          <w:sz w:val="22"/>
        </w:rPr>
        <w:t>A DUCA must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total annual project costs as defined in paragraph </w:t>
      </w:r>
      <w:hyperlink r:id="rId162">
        <w:r>
          <w:rPr>
            <w:rStyle w:val="Hyperlink"/>
            <w:rFonts w:ascii="Times New Roman" w:hAnsi="Times New Roman"/>
            <w:b w:val="false"/>
            <w:i w:val="false"/>
            <w:color w:val="000000"/>
            <w:sz w:val="22"/>
          </w:rPr>
          <w:t>64.7(6)</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households in the unsewered community and source of household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amount of any awarded grant funding;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unsewered community believes that compliance with the proposed requirements will result in SWESI.</w:t>
      </w:r>
    </w:p>
    <w:p>
      <w:pPr>
        <w:spacing w:before="0" w:after="0"/>
        <w:ind w:left="120"/>
        <w:jc w:val="both"/>
      </w:pPr>
      <w:r>
        <w:rPr>
          <w:rFonts w:ascii="Times New Roman" w:hAnsi="Times New Roman"/>
          <w:b w:val="false"/>
          <w:i w:val="false"/>
          <w:color w:val="000000"/>
          <w:sz w:val="22"/>
        </w:rPr>
        <w:t>If no MHI information is available for the unsewered community, the community should conduct a rate survey to determine the MHI. The survey must be attached to the 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Definition of total annual project costs. </w:t>
      </w:r>
      <w:r>
        <w:rPr>
          <w:rFonts w:ascii="Times New Roman" w:hAnsi="Times New Roman"/>
          <w:b w:val="false"/>
          <w:i w:val="false"/>
          <w:color w:val="000000"/>
          <w:sz w:val="22"/>
        </w:rPr>
        <w:t xml:space="preserve">“Total annual project costs” means the future costs of proposed wastewater system installation or improvements that will meet or exceed all applicable federal regulations, requirements in </w:t>
      </w:r>
      <w:hyperlink r:id="rId163">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requirements of an order of the department. Total annual project costs shall include the proposed facility operation and maintenance (O&amp;M) costs and the proposed debt of the system as expressed in the proposed sewer rates. The costs of the proposed wastewater treatment shall assume a 30-year loan period at an interest rate equal to the current state revolving fund interest rate. Awarded grant funding must be subtracted from the total annual project costs.</w:t>
      </w:r>
    </w:p>
    <w:p>
      <w:pPr>
        <w:spacing w:before="0" w:after="0"/>
        <w:ind w:left="120"/>
        <w:jc w:val="both"/>
      </w:pPr>
      <w:r>
        <w:rPr>
          <w:rFonts w:ascii="Times New Roman" w:hAnsi="Times New Roman"/>
          <w:b w:val="false"/>
          <w:i w:val="false"/>
          <w:color w:val="000000"/>
          <w:sz w:val="22"/>
        </w:rPr>
        <w:t>The formula for the calculation of total annual project costs for an unsewered community is: total annual project costs = [(Estimated costs to design and build proposed project - Awarded grant funding) amortized over 30 years] + Future annual O&amp;M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Disadvantaged unsewered community matrix (DUCM). </w:t>
      </w:r>
      <w:r>
        <w:rPr>
          <w:rFonts w:ascii="Times New Roman" w:hAnsi="Times New Roman"/>
          <w:b w:val="false"/>
          <w:i w:val="false"/>
          <w:color w:val="000000"/>
          <w:sz w:val="22"/>
        </w:rPr>
        <w:t>The department hereby incorporates by reference “Disadvantaged Unsewered Community Matrix,” DNR Form 542-1247. This document may be obtained on the department’s website.</w:t>
      </w:r>
    </w:p>
    <w:p>
      <w:pPr>
        <w:spacing w:before="0" w:after="0"/>
        <w:ind w:left="120"/>
        <w:jc w:val="both"/>
      </w:pPr>
      <w:r>
        <w:rPr>
          <w:rFonts w:ascii="Times New Roman" w:hAnsi="Times New Roman"/>
          <w:b w:val="false"/>
          <w:i w:val="false"/>
          <w:color w:val="000000"/>
          <w:sz w:val="22"/>
        </w:rPr>
        <w:t xml:space="preserve">Upon receipt of a complete DUCA, the director shall use the DUCM to evaluate the disadvantaged status of the unsewered community. The DUCM shall be used to evaluate DUCAs submitted in accordance with </w:t>
      </w:r>
      <w:hyperlink r:id="rId168">
        <w:r>
          <w:rPr>
            <w:rStyle w:val="Hyperlink"/>
            <w:rFonts w:ascii="Times New Roman" w:hAnsi="Times New Roman"/>
            <w:b w:val="false"/>
            <w:i w:val="false"/>
            <w:color w:val="000000"/>
            <w:sz w:val="22"/>
          </w:rPr>
          <w:t>64.7(6)</w:t>
        </w:r>
      </w:hyperlink>
      <w:r>
        <w:rPr>
          <w:rFonts w:ascii="Times New Roman" w:hAnsi="Times New Roman"/>
          <w:b w:val="false"/>
          <w:i/>
          <w:color w:val="000000"/>
          <w:sz w:val="22"/>
        </w:rPr>
        <w:t>“b.”</w:t>
      </w:r>
      <w:r>
        <w:rPr>
          <w:rFonts w:ascii="Times New Roman" w:hAnsi="Times New Roman"/>
          <w:b w:val="false"/>
          <w:i w:val="false"/>
          <w:color w:val="000000"/>
          <w:sz w:val="22"/>
        </w:rPr>
        <w:t xml:space="preserve"> Compliance with applicable federal regulations, requirements in </w:t>
      </w:r>
      <w:hyperlink r:id="rId169">
        <w:r>
          <w:rPr>
            <w:rStyle w:val="Hyperlink"/>
            <w:rFonts w:ascii="Times New Roman" w:hAnsi="Times New Roman"/>
            <w:b w:val="false"/>
            <w:i w:val="false"/>
            <w:color w:val="000000"/>
            <w:sz w:val="22"/>
          </w:rPr>
          <w:t>567—Chapters 60</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63</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or an order of the department shall be considered to result in SWESI, and the unsewered community shall be considered a disadvantaged unsewered community, if the point total derived from the DUCM is equal to or greater than 10. The following data sources shall be used to derive the point total in the DUCM: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annual project costs as stated in the DUCA;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households in the unsewered community as stated in the DUCA;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MHI of the unsewered community as found in the most recent American Community Survey or United States Census or as stated in an income survey that is conducted by the unsewered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unemployment rate of the county where the unsewered community is located and of the state as found in the most recent Iowa Workforce Information Network unemployment data.</w:t>
      </w:r>
    </w:p>
    <w:p>
      <w:pPr>
        <w:spacing w:before="0" w:after="0"/>
        <w:ind w:left="120"/>
        <w:jc w:val="both"/>
      </w:pPr>
      <w:r>
        <w:rPr>
          <w:rFonts w:ascii="Times New Roman" w:hAnsi="Times New Roman"/>
          <w:b w:val="false"/>
          <w:i w:val="false"/>
          <w:color w:val="000000"/>
          <w:sz w:val="22"/>
        </w:rPr>
        <w:t>The ratio of the total annual project costs per household to MHI shall be calculated in the DUCM as follows: the total annual project costs shall be divided by the number of households in the unsewered community to obtain the costs per household, and the costs per household shall be divided by the MHI to obtain the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Ratio and other considerations. </w:t>
      </w:r>
      <w:r>
        <w:rPr>
          <w:rFonts w:ascii="Times New Roman" w:hAnsi="Times New Roman"/>
          <w:b w:val="false"/>
          <w:i w:val="false"/>
          <w:color w:val="000000"/>
          <w:sz w:val="22"/>
        </w:rPr>
        <w:t>The director shall not consider an unsewered community a disadvantaged unsewered community if the ratio of compliance costs to MHI is below 1 percent. The director shall consider an unsewered community a disadvantaged unsewered community if the ratio of compliance costs to MHI is greater than or equal to 2 percent. If the ratio of compliance costs to MHI is greater than or equal to 1 percent, and less than 2 percent, the director shall use the DUCM to determine if the unsewered community is disadvantaged. The ratio of compliance costs to MHI shall be the ratio of the total annual project costs per household to MHI as calculated in the DUCM. The director shall not require installation of a wastewater treatment system by an unsewered community if the director determines that such installation would create SWESI.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Compliance agreement for a disadvantaged unsewered community. </w:t>
      </w:r>
      <w:r>
        <w:rPr>
          <w:rFonts w:ascii="Times New Roman" w:hAnsi="Times New Roman"/>
          <w:b w:val="false"/>
          <w:i w:val="false"/>
          <w:color w:val="000000"/>
          <w:sz w:val="22"/>
        </w:rPr>
        <w:t>A compliance agreement negotiated with a disadvantaged unsewered community as a result of SWESI shall require the unsewered community to submit an alternatives report and an alternatives implementation compliance plan (AICP).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Alternatives report. The alternatives report must detail the alternative pollution control measures that will be investigated and contain an examination of all other appropriate measures that may achieve compliance with the water quality standards without creating SWESI. The alternatives report must describe which measures will be evaluated for feasibility and affordability after the report submittal. Alternative pollution control measures may include, but are not limited to, upgrades of existing infrastructure, construction of a new facility, relocation of the discharge point(s), regionalization, or outfall consolidation. Other appropriate measures may include, but are not limited to, mixing zone studies, consideration of seasonal limitations or site-specific data, alteration of current facility operations, intermittent discharges, source reduction, effluent recycling or reuse, or renegotiation of treatment agreements. The alternatives report shall also include a plan for pursuing funding options, including grants and low-interest loans. The alternatives report shall be submitted no later than two years after an unsewered community has been determined to be a disadvantaged unsewered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Alternatives implementation compliance plan (AICP). The AICP shall include the results of the investigation detailed in the alternatives report, a description of any feasible and affordable alternative(s) that will be implemented, a schedule of the time necessary to implement the alternative(s), and an updated DUCA. The AICP shall be submitted no later than 4½ years after an unsewered community has been determined to be a disadvantaged unsewered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AICP implementation schedule. If the AICP proposes a schedule for implementation of one or more feasible alternatives, the proposed schedule shall be included in an administrative order between the department and the unsewered community. If the feasible alternative that will be implemented requires a construction permit, an operation permit, or an NPDES permit, the unsewered community shall comply with the rules regarding those permits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Future compliance plan (FCP). The submittal of an FCP will be necessary only if the AICP concludes that the unsewered community cannot feasibly implement any alternatives and if the community is still disadvantaged according to the updated information in the DUCA submitted with the AICP. The FCP shall detail how the unsewered community will meet the water quality standards and the period necessary to do so. An FCP shall review the types of technology capable of treating the pollutant of concern, as well as the costs of installing and operating each type of technology. All technically feasible alternatives shall be explored. The FCP shall be submitted no later than seven years after an unsewered community has been determined to be a disadvantaged unsewered community. An administrative order requiring the submittal of an FCP shall also require the submittal of biennial progress reports that contain an updated DUCA. If the DUCM evaluation determines that an unsewered community is no longer disadvantaged based on the most recent DUCA, the order may be amended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64.7(7)</w:t>
      </w:r>
      <w:r>
        <w:rPr>
          <w:rFonts w:ascii="Times New Roman" w:hAnsi="Times New Roman"/>
          <w:b w:val="false"/>
          <w:i w:val="false"/>
          <w:color w:val="000000"/>
          <w:sz w:val="22"/>
        </w:rPr>
        <w:t> </w:t>
      </w:r>
      <w:r>
        <w:rPr>
          <w:rFonts w:ascii="Times New Roman" w:hAnsi="Times New Roman"/>
          <w:b w:val="false"/>
          <w:i/>
          <w:color w:val="000000"/>
          <w:sz w:val="22"/>
        </w:rPr>
        <w:t xml:space="preserve">Other terms and conditions of issued NPDES permits. </w:t>
      </w:r>
      <w:r>
        <w:rPr>
          <w:rFonts w:ascii="Times New Roman" w:hAnsi="Times New Roman"/>
          <w:b w:val="false"/>
          <w:i w:val="false"/>
          <w:color w:val="000000"/>
          <w:sz w:val="22"/>
        </w:rPr>
        <w:t>Each issued NPDES permit shall provide for and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all discharges authorized by the NPDES permit shall be consistent with the terms and conditions of the permit; that facility expansions, production increases, or process modifications which result in new or increased discharges of pollutants must be reported by submission of a new NPDES application or, if such discharge does not violate effluent limitations specified in the NPDES permit, by submission to the director of notice of such new or increased discharges of pollutants; that the discharge of any pollutant more frequently than or at a level in excess of that identified and authorized by the permit shall constitute a violation of the terms and conditions of the permit; that if the terms and conditions of a general permit are no longer applicable to a discharge, the applicant shall apply for an individual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permit may be amended, revoked and reissued, or terminated in whole or in part for the causes provided in </w:t>
      </w:r>
      <w:hyperlink r:id="rId174">
        <w:r>
          <w:rPr>
            <w:rStyle w:val="Hyperlink"/>
            <w:rFonts w:ascii="Times New Roman" w:hAnsi="Times New Roman"/>
            <w:b w:val="false"/>
            <w:i w:val="false"/>
            <w:color w:val="000000"/>
            <w:sz w:val="22"/>
          </w:rPr>
          <w:t>64.3(11)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permittee shall permit the director or the director’s authorized representative upon the presentation of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enter upon permittee’s premises in which an effluent source is located or in which any records are required to be kept under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have access to and copy any records required to be kept under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inspect any monitoring equipment or method required in the permit;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sample any discharge of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if the permit is for a discharge from a publicly owned treatment works, the permittee shall provide notice to the director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hundred eighty days in advance of any new introduction of pollutants into such treatment works from a new source as defined in </w:t>
      </w:r>
      <w:hyperlink r:id="rId175">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if such source were discharging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specified below, 180 days in advance of any new introduction of pollutants into such treatment works from a source which would be subject to Section 301 of the Act if such source were discharging pollutants. However, the connection of such a source need not be reported if the source contributes less than 25,000 gallons of process wastewater per day at the average discharge, or contributes less than 5 percent of the organic or hydraulic loading of the treatment facility, or is not subject to a federal pretreatment standard adopted by reference in </w:t>
      </w:r>
      <w:hyperlink r:id="rId176">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or does not contribute pollutants that may cause interference or pass through;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Sixty days in advance of any substantial change in volume or character of pollutants being introduced into such treatment works by a source introducing pollutants into such works at the time of issuance of the permit.</w:t>
      </w:r>
    </w:p>
    <w:p>
      <w:pPr>
        <w:spacing w:before="0" w:after="0"/>
        <w:ind w:left="120"/>
        <w:jc w:val="both"/>
      </w:pPr>
      <w:r>
        <w:rPr>
          <w:rFonts w:ascii="Times New Roman" w:hAnsi="Times New Roman"/>
          <w:b w:val="false"/>
          <w:i w:val="false"/>
          <w:color w:val="000000"/>
          <w:sz w:val="22"/>
        </w:rPr>
        <w:t>Such notice shall include information on the quality and quantity of effluent to be introduced into such treatment works and any anticipated impact of such change in the quantity or quality of effluent to be discharged from such publicly owned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if the permit is for a discharge from a publicly owned treatment works, the permittee shall require any industrial user of such treatment works to comply with the requirements of Sections 204(b), 307, and 308 of the Act. As a means of ensuring such compliance, the permittee shall require that each industrial user subject to the requirements of Section 307 of the Act give to the permittee periodic notice (over intervals not to exceed six months) of progress toward full compliance with Section 307 requirements. The permittee shall forward a copy of the notice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permittee at all times shall maintain in good working order and operate as efficiently as possible any facilities or systems of treatment and control which have been installed or are used by the permittee to achieve compliance with the terms and conditions of the permit. Proper operation and maintenance also include adequate laboratory control and appropriate quality assurance procedures. This provision requires the operation of backup or auxiliary facilities or similar systems which have been installed by the permittee only when such operation is necessary to achieve compliance with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if a toxic effluent standard or prohibition (including any schedule of compliance specified in such effluent standard or prohibition) is established under Section 307(a) of the Act for a toxic pollutant which is present in the permittee’s discharge and such standard or prohibition is more stringent than any limitation upon such pollutant in the NPDES permit, the director shall revise or modify the permit in accordance with the toxic effluent standard or prohibition and so notify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an NPDES permit proposes to dispose of pollutants into wells as part of a program to meet the proposed terms and conditions of an NPDES permit, the director shall specify additional terms and conditions of the issued NPDES permit which shall prohibit the proposed disposal or control the proposed disposal in order to prevent pollution of ground and surface water resources and to protect the public health and welfare. (See rule </w:t>
      </w:r>
      <w:hyperlink r:id="rId177">
        <w:r>
          <w:rPr>
            <w:rStyle w:val="Hyperlink"/>
            <w:rFonts w:ascii="Times New Roman" w:hAnsi="Times New Roman"/>
            <w:b w:val="false"/>
            <w:i w:val="false"/>
            <w:color w:val="000000"/>
            <w:sz w:val="22"/>
          </w:rPr>
          <w:t>567—62.9</w:t>
        </w:r>
      </w:hyperlink>
      <w:r>
        <w:rPr>
          <w:rFonts w:ascii="Times New Roman" w:hAnsi="Times New Roman"/>
          <w:b w:val="false"/>
          <w:i w:val="false"/>
          <w:color w:val="000000"/>
          <w:sz w:val="22"/>
        </w:rPr>
        <w:t>(455B) which prohibits the disposal of pollutants, other than heat, into wells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That the permittee shall take all reasonable steps to minimize or prevent any discharge in violation of the permit which has a reasonable likelihood of adversely affecting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It shall not be a defense for a permittee in an enforcement action that it would have been necessary to halt or reduce the permitted activity in order to maintain compliance with the terms of this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64.7(8)</w:t>
      </w:r>
      <w:r>
        <w:rPr>
          <w:rFonts w:ascii="Times New Roman" w:hAnsi="Times New Roman"/>
          <w:b w:val="false"/>
          <w:i w:val="false"/>
          <w:color w:val="000000"/>
          <w:sz w:val="22"/>
        </w:rPr>
        <w:t> </w:t>
      </w:r>
      <w:r>
        <w:rPr>
          <w:rFonts w:ascii="Times New Roman" w:hAnsi="Times New Roman"/>
          <w:b w:val="false"/>
          <w:i/>
          <w:color w:val="000000"/>
          <w:sz w:val="22"/>
        </w:rPr>
        <w:t xml:space="preserve">POTW compliance—plan of action required. </w:t>
      </w:r>
      <w:r>
        <w:rPr>
          <w:rFonts w:ascii="Times New Roman" w:hAnsi="Times New Roman"/>
          <w:b w:val="false"/>
          <w:i w:val="false"/>
          <w:color w:val="000000"/>
          <w:sz w:val="22"/>
        </w:rPr>
        <w:t>The owner of a publicly owned treatment works (POTW) must prepare and implement a plan of action to achieve and maintain compliance with final effluent limitations in its NPDES permit,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notify the owner of a POTW of the plan of action requirement, and of an opportunity to meet with department staff to discuss the plan of action requirements. The POTW owner shall submit a plan of action to the appropriate regional field office of the department within six months of such notice, unless a longer time is needed and is authorized in writing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action will vary in length and complexity depending on the compliance history and physical status of the particular POTW. It must identify the deficiencies and needs of the system, describe the causes of such deficiencies or needs, propose specific measures (including an implementation schedule) that will be taken to correct the deficiencies or meet the needs, and discuss the method of financing the improvements proposed in the plan of action. A plan may include the submittal of a disadvantaged community analysis in accordance with subrule </w:t>
      </w:r>
      <w:hyperlink r:id="rId178">
        <w:r>
          <w:rPr>
            <w:rStyle w:val="Hyperlink"/>
            <w:rFonts w:ascii="Times New Roman" w:hAnsi="Times New Roman"/>
            <w:b w:val="false"/>
            <w:i w:val="false"/>
            <w:color w:val="000000"/>
            <w:sz w:val="22"/>
          </w:rPr>
          <w:t>64.7(5)</w:t>
        </w:r>
      </w:hyperlink>
      <w:r>
        <w:rPr>
          <w:rFonts w:ascii="Times New Roman" w:hAnsi="Times New Roman"/>
          <w:b w:val="false"/>
          <w:i w:val="false"/>
          <w:color w:val="000000"/>
          <w:sz w:val="22"/>
        </w:rPr>
        <w:t>, at the discretion of the POTW.</w:t>
      </w:r>
    </w:p>
    <w:p>
      <w:pPr>
        <w:spacing w:before="0" w:after="0"/>
        <w:ind w:left="120"/>
        <w:jc w:val="both"/>
      </w:pPr>
      <w:r>
        <w:rPr>
          <w:rFonts w:ascii="Times New Roman" w:hAnsi="Times New Roman"/>
          <w:b w:val="false"/>
          <w:i w:val="false"/>
          <w:color w:val="000000"/>
          <w:sz w:val="22"/>
        </w:rPr>
        <w:t>The plan may provide for a phased construction approach to meet interim and final limitations, where financing is such that a long-term project is necessary to meet final limitations, and shorter term projects may provide incremental benefits to water quality in the interim.</w:t>
      </w:r>
    </w:p>
    <w:p>
      <w:pPr>
        <w:spacing w:before="0" w:after="0"/>
        <w:ind w:left="120"/>
        <w:jc w:val="both"/>
      </w:pPr>
      <w:r>
        <w:rPr>
          <w:rFonts w:ascii="Times New Roman" w:hAnsi="Times New Roman"/>
          <w:b w:val="false"/>
          <w:i w:val="false"/>
          <w:color w:val="000000"/>
          <w:sz w:val="22"/>
        </w:rPr>
        <w:t>Information on the purpose and preparation of the plan can be found in the departmental document entitled “Guidance on Preparing a Plan of Action,” available from the department’s regional field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submission of a complete plan of action to the department, the plan should be reviewed and approved or disapproved within 60 days unless a longer time is required and the POTW owner is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NPDES permit for the facility shall be amended to include the implementation schedule or other actions developed through the plan to achieve and maintain compliance.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1 (</w:t>
      </w:r>
      <w:hyperlink r:id="rId180">
        <w:r>
          <w:rPr>
            <w:rStyle w:val="Hyperlink"/>
            <w:rFonts w:ascii="Times New Roman" w:hAnsi="Times New Roman"/>
            <w:b w:val="false"/>
            <w:i w:val="false"/>
            <w:color w:val="000000"/>
            <w:sz w:val="22"/>
          </w:rPr>
          <w:t>455B.171 to 455B.187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0529C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2695C</w:t>
      </w:r>
      <w:r>
        <w:rPr>
          <w:rFonts w:ascii="Times New Roman" w:hAnsi="Times New Roman"/>
          <w:b w:val="false"/>
          <w:i w:val="false"/>
          <w:color w:val="000000"/>
          <w:sz w:val="16"/>
        </w:rPr>
        <w:t>, IAB 8/31/16, effective 8/12/16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567—64.8</w:t>
      </w:r>
      <w:r>
        <w:rPr>
          <w:rFonts w:ascii="Times New Roman" w:hAnsi="Times New Roman"/>
          <w:b/>
          <w:i w:val="false"/>
          <w:color w:val="000000"/>
          <w:sz w:val="22"/>
        </w:rPr>
        <w:t xml:space="preserve">(455B) </w:t>
      </w:r>
      <w:r>
        <w:rPr>
          <w:rFonts w:ascii="Times New Roman" w:hAnsi="Times New Roman"/>
          <w:b/>
          <w:i w:val="false"/>
          <w:color w:val="000000"/>
          <w:sz w:val="22"/>
        </w:rPr>
        <w:t xml:space="preserve">Reissuance of operation and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64.8(1)</w:t>
      </w:r>
      <w:r>
        <w:rPr>
          <w:rFonts w:ascii="Times New Roman" w:hAnsi="Times New Roman"/>
          <w:b w:val="false"/>
          <w:i w:val="false"/>
          <w:color w:val="000000"/>
          <w:sz w:val="22"/>
        </w:rPr>
        <w:t> </w:t>
      </w:r>
      <w:r>
        <w:rPr>
          <w:rFonts w:ascii="Times New Roman" w:hAnsi="Times New Roman"/>
          <w:b w:val="false"/>
          <w:i/>
          <w:color w:val="000000"/>
          <w:sz w:val="22"/>
        </w:rPr>
        <w:t xml:space="preserve">Individual operation and NPDES permits. </w:t>
      </w:r>
      <w:r>
        <w:rPr>
          <w:rFonts w:ascii="Times New Roman" w:hAnsi="Times New Roman"/>
          <w:b w:val="false"/>
          <w:i w:val="false"/>
          <w:color w:val="000000"/>
          <w:sz w:val="22"/>
        </w:rPr>
        <w:t xml:space="preserve">Individual operation and NPDES permits will be reissued according to the procedures identified in </w:t>
      </w:r>
      <w:hyperlink r:id="rId181">
        <w:r>
          <w:rPr>
            <w:rStyle w:val="Hyperlink"/>
            <w:rFonts w:ascii="Times New Roman" w:hAnsi="Times New Roman"/>
            <w:b w:val="false"/>
            <w:i w:val="false"/>
            <w:color w:val="000000"/>
            <w:sz w:val="22"/>
          </w:rPr>
          <w:t>64.8(1)</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operation or NPDES permittee who wishes to continue to discharge after the expiration date of the permit shall file an application for reissuance of the permit at least 180 days prior to the expiration of the permit pursuant to </w:t>
      </w:r>
      <w:hyperlink r:id="rId182">
        <w:r>
          <w:rPr>
            <w:rStyle w:val="Hyperlink"/>
            <w:rFonts w:ascii="Times New Roman" w:hAnsi="Times New Roman"/>
            <w:b w:val="false"/>
            <w:i w:val="false"/>
            <w:color w:val="000000"/>
            <w:sz w:val="22"/>
          </w:rPr>
          <w:t>567—60.4</w:t>
        </w:r>
      </w:hyperlink>
      <w:r>
        <w:rPr>
          <w:rFonts w:ascii="Times New Roman" w:hAnsi="Times New Roman"/>
          <w:b w:val="false"/>
          <w:i w:val="false"/>
          <w:color w:val="000000"/>
          <w:sz w:val="22"/>
        </w:rPr>
        <w:t>(455B). For a POTW, permission to submit an application at a later date may be granted by the director. In addition, the applicant must submit up-to-date information on the permittee’s production levels, the permittee’s waste treatment practices, or the nature, contents, and frequency of the permittee’s discharge, as required by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follow the notice and public participation procedures specified in </w:t>
      </w:r>
      <w:hyperlink r:id="rId183">
        <w:r>
          <w:rPr>
            <w:rStyle w:val="Hyperlink"/>
            <w:rFonts w:ascii="Times New Roman" w:hAnsi="Times New Roman"/>
            <w:b w:val="false"/>
            <w:i w:val="false"/>
            <w:color w:val="000000"/>
            <w:sz w:val="22"/>
          </w:rPr>
          <w:t>567—64.5</w:t>
        </w:r>
      </w:hyperlink>
      <w:r>
        <w:rPr>
          <w:rFonts w:ascii="Times New Roman" w:hAnsi="Times New Roman"/>
          <w:b w:val="false"/>
          <w:i w:val="false"/>
          <w:color w:val="000000"/>
          <w:sz w:val="22"/>
        </w:rPr>
        <w:t>(455B) in connection with each request for reissuance of an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in these rules, any new point source the construction of which is commenced after the date of enactment of the Federal Water Pollution Control Act Amendments of 1972 (October 18, 1972) and which is so constructed as to meet all applicable standards of performance for new sources shall not be subject to any more stringent standard of performance during a ten-year period beginning on the date of completion of such construction or during the period of depreciation or amortization of such facility for the purposes of Section 167 or 169 (or both) of the Internal Revenue Code, as amended through December 31, 1976, whichever period ends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64.8(2)</w:t>
      </w:r>
      <w:r>
        <w:rPr>
          <w:rFonts w:ascii="Times New Roman" w:hAnsi="Times New Roman"/>
          <w:b w:val="false"/>
          <w:i w:val="false"/>
          <w:color w:val="000000"/>
          <w:sz w:val="22"/>
        </w:rPr>
        <w:t> </w:t>
      </w:r>
      <w:r>
        <w:rPr>
          <w:rFonts w:ascii="Times New Roman" w:hAnsi="Times New Roman"/>
          <w:b w:val="false"/>
          <w:i/>
          <w:color w:val="000000"/>
          <w:sz w:val="22"/>
        </w:rPr>
        <w:t xml:space="preserve">Renewal of coverage under a general permit. </w:t>
      </w:r>
      <w:r>
        <w:rPr>
          <w:rFonts w:ascii="Times New Roman" w:hAnsi="Times New Roman"/>
          <w:b w:val="false"/>
          <w:i w:val="false"/>
          <w:color w:val="000000"/>
          <w:sz w:val="22"/>
        </w:rPr>
        <w:t xml:space="preserve">Coverage under a general permit will be renewed subject to the terms and conditions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permittee intends to continue an activity covered by a general permit for which an NOI is required beyond the expiration date of the general permit, the permittee must reapply and submit a complete NOI in accordance with the requirements specified in the applicable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holding a general permit is subject to the terms of the permit until either the permit expires, the authorization under the permit expires, or a Notice of Discontinuation is submitted in accordance with </w:t>
      </w:r>
      <w:hyperlink r:id="rId184">
        <w:r>
          <w:rPr>
            <w:rStyle w:val="Hyperlink"/>
            <w:rFonts w:ascii="Times New Roman" w:hAnsi="Times New Roman"/>
            <w:b w:val="false"/>
            <w:i w:val="false"/>
            <w:color w:val="000000"/>
            <w:sz w:val="22"/>
          </w:rPr>
          <w:t>64.6(5)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holding a general permit continues the activity beyond the expiration date of the permit and the permit will be reissued, the conditions of the expired general permit will remain in effect provided the permittee submits a complete NOI for coverage as required by the applicable general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holding a general permit continues the activity beyond the expiration date of the permit and the general permit will not be reissued or renewed, the discharge must be permitted with an individual NPDES permit according to the procedures in </w:t>
      </w:r>
      <w:hyperlink r:id="rId185">
        <w:r>
          <w:rPr>
            <w:rStyle w:val="Hyperlink"/>
            <w:rFonts w:ascii="Times New Roman" w:hAnsi="Times New Roman"/>
            <w:b w:val="false"/>
            <w:i w:val="false"/>
            <w:color w:val="000000"/>
            <w:sz w:val="22"/>
          </w:rPr>
          <w:t>64.3(4)</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64.8(3)</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expiring operation and NPDES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conditions of an expired operation or NPDES permit will continue in force until the effective date of a new permit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has submitted a timely and complete application under </w:t>
      </w:r>
      <w:hyperlink r:id="rId186">
        <w:r>
          <w:rPr>
            <w:rStyle w:val="Hyperlink"/>
            <w:rFonts w:ascii="Times New Roman" w:hAnsi="Times New Roman"/>
            <w:b w:val="false"/>
            <w:i w:val="false"/>
            <w:color w:val="000000"/>
            <w:sz w:val="22"/>
          </w:rPr>
          <w:t>567—subrule 60.4(2)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through no fault of the permittee, does not issue a new permit with an effective date on or before the expiration date of the previous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 and NPDES permits continued under this subrule remain fully effective and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permittee is not in compliance with the conditions of the expiring or continued permit, the department may choose to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Initiate enforcement action on a permit which has been continued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 notice of intent to deny a permit under </w:t>
      </w:r>
      <w:hyperlink r:id="rId187">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Reissue a permit with appropriate conditions in accordance with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other actions authorized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record keeping and reporting by operation permit holders. </w:t>
      </w:r>
      <w:r>
        <w:rPr>
          <w:rFonts w:ascii="Times New Roman" w:hAnsi="Times New Roman"/>
          <w:b w:val="false"/>
          <w:i w:val="false"/>
          <w:color w:val="000000"/>
          <w:sz w:val="22"/>
        </w:rPr>
        <w:t xml:space="preserve">Operation permit holders are subject to any applicable requirements and provisions specified in the operation permit issued by the department and to the applicable requirements and provisions specified in </w:t>
      </w:r>
      <w:hyperlink r:id="rId188">
        <w:r>
          <w:rPr>
            <w:rStyle w:val="Hyperlink"/>
            <w:rFonts w:ascii="Times New Roman" w:hAnsi="Times New Roman"/>
            <w:b w:val="false"/>
            <w:i w:val="false"/>
            <w:color w:val="000000"/>
            <w:sz w:val="22"/>
          </w:rPr>
          <w:t>567—Chapter 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567—64.10</w:t>
      </w:r>
      <w:r>
        <w:rPr>
          <w:rFonts w:ascii="Times New Roman" w:hAnsi="Times New Roman"/>
          <w:b/>
          <w:i w:val="false"/>
          <w:color w:val="000000"/>
          <w:sz w:val="22"/>
        </w:rPr>
        <w:t xml:space="preserve">(455B) </w:t>
      </w:r>
      <w:r>
        <w:rPr>
          <w:rFonts w:ascii="Times New Roman" w:hAnsi="Times New Roman"/>
          <w:b/>
          <w:i w:val="false"/>
          <w:color w:val="000000"/>
          <w:sz w:val="22"/>
        </w:rPr>
        <w:t xml:space="preserve">Silvicultural activities. </w:t>
      </w:r>
      <w:r>
        <w:rPr>
          <w:rFonts w:ascii="Times New Roman" w:hAnsi="Times New Roman"/>
          <w:b w:val="false"/>
          <w:i w:val="false"/>
          <w:color w:val="000000"/>
          <w:sz w:val="22"/>
        </w:rPr>
        <w:t>The following is adopted by reference: 40 CFR Section 122.27.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567—64.11</w:t>
      </w:r>
      <w:r>
        <w:rPr>
          <w:rFonts w:ascii="Times New Roman" w:hAnsi="Times New Roman"/>
          <w:b w:val="false"/>
          <w:i w:val="false"/>
          <w:color w:val="000000"/>
          <w:sz w:val="22"/>
        </w:rPr>
        <w:t xml:space="preserve"> and </w:t>
      </w:r>
      <w:r>
        <w:rPr>
          <w:rFonts w:ascii="Times New Roman" w:hAnsi="Times New Roman"/>
          <w:b/>
          <w:i w:val="false"/>
          <w:color w:val="000000"/>
          <w:sz w:val="22"/>
        </w:rPr>
        <w:t>64.12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567—64.13</w:t>
      </w:r>
      <w:r>
        <w:rPr>
          <w:rFonts w:ascii="Times New Roman" w:hAnsi="Times New Roman"/>
          <w:b/>
          <w:i w:val="false"/>
          <w:color w:val="000000"/>
          <w:sz w:val="22"/>
        </w:rPr>
        <w:t xml:space="preserve">(455B) </w:t>
      </w:r>
      <w:r>
        <w:rPr>
          <w:rFonts w:ascii="Times New Roman" w:hAnsi="Times New Roman"/>
          <w:b/>
          <w:i w:val="false"/>
          <w:color w:val="000000"/>
          <w:sz w:val="22"/>
        </w:rPr>
        <w:t xml:space="preserve">Storm water discharges.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64.13(1)</w:t>
      </w:r>
      <w:r>
        <w:rPr>
          <w:rFonts w:ascii="Times New Roman" w:hAnsi="Times New Roman"/>
          <w:b w:val="false"/>
          <w:i w:val="false"/>
          <w:color w:val="000000"/>
          <w:sz w:val="22"/>
        </w:rPr>
        <w:t> </w:t>
      </w:r>
      <w:r>
        <w:rPr>
          <w:rFonts w:ascii="Times New Roman" w:hAnsi="Times New Roman"/>
          <w:b w:val="false"/>
          <w:i w:val="false"/>
          <w:color w:val="000000"/>
          <w:sz w:val="22"/>
        </w:rPr>
        <w:t>The following is adopted by reference: 40 CFR Section 122.26.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64.13(2)</w:t>
      </w:r>
      <w:r>
        <w:rPr>
          <w:rFonts w:ascii="Times New Roman" w:hAnsi="Times New Roman"/>
          <w:b w:val="false"/>
          <w:i w:val="false"/>
          <w:color w:val="000000"/>
          <w:sz w:val="22"/>
        </w:rPr>
        <w:t> </w:t>
      </w:r>
      <w:r>
        <w:rPr>
          <w:rFonts w:ascii="Times New Roman" w:hAnsi="Times New Roman"/>
          <w:b w:val="false"/>
          <w:i w:val="false"/>
          <w:color w:val="000000"/>
          <w:sz w:val="22"/>
        </w:rPr>
        <w:t>Small municipal separate storm sewer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discharge from a regulated small municipal separate storm sewer system (MS4), the permit application must be submitted no later than March 10, 2003, if designated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MS4s located in urbanized areas as defined by the latest decennial census and all MS4s which serve 10,000 people or more located outside urbanized areas and where the average population density is 1,000 people/square mile or more are regulated small MS4s unless waiver criteria established by the department are met and a waiver has been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 coverage requirements for MS4s located in urbanized areas and serving 1,000 or more people and fewer than 10,000 people may be waived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evaluated all waters of the United States that receive a discharge from the MS4, and for all such waters, the department has determined that storm water controls are not needed based on wasteload allocations that are part of an EPA approved or established total maximum daily load (TMDL) that addresses the pollutants of concern or, if a TMDL has not been developed or approved, an equivalent analysis that determines sources and allocations for the pollutants of concern. The pollutants of concern include biochemical oxygen demand, sediment or a parameter that addresses sediment (total suspended solids, turbidity or siltation), pathogens, oil and grease, and any pollutant that has been identified as a cause of impairment of any water body that will receive a discharge from the MS4.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determined that future discharges from the MS4 do not have the potential to result in exceedances of water quality standards, including impairment of designated uses or other significant water quality impacts including habitat and biological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Permit coverage requirements for MS4s located in urbanized areas and serving fewer than 1,000 people may be waived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is not contributing substantially to the pollutant loadings of a physically interconnected MS4 that is regulated by the NPDES storm water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MS4 discharges any pollutants that have been identified as a cause of impairment of any water body to which the MS4 discharges and the department has determined that storm water controls are not needed based upon wasteload allocations that are a part of an EPA approved or established TMDL that addresses the pollutants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 coverage requirements for MS4s located outside of urbanized areas and serving 10,000 or more people may be waived if the following criterion is met:</w:t>
      </w:r>
    </w:p>
    <w:p>
      <w:pPr>
        <w:spacing w:before="0" w:after="0"/>
        <w:ind w:left="120"/>
        <w:jc w:val="both"/>
      </w:pPr>
      <w:r>
        <w:rPr>
          <w:rFonts w:ascii="Times New Roman" w:hAnsi="Times New Roman"/>
          <w:b w:val="false"/>
          <w:i w:val="false"/>
          <w:color w:val="000000"/>
          <w:sz w:val="22"/>
        </w:rPr>
        <w:t>The MS4 is not discharging pollutants which are the cause of the impairment to a water body designated by the department as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Should conditions under which the initial waiver was granted change, the waiver may be rescinded by the department and permit coverage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MS4 applications shall, at a minimum, demonstrate in what manner the applicant will develop, implement and enforce a storm water management program designed to reduce the discharge of pollutants from the MS4 to the maximum extent practicable, to protect water quality and to satisfy the appropriate water quality requirements of the Clean Water Act. The manner in which the permittee will address the following items must be addressed in the application: public education and outreach on storm water impacts, public involvement and participation, illicit discharge detection and elimination, construction site storm water runoff control, postconstruction storm water management in new development and redevelopment, and pollution prevention for municipal operations. Measurable goals which the applicant intends to meet and dates by which the goals will be accomplished shall be included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64.13(3)</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for storm water discharge associated with small construction activity. The director may waive the otherwise applicable requirements in a general permit for storm water discharge from small construction activities as defined in </w:t>
      </w:r>
      <w:hyperlink r:id="rId189">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value of the rainfall erosivity factor (“R” in the Revised Universal Soil Loss Equation) is less than 5 during the period of construction activity. The rainfall erosivity factor is determined in accordance with Chapter 2 of Agriculture Handbook Number 703, Predicting Soil Erosion by Water: A Guide to Conservation Planning With the Revised Universal Soil Loss Equation (RUSLE), pages 21-64, dated January 1997;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Storm water controls are not needed based on a TMDL approved or established by the EPA that addresses the pollutant(s) of concern or, for nonimpaired waters that do not require TMDLs, an equivalent analysis that determines allocations for small construction sites for the pollutant(s) of concern or that determines that such allocations are not needed to protect water quality based on consideration of existing in-stream concentrations, expected growth in pollutant contributions from all sources, and a margin of safety. The pollutant(s) of concern includes sediment or a parameter that addresses sediment (such as total suspended solids, turbidity or siltation) and any other pollutant that has been identified as a cause of impairment of any water body that will receive a discharge from the construction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567—64.14</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and owner or operator address change. </w:t>
      </w:r>
      <w:r>
        <w:rPr>
          <w:rFonts w:ascii="Times New Roman" w:hAnsi="Times New Roman"/>
          <w:b w:val="false"/>
          <w:i w:val="false"/>
          <w:color w:val="000000"/>
          <w:sz w:val="22"/>
        </w:rPr>
        <w:t xml:space="preserve">If title to any disposal system or part thereof for which a permit has been issued under rule </w:t>
      </w:r>
      <w:hyperlink r:id="rId190">
        <w:r>
          <w:rPr>
            <w:rStyle w:val="Hyperlink"/>
            <w:rFonts w:ascii="Times New Roman" w:hAnsi="Times New Roman"/>
            <w:b w:val="false"/>
            <w:i w:val="false"/>
            <w:color w:val="000000"/>
            <w:sz w:val="22"/>
          </w:rPr>
          <w:t>567—64.2</w:t>
        </w:r>
      </w:hyperlink>
      <w:r>
        <w:rPr>
          <w:rFonts w:ascii="Times New Roman" w:hAnsi="Times New Roman"/>
          <w:b w:val="false"/>
          <w:i w:val="false"/>
          <w:color w:val="000000"/>
          <w:sz w:val="22"/>
        </w:rPr>
        <w:t xml:space="preserve">(455B), </w:t>
      </w:r>
      <w:hyperlink r:id="rId191">
        <w:r>
          <w:rPr>
            <w:rStyle w:val="Hyperlink"/>
            <w:rFonts w:ascii="Times New Roman" w:hAnsi="Times New Roman"/>
            <w:b w:val="false"/>
            <w:i w:val="false"/>
            <w:color w:val="000000"/>
            <w:sz w:val="22"/>
          </w:rPr>
          <w:t>567—64.3</w:t>
        </w:r>
      </w:hyperlink>
      <w:r>
        <w:rPr>
          <w:rFonts w:ascii="Times New Roman" w:hAnsi="Times New Roman"/>
          <w:b w:val="false"/>
          <w:i w:val="false"/>
          <w:color w:val="000000"/>
          <w:sz w:val="22"/>
        </w:rPr>
        <w:t xml:space="preserve">(455B), or </w:t>
      </w:r>
      <w:hyperlink r:id="rId192">
        <w:r>
          <w:rPr>
            <w:rStyle w:val="Hyperlink"/>
            <w:rFonts w:ascii="Times New Roman" w:hAnsi="Times New Roman"/>
            <w:b w:val="false"/>
            <w:i w:val="false"/>
            <w:color w:val="000000"/>
            <w:sz w:val="22"/>
          </w:rPr>
          <w:t>567—64.6</w:t>
        </w:r>
      </w:hyperlink>
      <w:r>
        <w:rPr>
          <w:rFonts w:ascii="Times New Roman" w:hAnsi="Times New Roman"/>
          <w:b w:val="false"/>
          <w:i w:val="false"/>
          <w:color w:val="000000"/>
          <w:sz w:val="22"/>
        </w:rPr>
        <w:t xml:space="preserve">(455B) is transferred, the new owner or owners shall be subject to all terms and conditions of the permit. Whenever title to a disposal system or part thereof is changed, the department shall be notified in writing of such change within 30 days of the occurrence. When a discharge is covered by a general permit, the operator of record shall be subject to all terms and conditions of the permit. No transfer of the authorization to discharge from the facility represented by the permit shall take place prior to notification of the department of the transfer of title. Whenever the address of the owner is changed, the department shall be notified in writing within 30 days of the address change.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9553B</w:t>
      </w:r>
      <w:r>
        <w:rPr>
          <w:rFonts w:ascii="Times New Roman" w:hAnsi="Times New Roman"/>
          <w:b w:val="false"/>
          <w:i w:val="false"/>
          <w:color w:val="000000"/>
          <w:sz w:val="16"/>
        </w:rPr>
        <w:t>, IAB 6/15/11, effective 7/20/11</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193">
        <w:r>
          <w:rPr>
            <w:rStyle w:val="Hyperlink"/>
            <w:rFonts w:ascii="Times New Roman" w:hAnsi="Times New Roman"/>
            <w:b w:val="false"/>
            <w:i w:val="false"/>
            <w:color w:val="000000"/>
            <w:sz w:val="22"/>
          </w:rPr>
          <w:t>567—64.3(455B)</w:t>
        </w:r>
      </w:hyperlink>
      <w:r>
        <w:rPr>
          <w:rFonts w:ascii="Times New Roman" w:hAnsi="Times New Roman"/>
          <w:b w:val="false"/>
          <w:i w:val="false"/>
          <w:color w:val="000000"/>
          <w:sz w:val="22"/>
        </w:rPr>
        <w:t xml:space="preserve"> to </w:t>
      </w:r>
      <w:hyperlink r:id="rId194">
        <w:r>
          <w:rPr>
            <w:rStyle w:val="Hyperlink"/>
            <w:rFonts w:ascii="Times New Roman" w:hAnsi="Times New Roman"/>
            <w:b w:val="false"/>
            <w:i w:val="false"/>
            <w:color w:val="000000"/>
            <w:sz w:val="22"/>
          </w:rPr>
          <w:t>567—64.14</w:t>
        </w:r>
      </w:hyperlink>
      <w:r>
        <w:rPr>
          <w:rFonts w:ascii="Times New Roman" w:hAnsi="Times New Roman"/>
          <w:b w:val="false"/>
          <w:i w:val="false"/>
          <w:color w:val="000000"/>
          <w:sz w:val="22"/>
        </w:rPr>
        <w:t xml:space="preserve">(455B) are intended to implement Iowa Code section </w:t>
      </w:r>
      <w:hyperlink r:id="rId195">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567—64.15</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permits issued by the department. </w:t>
      </w:r>
      <w:r>
        <w:rPr>
          <w:rFonts w:ascii="Times New Roman" w:hAnsi="Times New Roman"/>
          <w:b w:val="false"/>
          <w:i w:val="false"/>
          <w:color w:val="000000"/>
          <w:sz w:val="22"/>
        </w:rPr>
        <w:t xml:space="preserve">The following is a list of general permits adopted by the department through the Administrative Procedure Act, Iowa Code chapter </w:t>
      </w:r>
      <w:hyperlink r:id="rId19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and the term of each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effective March 1, 2023, to February 29, 2028. Facilities assigned Standard Industrial Classification 1442, 2951, or 3273, and those facilities assigned Standard Industrial Classification 1422 or 1423 which are engaged primarily in rock crushing are not eligible for coverage under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64.15(2)</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for Construction Activities,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64.15(3)</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from Asphalt Plants, Concrete Batch Plants, Rock Crushing Plants, and Construction Sand and Gravel Facilities,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 effective March 1, 2023, to February 29, 2028.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 authorizes storm water discharges from facilities primarily engaged in manufacturing asphalt paving mixtures and which are classified under Standard Industrial Classification 2951, primarily engaged in manufacturing Portland cement concrete and which are classified under Standard Industrial Classification 3273, those facilities assigned Standard Industrial Classification 1422 or 1423 which are primarily engaged in the crushing, grinding or pulverizing of limestone or granite, and construction sand and gravel facilities which are classified under Standard Industrial Classification 1442.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does not authorize the discharge of water resulting from dewatering activities at rock quarries.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64.15(4)</w:t>
      </w:r>
      <w:r>
        <w:rPr>
          <w:rFonts w:ascii="Times New Roman" w:hAnsi="Times New Roman"/>
          <w:b w:val="false"/>
          <w:i w:val="false"/>
          <w:color w:val="000000"/>
          <w:sz w:val="22"/>
        </w:rPr>
        <w:t> </w:t>
      </w:r>
      <w:r>
        <w:rPr>
          <w:rFonts w:ascii="Times New Roman" w:hAnsi="Times New Roman"/>
          <w:b w:val="false"/>
          <w:i w:val="false"/>
          <w:color w:val="000000"/>
          <w:sz w:val="22"/>
        </w:rPr>
        <w:t>“Discharge from Private Sewage Disposal Systems,”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effective March 1, 2023, to February 29,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64.15(5)</w:t>
      </w:r>
      <w:r>
        <w:rPr>
          <w:rFonts w:ascii="Times New Roman" w:hAnsi="Times New Roman"/>
          <w:b w:val="false"/>
          <w:i w:val="false"/>
          <w:color w:val="000000"/>
          <w:sz w:val="22"/>
        </w:rPr>
        <w:t> </w:t>
      </w:r>
      <w:r>
        <w:rPr>
          <w:rFonts w:ascii="Times New Roman" w:hAnsi="Times New Roman"/>
          <w:b w:val="false"/>
          <w:i w:val="false"/>
          <w:color w:val="000000"/>
          <w:sz w:val="22"/>
        </w:rPr>
        <w:t>“Discharge from Mining and Processing Facilities,” NPDES General Permit No. 5,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64.15(6)</w:t>
      </w:r>
      <w:r>
        <w:rPr>
          <w:rFonts w:ascii="Times New Roman" w:hAnsi="Times New Roman"/>
          <w:b w:val="false"/>
          <w:i w:val="false"/>
          <w:color w:val="000000"/>
          <w:sz w:val="22"/>
        </w:rPr>
        <w:t> </w:t>
      </w:r>
      <w:r>
        <w:rPr>
          <w:rFonts w:ascii="Times New Roman" w:hAnsi="Times New Roman"/>
          <w:b w:val="false"/>
          <w:i w:val="false"/>
          <w:color w:val="000000"/>
          <w:sz w:val="22"/>
        </w:rPr>
        <w:t>“Discharge Associated with Well Construction Activities,”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64.15(7)</w:t>
      </w:r>
      <w:r>
        <w:rPr>
          <w:rFonts w:ascii="Times New Roman" w:hAnsi="Times New Roman"/>
          <w:b w:val="false"/>
          <w:i w:val="false"/>
          <w:color w:val="000000"/>
          <w:sz w:val="22"/>
        </w:rPr>
        <w:t> </w:t>
      </w:r>
      <w:r>
        <w:rPr>
          <w:rFonts w:ascii="Times New Roman" w:hAnsi="Times New Roman"/>
          <w:b w:val="false"/>
          <w:i w:val="false"/>
          <w:color w:val="000000"/>
          <w:sz w:val="22"/>
        </w:rPr>
        <w:t>“Pesticide General Permit (PGP) for Point Source Discharges to Waters of the United States from the Application of Pesticides,”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64.15(8)</w:t>
      </w:r>
      <w:r>
        <w:rPr>
          <w:rFonts w:ascii="Times New Roman" w:hAnsi="Times New Roman"/>
          <w:b w:val="false"/>
          <w:i w:val="false"/>
          <w:color w:val="000000"/>
          <w:sz w:val="22"/>
        </w:rPr>
        <w:t> </w:t>
      </w:r>
      <w:r>
        <w:rPr>
          <w:rFonts w:ascii="Times New Roman" w:hAnsi="Times New Roman"/>
          <w:b w:val="false"/>
          <w:i w:val="false"/>
          <w:color w:val="000000"/>
          <w:sz w:val="22"/>
        </w:rPr>
        <w:t>“Discharge from Hydrostatic Testing, Tank Ballasting and Water Lines,”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 effective July 1, 2023, to June 30, 2028.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64.15(9)</w:t>
      </w:r>
      <w:r>
        <w:rPr>
          <w:rFonts w:ascii="Times New Roman" w:hAnsi="Times New Roman"/>
          <w:b w:val="false"/>
          <w:i w:val="false"/>
          <w:color w:val="000000"/>
          <w:sz w:val="22"/>
        </w:rPr>
        <w:t> </w:t>
      </w:r>
      <w:r>
        <w:rPr>
          <w:rFonts w:ascii="Times New Roman" w:hAnsi="Times New Roman"/>
          <w:b w:val="false"/>
          <w:i w:val="false"/>
          <w:color w:val="000000"/>
          <w:sz w:val="22"/>
        </w:rPr>
        <w:t>“Discharge from Dewatering and Residential Geothermal Systems,”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 effective July 1, 2023, to June 30, 2028.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7569B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8520B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9553B</w:t>
      </w:r>
      <w:r>
        <w:rPr>
          <w:rFonts w:ascii="Times New Roman" w:hAnsi="Times New Roman"/>
          <w:b w:val="false"/>
          <w:i w:val="false"/>
          <w:color w:val="000000"/>
          <w:sz w:val="16"/>
        </w:rPr>
        <w:t>, IAB 6/15/11, effective 7/20/11</w:t>
      </w:r>
      <w:r>
        <w:rPr>
          <w:rFonts w:ascii="Times New Roman" w:hAnsi="Times New Roman"/>
          <w:b w:val="false"/>
          <w:i w:val="false"/>
          <w:color w:val="000000"/>
          <w:sz w:val="16"/>
        </w:rPr>
        <w:t xml:space="preserve">; </w:t>
      </w:r>
      <w:r>
        <w:rPr>
          <w:rFonts w:ascii="Times New Roman" w:hAnsi="Times New Roman"/>
          <w:b/>
          <w:i w:val="false"/>
          <w:color w:val="000000"/>
          <w:sz w:val="16"/>
        </w:rPr>
        <w:t>ARC 0261C</w:t>
      </w:r>
      <w:r>
        <w:rPr>
          <w:rFonts w:ascii="Times New Roman" w:hAnsi="Times New Roman"/>
          <w:b w:val="false"/>
          <w:i w:val="false"/>
          <w:color w:val="000000"/>
          <w:sz w:val="16"/>
        </w:rPr>
        <w:t>, IAB 8/8/12, effective 10/1/12</w:t>
      </w:r>
      <w:r>
        <w:rPr>
          <w:rFonts w:ascii="Times New Roman" w:hAnsi="Times New Roman"/>
          <w:b w:val="false"/>
          <w:i w:val="false"/>
          <w:color w:val="000000"/>
          <w:sz w:val="16"/>
        </w:rPr>
        <w:t xml:space="preserve">; </w:t>
      </w:r>
      <w:r>
        <w:rPr>
          <w:rFonts w:ascii="Times New Roman" w:hAnsi="Times New Roman"/>
          <w:b/>
          <w:i w:val="false"/>
          <w:color w:val="000000"/>
          <w:sz w:val="16"/>
        </w:rPr>
        <w:t>ARC 1337C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1912C</w:t>
      </w:r>
      <w:r>
        <w:rPr>
          <w:rFonts w:ascii="Times New Roman" w:hAnsi="Times New Roman"/>
          <w:b w:val="false"/>
          <w:i w:val="false"/>
          <w:color w:val="000000"/>
          <w:sz w:val="16"/>
        </w:rPr>
        <w:t>, IAB 3/18/15,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2054C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2572C</w:t>
      </w:r>
      <w:r>
        <w:rPr>
          <w:rFonts w:ascii="Times New Roman" w:hAnsi="Times New Roman"/>
          <w:b w:val="false"/>
          <w:i w:val="false"/>
          <w:color w:val="000000"/>
          <w:sz w:val="16"/>
        </w:rPr>
        <w:t>, IAB 6/8/16,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2571C</w:t>
      </w:r>
      <w:r>
        <w:rPr>
          <w:rFonts w:ascii="Times New Roman" w:hAnsi="Times New Roman"/>
          <w:b w:val="false"/>
          <w:i w:val="false"/>
          <w:color w:val="000000"/>
          <w:sz w:val="16"/>
        </w:rPr>
        <w:t>, IAB 6/8/16, effective 7/20/16</w:t>
      </w:r>
      <w:r>
        <w:rPr>
          <w:rFonts w:ascii="Times New Roman" w:hAnsi="Times New Roman"/>
          <w:b w:val="false"/>
          <w:i w:val="false"/>
          <w:color w:val="000000"/>
          <w:sz w:val="16"/>
        </w:rPr>
        <w:t xml:space="preserve">; </w:t>
      </w:r>
      <w:r>
        <w:rPr>
          <w:rFonts w:ascii="Times New Roman" w:hAnsi="Times New Roman"/>
          <w:b/>
          <w:i w:val="false"/>
          <w:color w:val="000000"/>
          <w:sz w:val="16"/>
        </w:rPr>
        <w:t>ARC 3584C</w:t>
      </w:r>
      <w:r>
        <w:rPr>
          <w:rFonts w:ascii="Times New Roman" w:hAnsi="Times New Roman"/>
          <w:b w:val="false"/>
          <w:i w:val="false"/>
          <w:color w:val="000000"/>
          <w:sz w:val="16"/>
        </w:rPr>
        <w:t>, IAB 1/17/18,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3585C</w:t>
      </w:r>
      <w:r>
        <w:rPr>
          <w:rFonts w:ascii="Times New Roman" w:hAnsi="Times New Roman"/>
          <w:b w:val="false"/>
          <w:i w:val="false"/>
          <w:color w:val="000000"/>
          <w:sz w:val="16"/>
        </w:rPr>
        <w:t>, IAB 1/17/18,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3786C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4609C</w:t>
      </w:r>
      <w:r>
        <w:rPr>
          <w:rFonts w:ascii="Times New Roman" w:hAnsi="Times New Roman"/>
          <w:b w:val="false"/>
          <w:i w:val="false"/>
          <w:color w:val="000000"/>
          <w:sz w:val="16"/>
        </w:rPr>
        <w:t>, IAB 8/14/19, effective 3/1/20</w:t>
      </w:r>
      <w:r>
        <w:rPr>
          <w:rFonts w:ascii="Times New Roman" w:hAnsi="Times New Roman"/>
          <w:b w:val="false"/>
          <w:i w:val="false"/>
          <w:color w:val="000000"/>
          <w:sz w:val="16"/>
        </w:rPr>
        <w:t xml:space="preserve">; </w:t>
      </w:r>
      <w:r>
        <w:rPr>
          <w:rFonts w:ascii="Times New Roman" w:hAnsi="Times New Roman"/>
          <w:b/>
          <w:i w:val="false"/>
          <w:color w:val="000000"/>
          <w:sz w:val="16"/>
        </w:rPr>
        <w:t>ARC 5283C</w:t>
      </w:r>
      <w:r>
        <w:rPr>
          <w:rFonts w:ascii="Times New Roman" w:hAnsi="Times New Roman"/>
          <w:b w:val="false"/>
          <w:i w:val="false"/>
          <w:color w:val="000000"/>
          <w:sz w:val="16"/>
        </w:rPr>
        <w:t>, IAB 11/18/20, effective 7/20/21</w:t>
      </w:r>
      <w:r>
        <w:rPr>
          <w:rFonts w:ascii="Times New Roman" w:hAnsi="Times New Roman"/>
          <w:b w:val="false"/>
          <w:i w:val="false"/>
          <w:color w:val="000000"/>
          <w:sz w:val="16"/>
        </w:rPr>
        <w:t xml:space="preserve">; </w:t>
      </w:r>
      <w:r>
        <w:rPr>
          <w:rFonts w:ascii="Times New Roman" w:hAnsi="Times New Roman"/>
          <w:b/>
          <w:i w:val="false"/>
          <w:color w:val="000000"/>
          <w:sz w:val="16"/>
        </w:rPr>
        <w:t>ARC 5284C</w:t>
      </w:r>
      <w:r>
        <w:rPr>
          <w:rFonts w:ascii="Times New Roman" w:hAnsi="Times New Roman"/>
          <w:b w:val="false"/>
          <w:i w:val="false"/>
          <w:color w:val="000000"/>
          <w:sz w:val="16"/>
        </w:rPr>
        <w:t>, IAB 11/18/20, effective 5/18/21</w:t>
      </w:r>
      <w:r>
        <w:rPr>
          <w:rFonts w:ascii="Times New Roman" w:hAnsi="Times New Roman"/>
          <w:b w:val="false"/>
          <w:i w:val="false"/>
          <w:color w:val="000000"/>
          <w:sz w:val="16"/>
        </w:rPr>
        <w:t xml:space="preserve">; </w:t>
      </w:r>
      <w:r>
        <w:rPr>
          <w:rFonts w:ascii="Times New Roman" w:hAnsi="Times New Roman"/>
          <w:b/>
          <w:i w:val="false"/>
          <w:color w:val="000000"/>
          <w:sz w:val="16"/>
        </w:rPr>
        <w:t>ARC 6493C</w:t>
      </w:r>
      <w:r>
        <w:rPr>
          <w:rFonts w:ascii="Times New Roman" w:hAnsi="Times New Roman"/>
          <w:b w:val="false"/>
          <w:i w:val="false"/>
          <w:color w:val="000000"/>
          <w:sz w:val="16"/>
        </w:rPr>
        <w:t>, IAB 9/7/22, effective 7/1/23</w:t>
      </w:r>
      <w:r>
        <w:rPr>
          <w:rFonts w:ascii="Times New Roman" w:hAnsi="Times New Roman"/>
          <w:b w:val="false"/>
          <w:i w:val="false"/>
          <w:color w:val="000000"/>
          <w:sz w:val="16"/>
        </w:rPr>
        <w:t xml:space="preserve">; </w:t>
      </w:r>
      <w:r>
        <w:rPr>
          <w:rFonts w:ascii="Times New Roman" w:hAnsi="Times New Roman"/>
          <w:b/>
          <w:i w:val="false"/>
          <w:color w:val="000000"/>
          <w:sz w:val="16"/>
        </w:rPr>
        <w:t>ARC 6734C</w:t>
      </w:r>
      <w:r>
        <w:rPr>
          <w:rFonts w:ascii="Times New Roman" w:hAnsi="Times New Roman"/>
          <w:b w:val="false"/>
          <w:i w:val="false"/>
          <w:color w:val="000000"/>
          <w:sz w:val="16"/>
        </w:rPr>
        <w:t>, IAB 12/14/22,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567—64.16</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for an individual permit to operate a disposal system shall submit along with the application an application fee as specified in </w:t>
      </w:r>
      <w:hyperlink r:id="rId197">
        <w:r>
          <w:rPr>
            <w:rStyle w:val="Hyperlink"/>
            <w:rFonts w:ascii="Times New Roman" w:hAnsi="Times New Roman"/>
            <w:b w:val="false"/>
            <w:i w:val="false"/>
            <w:color w:val="000000"/>
            <w:sz w:val="22"/>
          </w:rPr>
          <w:t>64.16(3)</w:t>
        </w:r>
      </w:hyperlink>
      <w:r>
        <w:rPr>
          <w:rFonts w:ascii="Times New Roman" w:hAnsi="Times New Roman"/>
          <w:b w:val="false"/>
          <w:i/>
          <w:color w:val="000000"/>
          <w:sz w:val="22"/>
        </w:rPr>
        <w:t>“b.”</w:t>
      </w:r>
      <w:r>
        <w:rPr>
          <w:rFonts w:ascii="Times New Roman" w:hAnsi="Times New Roman"/>
          <w:b w:val="false"/>
          <w:i w:val="false"/>
          <w:color w:val="000000"/>
          <w:sz w:val="22"/>
        </w:rPr>
        <w:t xml:space="preserve"> Certain individual facilities shall also be required to submit annual fees as specified in </w:t>
      </w:r>
      <w:hyperlink r:id="rId198">
        <w:r>
          <w:rPr>
            <w:rStyle w:val="Hyperlink"/>
            <w:rFonts w:ascii="Times New Roman" w:hAnsi="Times New Roman"/>
            <w:b w:val="false"/>
            <w:i w:val="false"/>
            <w:color w:val="000000"/>
            <w:sz w:val="22"/>
          </w:rPr>
          <w:t>64.16(3)</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a wastewater construction permit, an application fee must be submitted with the application as specified in </w:t>
      </w:r>
      <w:hyperlink r:id="rId199">
        <w:r>
          <w:rPr>
            <w:rStyle w:val="Hyperlink"/>
            <w:rFonts w:ascii="Times New Roman" w:hAnsi="Times New Roman"/>
            <w:b w:val="false"/>
            <w:i w:val="false"/>
            <w:color w:val="000000"/>
            <w:sz w:val="22"/>
          </w:rPr>
          <w:t>64.16(3)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authorization under General Permits Nos.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 2, 3 and 5, the applicant has the option of paying an annual permit fee or a multiyear permit fee at the time the NOI for coverage is submitted as specified in </w:t>
      </w:r>
      <w:hyperlink r:id="rId200">
        <w:r>
          <w:rPr>
            <w:rStyle w:val="Hyperlink"/>
            <w:rFonts w:ascii="Times New Roman" w:hAnsi="Times New Roman"/>
            <w:b w:val="false"/>
            <w:i w:val="false"/>
            <w:color w:val="000000"/>
            <w:sz w:val="22"/>
          </w:rPr>
          <w:t>64.16(3)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For municipal separate storm sewer system (MS4s) permits and individual storm water permits, as defined in </w:t>
      </w:r>
      <w:hyperlink r:id="rId201">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 xml:space="preserve">(455B), a one-time, multiyear permit fee must be submitted at the time of application. For all other individual non-storm water NPDES and operation permits, as defined in </w:t>
      </w:r>
      <w:hyperlink r:id="rId202">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 the applicant must submit an application fee at the time of application and the appropriate annual fee on a yearly basis, except for municipal water treatment facilities. If a facility needs coverage under more than one NPDES or operation permit, fees for each permit must be submitted appropriately.</w:t>
      </w:r>
    </w:p>
    <w:p>
      <w:pPr>
        <w:spacing w:before="0" w:after="0"/>
        <w:ind w:left="120"/>
        <w:jc w:val="both"/>
      </w:pPr>
      <w:r>
        <w:rPr>
          <w:rFonts w:ascii="Times New Roman" w:hAnsi="Times New Roman"/>
          <w:b w:val="false"/>
          <w:i w:val="false"/>
          <w:color w:val="000000"/>
          <w:sz w:val="22"/>
        </w:rPr>
        <w:t xml:space="preserve">Fees are nontransferable. Failure to submit the appropriate fee at the time of application renders the application incomplete, and the department shall suspend processing of the application until the fee is received. Failure to submit the appropriate annual fee may result in revocation or suspension of the permit as noted in </w:t>
      </w:r>
      <w:hyperlink r:id="rId203">
        <w:r>
          <w:rPr>
            <w:rStyle w:val="Hyperlink"/>
            <w:rFonts w:ascii="Times New Roman" w:hAnsi="Times New Roman"/>
            <w:b w:val="false"/>
            <w:i w:val="false"/>
            <w:color w:val="000000"/>
            <w:sz w:val="22"/>
          </w:rPr>
          <w:t>64.3(11)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64.16(2)</w:t>
      </w:r>
      <w:r>
        <w:rPr>
          <w:rFonts w:ascii="Times New Roman" w:hAnsi="Times New Roman"/>
          <w:b w:val="false"/>
          <w:i w:val="false"/>
          <w:color w:val="000000"/>
          <w:sz w:val="22"/>
        </w:rPr>
        <w:t> </w:t>
      </w:r>
      <w:r>
        <w:rPr>
          <w:rFonts w:ascii="Times New Roman" w:hAnsi="Times New Roman"/>
          <w:b w:val="false"/>
          <w:i w:val="false"/>
          <w:color w:val="000000"/>
          <w:sz w:val="22"/>
        </w:rPr>
        <w:t>Payment of fees. Fees shall be paid by check, credit card, electronic payment, or money order made payable to the “Iowa Department of Natural Resources.”</w:t>
      </w:r>
    </w:p>
    <w:p>
      <w:pPr>
        <w:spacing w:before="0" w:after="0"/>
        <w:ind w:left="120"/>
        <w:jc w:val="both"/>
      </w:pPr>
      <w:r>
        <w:rPr>
          <w:rFonts w:ascii="Times New Roman" w:hAnsi="Times New Roman"/>
          <w:b w:val="false"/>
          <w:i w:val="false"/>
          <w:color w:val="000000"/>
          <w:sz w:val="22"/>
        </w:rPr>
        <w:t xml:space="preserve">For facilities needing coverage under more than one permit (e.g., general, individual storm water, individual non-storm water), separate payments shall be made according to the fee schedule in </w:t>
      </w:r>
      <w:hyperlink r:id="rId204">
        <w:r>
          <w:rPr>
            <w:rStyle w:val="Hyperlink"/>
            <w:rFonts w:ascii="Times New Roman" w:hAnsi="Times New Roman"/>
            <w:b w:val="false"/>
            <w:i w:val="false"/>
            <w:color w:val="000000"/>
            <w:sz w:val="22"/>
          </w:rPr>
          <w:t>64.16(3)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64.16(3)</w:t>
      </w:r>
      <w:r>
        <w:rPr>
          <w:rFonts w:ascii="Times New Roman" w:hAnsi="Times New Roman"/>
          <w:b w:val="false"/>
          <w:i w:val="false"/>
          <w:color w:val="000000"/>
          <w:sz w:val="22"/>
        </w:rPr>
        <w:t> </w:t>
      </w:r>
      <w:r>
        <w:rPr>
          <w:rFonts w:ascii="Times New Roman" w:hAnsi="Times New Roman"/>
          <w:b w:val="false"/>
          <w:i w:val="false"/>
          <w:color w:val="000000"/>
          <w:sz w:val="22"/>
        </w:rPr>
        <w:t>Fee schedule. The following fees have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permit fees. No fees shall be assessed for coverage under general permits not listed in this paragraph. The following fees are applicable to the described general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Storm Water Discharges Associated with Industrial Activity,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w:t>
      </w:r>
    </w:p>
    <w:tbl>
      <w:tblPr>
        <w:tblW w:w="5000" w:type="pct"/>
        <w:tblCellSpacing w:w="0" w:type="auto"/>
        <w:tblBorders>
          <w:top w:val="none"/>
          <w:left w:val="none"/>
          <w:bottom w:val="none"/>
          <w:right w:val="none"/>
          <w:insideH w:val="none"/>
          <w:insideV w:val="none"/>
        </w:tblBorders>
        <w:tblLayout w:type="fixed"/>
      </w:tblPr>
      <w:tblGrid>
        <w:gridCol w:w="4117"/>
        <w:gridCol w:w="2197"/>
        <w:gridCol w:w="4875"/>
      </w:tblGrid>
      <w:tr>
        <w:trPr>
          <w:trHeight w:val="255"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Annual Permit Fee</w:t>
            </w:r>
            <w:r>
              <w:rPr>
                <w:rFonts w:ascii="Times New Roman" w:hAnsi="Times New Roman"/>
                <w:b w:val="false"/>
                <w:i w:val="false"/>
                <w:color w:val="000000"/>
                <w:sz w:val="20"/>
              </w:rPr>
              <w:t>$175(per year)</w:t>
            </w:r>
          </w:p>
        </w:tc>
      </w:tr>
      <w:tr>
        <w:trPr>
          <w:trHeight w:val="255"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or</w:t>
            </w:r>
          </w:p>
        </w:tc>
      </w:tr>
      <w:tr>
        <w:trPr>
          <w:trHeight w:val="255"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Five-year Permit Fee</w:t>
            </w:r>
            <w:r>
              <w:rPr>
                <w:rFonts w:ascii="Times New Roman" w:hAnsi="Times New Roman"/>
                <w:b w:val="false"/>
                <w:i w:val="false"/>
                <w:color w:val="000000"/>
                <w:sz w:val="20"/>
              </w:rPr>
              <w:t>$700</w:t>
            </w:r>
          </w:p>
        </w:tc>
      </w:tr>
      <w:tr>
        <w:trPr>
          <w:trHeight w:val="25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Four-year Permit Fee</w:t>
            </w:r>
            <w:r>
              <w:rPr>
                <w:rFonts w:ascii="Times New Roman" w:hAnsi="Times New Roman"/>
                <w:b w:val="false"/>
                <w:i w:val="false"/>
                <w:color w:val="000000"/>
                <w:sz w:val="20"/>
              </w:rPr>
              <w:t>$525</w:t>
            </w:r>
          </w:p>
        </w:tc>
      </w:tr>
      <w:tr>
        <w:trPr>
          <w:trHeight w:val="25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Three-year Permit Fee</w:t>
            </w:r>
            <w:r>
              <w:rPr>
                <w:rFonts w:ascii="Times New Roman" w:hAnsi="Times New Roman"/>
                <w:b w:val="false"/>
                <w:i w:val="false"/>
                <w:color w:val="000000"/>
                <w:sz w:val="20"/>
              </w:rPr>
              <w:t>$350</w:t>
            </w:r>
          </w:p>
        </w:tc>
      </w:tr>
    </w:tbl>
    <w:p>
      <w:pPr>
        <w:spacing w:before="0" w:after="0"/>
        <w:ind w:left="120"/>
        <w:jc w:val="both"/>
      </w:pPr>
      <w:r>
        <w:rPr>
          <w:rFonts w:ascii="Times New Roman" w:hAnsi="Times New Roman"/>
          <w:b w:val="false"/>
          <w:i w:val="false"/>
          <w:color w:val="000000"/>
          <w:sz w:val="22"/>
        </w:rPr>
        <w:t>All fees are to be submitted with the NOI for coverage under the general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for Construction Activities,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The fees are the same as those specified for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in subparagraph (1)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Storm Water Discharge Associated with Industrial Activity from Asphalt Plants, Concrete Batch Plants, and Rock Crushing Plants, NPDES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3. The fees are the same as those specified for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in subparagraph (1)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Discharge from Mining and Processing Facilities, NPDES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w:t>
      </w:r>
    </w:p>
    <w:tbl>
      <w:tblPr>
        <w:tblW w:w="5000" w:type="pct"/>
        <w:tblCellSpacing w:w="0" w:type="auto"/>
        <w:tblBorders>
          <w:top w:val="none"/>
          <w:left w:val="none"/>
          <w:bottom w:val="none"/>
          <w:right w:val="none"/>
          <w:insideH w:val="none"/>
          <w:insideV w:val="none"/>
        </w:tblBorders>
        <w:tblLayout w:type="fixed"/>
      </w:tblPr>
      <w:tblGrid>
        <w:gridCol w:w="4117"/>
        <w:gridCol w:w="2197"/>
        <w:gridCol w:w="4875"/>
      </w:tblGrid>
      <w:tr>
        <w:trPr>
          <w:trHeight w:val="255"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Annual Permit Fee</w:t>
            </w:r>
            <w:r>
              <w:rPr>
                <w:rFonts w:ascii="Times New Roman" w:hAnsi="Times New Roman"/>
                <w:b w:val="false"/>
                <w:i w:val="false"/>
                <w:color w:val="000000"/>
                <w:sz w:val="20"/>
              </w:rPr>
              <w:t>$125 (per year)</w:t>
            </w:r>
          </w:p>
        </w:tc>
      </w:tr>
      <w:tr>
        <w:trPr>
          <w:trHeight w:val="255"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or</w:t>
            </w:r>
          </w:p>
        </w:tc>
      </w:tr>
      <w:tr>
        <w:trPr>
          <w:trHeight w:val="255"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Five-year Permit Fee</w:t>
            </w:r>
            <w:r>
              <w:rPr>
                <w:rFonts w:ascii="Times New Roman" w:hAnsi="Times New Roman"/>
                <w:b w:val="false"/>
                <w:i w:val="false"/>
                <w:color w:val="000000"/>
                <w:sz w:val="20"/>
              </w:rPr>
              <w:t>$500</w:t>
            </w:r>
          </w:p>
        </w:tc>
      </w:tr>
      <w:tr>
        <w:trPr>
          <w:trHeight w:val="25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Four-year Permit Fee</w:t>
            </w:r>
            <w:r>
              <w:rPr>
                <w:rFonts w:ascii="Times New Roman" w:hAnsi="Times New Roman"/>
                <w:b w:val="false"/>
                <w:i w:val="false"/>
                <w:color w:val="000000"/>
                <w:sz w:val="20"/>
              </w:rPr>
              <w:t>$400</w:t>
            </w:r>
          </w:p>
        </w:tc>
      </w:tr>
      <w:tr>
        <w:trPr>
          <w:trHeight w:val="25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Three-year Permit Fee</w:t>
            </w:r>
            <w:r>
              <w:rPr>
                <w:rFonts w:ascii="Times New Roman" w:hAnsi="Times New Roman"/>
                <w:b w:val="false"/>
                <w:i w:val="false"/>
                <w:color w:val="000000"/>
                <w:sz w:val="20"/>
              </w:rPr>
              <w:t>$300</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New facilities seeking General Permit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5 coverage shall submit fees with the NOI for coverage. Maximum coverage is for five years. Coverage may also be obtained for four years, three years, or one year, as shown in the fee schedule above. Existing facilities shall submit annual fees by August 30 of every year, unless a multiyear fee payment was received in an earlier year. In the event a facility is no longer eligible to be covered under General Permit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 the remainder of the fees previously paid by the facility shall be applied toward its individual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 NPDES and operation permit fees. The following fees are applicable for the described individual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individual storm water permits, a five-year permit fee of $1,250 must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permits that authorize the discharge of only storm water from municipal separate storm sewer systems (MS4s) and any allowable non-storm water, a five-year permit fee of $1,250 must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individual non-storm water NPDES and operation permits, a single application fee of $85 as established in Iowa Code section </w:t>
      </w:r>
      <w:hyperlink r:id="rId205">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 xml:space="preserve"> is due at the time of application. The $1,250 fee in subparagraphs (1) and (2) is not required for individual non-storm water permits that authorize storm water discharges along with other wastewater discharges. The $85 application fee is to be submitted with the application forms (as required by </w:t>
      </w:r>
      <w:hyperlink r:id="rId206">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 xml:space="preserve">) at the time of a new application, renewal application, or amendment application. Before an approved amendment request submitted by a facility holding a non-storm water NPDES or operation permit can be processed by the department, the $85 fee must be submitted, except when an amendment is initiated by the director, when the requested amendment will correct an error in the permit, when the amendment is for a disadvantaged community compliance schedule or nutrient reduction strategy, or when there is a transfer of title or change in the address of the owner as noted in </w:t>
      </w:r>
      <w:hyperlink r:id="rId207">
        <w:r>
          <w:rPr>
            <w:rStyle w:val="Hyperlink"/>
            <w:rFonts w:ascii="Times New Roman" w:hAnsi="Times New Roman"/>
            <w:b w:val="false"/>
            <w:i w:val="false"/>
            <w:color w:val="000000"/>
            <w:sz w:val="22"/>
          </w:rPr>
          <w:t>567—64.14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individual non-storm water NPDES and operation permits, the following annual fees, as established in Iowa Code section </w:t>
      </w:r>
      <w:hyperlink r:id="rId208">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 are due by August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municipal facility: $1,275.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 municipal facility: $210. For a city with a population of 250 or less, the maximum fee shall be $210 regardless of how many individual non-storm water NPDES permits the city 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Semipublic facility: $340.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Major industrial facility: $3,400.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Minor industrial facility: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Facilities that hold an operation permit: $170.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Animal feeding operations covered by a non-storm water NPDES permit: $340.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municipal water treatment facility with an individual non-storm water NPDES permit, no fees shall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a new facility covered by an individual non-storm water NPDES or operating permit, a prorated annual fee, calculated by taking the annual fee amount multiplied by the number of months remaining before the next annual fee due date divided by 12, is due 30 days after the new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Wastewater construction permit fees. A single construction permit fee as established in Iowa Code section </w:t>
      </w:r>
      <w:hyperlink r:id="rId209">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 xml:space="preserve"> is due at the time of construction permit application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64.16(4)</w:t>
      </w:r>
      <w:r>
        <w:rPr>
          <w:rFonts w:ascii="Times New Roman" w:hAnsi="Times New Roman"/>
          <w:b w:val="false"/>
          <w:i w:val="false"/>
          <w:color w:val="000000"/>
          <w:sz w:val="22"/>
        </w:rPr>
        <w:t> </w:t>
      </w:r>
      <w:r>
        <w:rPr>
          <w:rFonts w:ascii="Times New Roman" w:hAnsi="Times New Roman"/>
          <w:b w:val="false"/>
          <w:i w:val="false"/>
          <w:color w:val="000000"/>
          <w:sz w:val="22"/>
        </w:rPr>
        <w:t xml:space="preserve">Fee refunds for storm water general permit coverage—pilot project. Rescinded </w:t>
      </w:r>
      <w:r>
        <w:rPr>
          <w:rFonts w:ascii="Times New Roman" w:hAnsi="Times New Roman"/>
          <w:b w:val="false"/>
          <w:i w:val="false"/>
          <w:color w:val="000000"/>
          <w:sz w:val="22"/>
        </w:rPr>
        <w:t>IAB 10/16/02</w:t>
      </w:r>
      <w:r>
        <w:rPr>
          <w:rFonts w:ascii="Times New Roman" w:hAnsi="Times New Roman"/>
          <w:b w:val="false"/>
          <w:i w:val="false"/>
          <w:color w:val="000000"/>
          <w:sz w:val="22"/>
        </w:rPr>
        <w:t>, effective 11/20/02.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64.16(5)</w:t>
      </w:r>
      <w:r>
        <w:rPr>
          <w:rFonts w:ascii="Times New Roman" w:hAnsi="Times New Roman"/>
          <w:b w:val="false"/>
          <w:i w:val="false"/>
          <w:color w:val="000000"/>
          <w:sz w:val="22"/>
        </w:rPr>
        <w:t> </w:t>
      </w:r>
      <w:r>
        <w:rPr>
          <w:rFonts w:ascii="Times New Roman" w:hAnsi="Times New Roman"/>
          <w:b w:val="false"/>
          <w:i w:val="false"/>
          <w:color w:val="000000"/>
          <w:sz w:val="22"/>
        </w:rPr>
        <w:t>Fee refunds.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and general permit application, permit, and annual fees may be refunded, completely or in part, at the discretion of the director. Permittees who wish to receive fee refunds should notify the department in writing. Fees may be refunded under various circumstances,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duplicate fee was submitted (for example, two annual fees for the same permit are paid in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fee was overpaid.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fee was submitted but is not required as part of the permit application or renewal (for example, an individual annual permit fee was submitted for a discontinued permit, a general permit NOI fee was submitted for an individual permit, or an amendment fee was submitted for a permit that cannot be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application is returned to the applicant by the department without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shall not be refunded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permit or permit coverage is suspended, revoked, or modified, or if the activity is discontinued or 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permit is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permit application is withdrawn by the applicant or denied by the department pursuant to </w:t>
      </w:r>
      <w:hyperlink r:id="rId210">
        <w:r>
          <w:rPr>
            <w:rStyle w:val="Hyperlink"/>
            <w:rFonts w:ascii="Times New Roman" w:hAnsi="Times New Roman"/>
            <w:b w:val="false"/>
            <w:i w:val="false"/>
            <w:color w:val="000000"/>
            <w:sz w:val="22"/>
          </w:rPr>
          <w:t>64.5(1)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2/11/09</w:t>
      </w:r>
      <w:r>
        <w:rPr>
          <w:rFonts w:ascii="Times New Roman" w:hAnsi="Times New Roman"/>
          <w:b w:val="false"/>
          <w:i w:val="false"/>
          <w:color w:val="000000"/>
          <w:sz w:val="16"/>
        </w:rPr>
        <w:t xml:space="preserve">; </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8520B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9365B</w:t>
      </w:r>
      <w:r>
        <w:rPr>
          <w:rFonts w:ascii="Times New Roman" w:hAnsi="Times New Roman"/>
          <w:b w:val="false"/>
          <w:i w:val="false"/>
          <w:color w:val="000000"/>
          <w:sz w:val="16"/>
        </w:rPr>
        <w:t>, IAB 2/9/11,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9553B</w:t>
      </w:r>
      <w:r>
        <w:rPr>
          <w:rFonts w:ascii="Times New Roman" w:hAnsi="Times New Roman"/>
          <w:b w:val="false"/>
          <w:i w:val="false"/>
          <w:color w:val="000000"/>
          <w:sz w:val="16"/>
        </w:rPr>
        <w:t>, IAB 6/15/11, effective 7/20/11</w:t>
      </w:r>
      <w:r>
        <w:rPr>
          <w:rFonts w:ascii="Times New Roman" w:hAnsi="Times New Roman"/>
          <w:b w:val="false"/>
          <w:i w:val="false"/>
          <w:color w:val="000000"/>
          <w:sz w:val="16"/>
        </w:rPr>
        <w:t xml:space="preserve">; </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3786C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567—64.17</w:t>
      </w:r>
      <w:r>
        <w:rPr>
          <w:rFonts w:ascii="Times New Roman" w:hAnsi="Times New Roman"/>
          <w:b/>
          <w:i w:val="false"/>
          <w:color w:val="000000"/>
          <w:sz w:val="22"/>
        </w:rPr>
        <w:t xml:space="preserve">(455B) </w:t>
      </w:r>
      <w:r>
        <w:rPr>
          <w:rFonts w:ascii="Times New Roman" w:hAnsi="Times New Roman"/>
          <w:b/>
          <w:i w:val="false"/>
          <w:color w:val="000000"/>
          <w:sz w:val="22"/>
        </w:rPr>
        <w:t xml:space="preserve">Nutrient reduction exchange. </w:t>
      </w:r>
      <w:r>
        <w:rPr>
          <w:rFonts w:ascii="Times New Roman" w:hAnsi="Times New Roman"/>
          <w:b w:val="false"/>
          <w:i w:val="false"/>
          <w:color w:val="000000"/>
          <w:sz w:val="22"/>
        </w:rPr>
        <w:t>The department shall maintain a registry of nonpoint source nutrient reduction practices installed by permittees. Practices listed in the registry may be eligible for future regulatory incentives.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567—64.18</w:t>
      </w:r>
      <w:r>
        <w:rPr>
          <w:rFonts w:ascii="Times New Roman" w:hAnsi="Times New Roman"/>
          <w:b/>
          <w:i w:val="false"/>
          <w:color w:val="000000"/>
          <w:sz w:val="22"/>
        </w:rPr>
        <w:t xml:space="preserve">(455B) </w:t>
      </w:r>
      <w:r>
        <w:rPr>
          <w:rFonts w:ascii="Times New Roman" w:hAnsi="Times New Roman"/>
          <w:b/>
          <w:i w:val="false"/>
          <w:color w:val="000000"/>
          <w:sz w:val="22"/>
        </w:rPr>
        <w:t xml:space="preserve">Validity of rules. </w:t>
      </w:r>
      <w:r>
        <w:rPr>
          <w:rFonts w:ascii="Times New Roman" w:hAnsi="Times New Roman"/>
          <w:b w:val="false"/>
          <w:i w:val="false"/>
          <w:color w:val="000000"/>
          <w:sz w:val="22"/>
        </w:rPr>
        <w:t>If any section, paragraph, sentence, clause, phrase or word of these rules, or any part thereof, be declared unconstitutional or invalid for any reason, the remainder of said rules shall not be affected thereby and shall remain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567—64.19</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shall apply to all waste disposal systems treating or intending to treat sewage, industrial waste, or other waste except waste resulting from livestock or poultry operations. All livestock and poultry operations constituting animal feeding operations as defined in </w:t>
      </w:r>
      <w:hyperlink r:id="rId21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shall be governed by the requirements contained in Chapter </w:t>
      </w:r>
      <w:hyperlink r:id="rId212">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However, the provisions of this chapter concerning NPDES permits which relate to notice and public participation, to the terms and conditions of the permit, to the reissuance of the permit and to monitoring, reporting and record-keeping activities shall apply to animal feeding operations which are required to apply for and obtain an NPDES permit to the extent that such requirements are not inconsistent with </w:t>
      </w:r>
      <w:hyperlink r:id="rId213">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1627C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4">
        <w:r>
          <w:rPr>
            <w:rStyle w:val="Hyperlink"/>
            <w:rFonts w:ascii="Times New Roman" w:hAnsi="Times New Roman"/>
            <w:b w:val="false"/>
            <w:i w:val="false"/>
            <w:color w:val="000000"/>
            <w:sz w:val="22"/>
          </w:rPr>
          <w:t>455B, division III, part 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August 21, 1973]</w:t>
      </w:r>
    </w:p>
    <w:p>
      <w:pPr>
        <w:spacing w:before="0" w:after="0"/>
        <w:ind w:left="120"/>
        <w:jc w:val="center"/>
      </w:pPr>
      <w:r>
        <w:rPr>
          <w:rFonts w:ascii="Times New Roman" w:hAnsi="Times New Roman"/>
          <w:b w:val="false"/>
          <w:i w:val="false"/>
          <w:color w:val="000000"/>
          <w:sz w:val="21"/>
        </w:rPr>
        <w:t>[Filed 6/28/76, Notice 5/3/76—published 7/12/76, effective 8/16/76]</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emergency 7/28/77—published 8/24/77, effective 8/31/77]</w:t>
      </w:r>
    </w:p>
    <w:p>
      <w:pPr>
        <w:spacing w:before="0" w:after="0"/>
        <w:ind w:left="120"/>
        <w:jc w:val="center"/>
      </w:pPr>
      <w:r>
        <w:rPr>
          <w:rFonts w:ascii="Times New Roman" w:hAnsi="Times New Roman"/>
          <w:b w:val="false"/>
          <w:i w:val="false"/>
          <w:color w:val="000000"/>
          <w:sz w:val="21"/>
        </w:rPr>
        <w:t>[Filed emergency 2/3/78—published 2/22/78, effective 3/1/78]</w:t>
      </w:r>
    </w:p>
    <w:p>
      <w:pPr>
        <w:spacing w:before="0" w:after="0"/>
        <w:ind w:left="120"/>
        <w:jc w:val="center"/>
      </w:pPr>
      <w:r>
        <w:rPr>
          <w:rFonts w:ascii="Times New Roman" w:hAnsi="Times New Roman"/>
          <w:b w:val="false"/>
          <w:i w:val="false"/>
          <w:color w:val="000000"/>
          <w:sz w:val="21"/>
        </w:rPr>
        <w:t>[Filed 10/13/78, Notice 5/3/78—published 11/1/78, effective 12/6/78]</w:t>
      </w:r>
    </w:p>
    <w:p>
      <w:pPr>
        <w:spacing w:before="0" w:after="0"/>
        <w:ind w:left="120"/>
        <w:jc w:val="center"/>
      </w:pPr>
      <w:r>
        <w:rPr>
          <w:rFonts w:ascii="Times New Roman" w:hAnsi="Times New Roman"/>
          <w:b w:val="false"/>
          <w:i w:val="false"/>
          <w:color w:val="000000"/>
          <w:sz w:val="21"/>
        </w:rPr>
        <w:t>[Filed 3/30/79, Notice 2/7/79—published 4/18/79, effective 5/23/79]</w:t>
      </w:r>
    </w:p>
    <w:p>
      <w:pPr>
        <w:spacing w:before="0" w:after="0"/>
        <w:ind w:left="120"/>
        <w:jc w:val="center"/>
      </w:pPr>
      <w:r>
        <w:rPr>
          <w:rFonts w:ascii="Times New Roman" w:hAnsi="Times New Roman"/>
          <w:b w:val="false"/>
          <w:i w:val="false"/>
          <w:color w:val="000000"/>
          <w:sz w:val="21"/>
        </w:rPr>
        <w:t>[Filed 5/11/79, Notice 2/7/79—published 5/30/79, effective 7/5/79]</w:t>
      </w:r>
    </w:p>
    <w:p>
      <w:pPr>
        <w:spacing w:before="0" w:after="0"/>
        <w:ind w:left="120"/>
        <w:jc w:val="center"/>
      </w:pPr>
      <w:r>
        <w:rPr>
          <w:rFonts w:ascii="Times New Roman" w:hAnsi="Times New Roman"/>
          <w:b w:val="false"/>
          <w:i w:val="false"/>
          <w:color w:val="000000"/>
          <w:sz w:val="21"/>
        </w:rPr>
        <w:t>[Filed 8/3/79, Notice 5/2/79—published 8/22/79, effective 9/26/79]</w:t>
      </w:r>
    </w:p>
    <w:p>
      <w:pPr>
        <w:spacing w:before="0" w:after="0"/>
        <w:ind w:left="120"/>
        <w:jc w:val="center"/>
      </w:pPr>
      <w:r>
        <w:rPr>
          <w:rFonts w:ascii="Times New Roman" w:hAnsi="Times New Roman"/>
          <w:b w:val="false"/>
          <w:i w:val="false"/>
          <w:color w:val="000000"/>
          <w:sz w:val="21"/>
        </w:rPr>
        <w:t>[Filed 8/31/79, Notice 4/4/79—published 9/19/79, effective 10/24/79]</w:t>
      </w:r>
    </w:p>
    <w:p>
      <w:pPr>
        <w:spacing w:before="0" w:after="0"/>
        <w:ind w:left="120"/>
        <w:jc w:val="center"/>
      </w:pPr>
      <w:r>
        <w:rPr>
          <w:rFonts w:ascii="Times New Roman" w:hAnsi="Times New Roman"/>
          <w:b w:val="false"/>
          <w:i w:val="false"/>
          <w:color w:val="000000"/>
          <w:sz w:val="21"/>
        </w:rPr>
        <w:t>[Filed 4/10/80, Notice 12/26/79—published 4/30/80, effective 6/4/80]</w:t>
      </w:r>
    </w:p>
    <w:p>
      <w:pPr>
        <w:spacing w:before="0" w:after="0"/>
        <w:ind w:left="120"/>
        <w:jc w:val="center"/>
      </w:pPr>
      <w:r>
        <w:rPr>
          <w:rFonts w:ascii="Times New Roman" w:hAnsi="Times New Roman"/>
          <w:b w:val="false"/>
          <w:i w:val="false"/>
          <w:color w:val="000000"/>
          <w:sz w:val="21"/>
        </w:rPr>
        <w:t>[Filed 11/3/80, Notices 6/25/80, 8/20/80—published 11/26/80, effective 12/31/80, 7/1/81]</w:t>
      </w:r>
    </w:p>
    <w:p>
      <w:pPr>
        <w:spacing w:before="0" w:after="0"/>
        <w:ind w:left="120"/>
        <w:jc w:val="center"/>
      </w:pPr>
      <w:r>
        <w:rPr>
          <w:rFonts w:ascii="Times New Roman" w:hAnsi="Times New Roman"/>
          <w:b w:val="false"/>
          <w:i w:val="false"/>
          <w:color w:val="000000"/>
          <w:sz w:val="21"/>
        </w:rPr>
        <w:t>[Filed 10/23/81, Notice 5/13/81—published 11/11/81, effective 12/16/81]</w:t>
      </w:r>
    </w:p>
    <w:p>
      <w:pPr>
        <w:spacing w:before="0" w:after="0"/>
        <w:ind w:left="120"/>
        <w:jc w:val="center"/>
      </w:pPr>
      <w:r>
        <w:rPr>
          <w:rFonts w:ascii="Times New Roman" w:hAnsi="Times New Roman"/>
          <w:b w:val="false"/>
          <w:i w:val="false"/>
          <w:color w:val="000000"/>
          <w:sz w:val="21"/>
        </w:rPr>
        <w:t>[Filed 9/24/82, Notice 7/21/82—published 10/13/82, effective 11/17/82]</w:t>
      </w:r>
    </w:p>
    <w:p>
      <w:pPr>
        <w:spacing w:before="0" w:after="0"/>
        <w:ind w:left="120"/>
        <w:jc w:val="center"/>
      </w:pPr>
      <w:r>
        <w:rPr>
          <w:rFonts w:ascii="Times New Roman" w:hAnsi="Times New Roman"/>
          <w:b w:val="false"/>
          <w:i w:val="false"/>
          <w:color w:val="000000"/>
          <w:sz w:val="21"/>
        </w:rPr>
        <w:t>[Filed 2/24/83, Notice 11/10/82—published 3/16/83, effective 4/20/83]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9/23/83, Notice 7/20/83—published 10/12/83, effective 11/16/83]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5/31/84, Notice 1/4/84—published 6/20/84, effective 7/25/84]</w:t>
      </w:r>
    </w:p>
    <w:p>
      <w:pPr>
        <w:spacing w:before="0" w:after="0"/>
        <w:ind w:left="120"/>
        <w:jc w:val="center"/>
      </w:pPr>
      <w:r>
        <w:rPr>
          <w:rFonts w:ascii="Times New Roman" w:hAnsi="Times New Roman"/>
          <w:b w:val="false"/>
          <w:i w:val="false"/>
          <w:color w:val="000000"/>
          <w:sz w:val="21"/>
        </w:rPr>
        <w:t>[Filed 12/28/84, Notice 11/7/84—published 1/16/85, effective 2/20/85]</w:t>
      </w:r>
    </w:p>
    <w:p>
      <w:pPr>
        <w:spacing w:before="0" w:after="0"/>
        <w:ind w:left="120"/>
        <w:jc w:val="center"/>
      </w:pPr>
      <w:r>
        <w:rPr>
          <w:rFonts w:ascii="Times New Roman" w:hAnsi="Times New Roman"/>
          <w:b w:val="false"/>
          <w:i w:val="false"/>
          <w:color w:val="000000"/>
          <w:sz w:val="21"/>
        </w:rPr>
        <w:t>[Filed 3/22/85, Notice 1/16/85—published 4/10/85, effective 5/15/85]</w:t>
      </w:r>
    </w:p>
    <w:p>
      <w:pPr>
        <w:spacing w:before="0" w:after="0"/>
        <w:ind w:left="120"/>
        <w:jc w:val="center"/>
      </w:pPr>
      <w:r>
        <w:rPr>
          <w:rFonts w:ascii="Times New Roman" w:hAnsi="Times New Roman"/>
          <w:b w:val="false"/>
          <w:i w:val="false"/>
          <w:color w:val="000000"/>
          <w:sz w:val="21"/>
        </w:rPr>
        <w:t>[Filed 11/1/85, Notice 6/19/85—published 11/20/85, effective 12/25/85]</w:t>
      </w:r>
    </w:p>
    <w:p>
      <w:pPr>
        <w:spacing w:before="0" w:after="0"/>
        <w:ind w:left="120"/>
        <w:jc w:val="center"/>
      </w:pPr>
      <w:r>
        <w:rPr>
          <w:rFonts w:ascii="Times New Roman" w:hAnsi="Times New Roman"/>
          <w:b w:val="false"/>
          <w:i w:val="false"/>
          <w:color w:val="000000"/>
          <w:sz w:val="21"/>
        </w:rPr>
        <w:t>[Filed 2/21/86, Notices 9/11/85, 11/20/85—published 3/12/86, effective 4/16/86]</w:t>
      </w:r>
    </w:p>
    <w:p>
      <w:pPr>
        <w:spacing w:before="0" w:after="0"/>
        <w:ind w:left="120"/>
        <w:jc w:val="center"/>
      </w:pPr>
      <w:r>
        <w:rPr>
          <w:rFonts w:ascii="Times New Roman" w:hAnsi="Times New Roman"/>
          <w:b w:val="false"/>
          <w:i w:val="false"/>
          <w:color w:val="000000"/>
          <w:sz w:val="21"/>
        </w:rPr>
        <w:t>[Filed 5/30/86, Notice 11/20/85—published 6/18/86, effective 7/23/86]</w:t>
      </w:r>
    </w:p>
    <w:p>
      <w:pPr>
        <w:spacing w:before="0" w:after="0"/>
        <w:ind w:left="120"/>
        <w:jc w:val="center"/>
      </w:pPr>
      <w:r>
        <w:rPr>
          <w:rFonts w:ascii="Times New Roman" w:hAnsi="Times New Roman"/>
          <w:b w:val="false"/>
          <w:i w:val="false"/>
          <w:color w:val="000000"/>
          <w:sz w:val="21"/>
        </w:rPr>
        <w:t>[Filed 5/30/86, Notice 3/12/86—published 6/18/86, effective 7/23/86]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11/14/86, Notice 5/21/86—published 12/3/86, effective 1/7/87]</w:t>
      </w:r>
    </w:p>
    <w:p>
      <w:pPr>
        <w:spacing w:before="0" w:after="0"/>
        <w:ind w:left="120"/>
        <w:jc w:val="center"/>
      </w:pPr>
      <w:r>
        <w:rPr>
          <w:rFonts w:ascii="Times New Roman" w:hAnsi="Times New Roman"/>
          <w:b w:val="false"/>
          <w:i w:val="false"/>
          <w:color w:val="000000"/>
          <w:sz w:val="21"/>
        </w:rPr>
        <w:t>[Filed 5/29/87, Notice 3/11/87—published 6/17/87, effective 7/22/87]</w:t>
      </w:r>
    </w:p>
    <w:p>
      <w:pPr>
        <w:spacing w:before="0" w:after="0"/>
        <w:ind w:left="120"/>
        <w:jc w:val="center"/>
      </w:pPr>
      <w:r>
        <w:rPr>
          <w:rFonts w:ascii="Times New Roman" w:hAnsi="Times New Roman"/>
          <w:b w:val="false"/>
          <w:i w:val="false"/>
          <w:color w:val="000000"/>
          <w:sz w:val="21"/>
        </w:rPr>
        <w:t>[Filed 6/19/92, Notice 12/11/91—published 7/8/92, effective 8/12/92]</w:t>
      </w:r>
    </w:p>
    <w:p>
      <w:pPr>
        <w:spacing w:before="0" w:after="0"/>
        <w:ind w:left="120"/>
        <w:jc w:val="center"/>
      </w:pPr>
      <w:r>
        <w:rPr>
          <w:rFonts w:ascii="Times New Roman" w:hAnsi="Times New Roman"/>
          <w:b w:val="false"/>
          <w:i w:val="false"/>
          <w:color w:val="000000"/>
          <w:sz w:val="21"/>
        </w:rPr>
        <w:t>[Filed 10/24/97, Notice 7/16/97—published 11/19/97, effective 12/24/97]</w:t>
      </w:r>
    </w:p>
    <w:p>
      <w:pPr>
        <w:spacing w:before="0" w:after="0"/>
        <w:ind w:left="120"/>
        <w:jc w:val="center"/>
      </w:pPr>
      <w:r>
        <w:rPr>
          <w:rFonts w:ascii="Times New Roman" w:hAnsi="Times New Roman"/>
          <w:b w:val="false"/>
          <w:i w:val="false"/>
          <w:color w:val="000000"/>
          <w:sz w:val="21"/>
        </w:rPr>
        <w:t>[Filed 3/19/98, Notice 11/19/97—published 4/8/98, effective 5/13/98]</w:t>
      </w:r>
    </w:p>
    <w:p>
      <w:pPr>
        <w:spacing w:before="0" w:after="0"/>
        <w:ind w:left="120"/>
        <w:jc w:val="center"/>
      </w:pPr>
      <w:r>
        <w:rPr>
          <w:rFonts w:ascii="Times New Roman" w:hAnsi="Times New Roman"/>
          <w:b w:val="false"/>
          <w:i w:val="false"/>
          <w:color w:val="000000"/>
          <w:sz w:val="21"/>
        </w:rPr>
        <w:t>[Filed 10/28/99, Notice 5/19/99—published 11/17/99, effective 12/22/99]</w:t>
      </w:r>
    </w:p>
    <w:p>
      <w:pPr>
        <w:spacing w:before="0" w:after="0"/>
        <w:ind w:left="120"/>
        <w:jc w:val="center"/>
      </w:pPr>
      <w:r>
        <w:rPr>
          <w:rFonts w:ascii="Times New Roman" w:hAnsi="Times New Roman"/>
          <w:b w:val="false"/>
          <w:i w:val="false"/>
          <w:color w:val="000000"/>
          <w:sz w:val="21"/>
        </w:rPr>
        <w:t>[Filed emergency 7/21/00—published 8/9/00, effective 7/21/00]</w:t>
      </w:r>
    </w:p>
    <w:p>
      <w:pPr>
        <w:spacing w:before="0" w:after="0"/>
        <w:ind w:left="120"/>
        <w:jc w:val="center"/>
      </w:pPr>
      <w:r>
        <w:rPr>
          <w:rFonts w:ascii="Times New Roman" w:hAnsi="Times New Roman"/>
          <w:b w:val="false"/>
          <w:i w:val="false"/>
          <w:color w:val="000000"/>
          <w:sz w:val="21"/>
        </w:rPr>
        <w:t>[Filed 3/2/01, Notice 8/9/00—published 3/21/01, effective 4/25/01]</w:t>
      </w:r>
    </w:p>
    <w:p>
      <w:pPr>
        <w:spacing w:before="0" w:after="0"/>
        <w:ind w:left="120"/>
        <w:jc w:val="center"/>
      </w:pPr>
      <w:r>
        <w:rPr>
          <w:rFonts w:ascii="Times New Roman" w:hAnsi="Times New Roman"/>
          <w:b w:val="false"/>
          <w:i w:val="false"/>
          <w:color w:val="000000"/>
          <w:sz w:val="21"/>
        </w:rPr>
        <w:t>[Filed 5/25/01, Notice 3/21/01—published 6/13/01, effective 7/18/01]</w:t>
      </w:r>
    </w:p>
    <w:p>
      <w:pPr>
        <w:spacing w:before="0" w:after="0"/>
        <w:ind w:left="120"/>
        <w:jc w:val="center"/>
      </w:pPr>
      <w:r>
        <w:rPr>
          <w:rFonts w:ascii="Times New Roman" w:hAnsi="Times New Roman"/>
          <w:b w:val="false"/>
          <w:i w:val="false"/>
          <w:color w:val="000000"/>
          <w:sz w:val="21"/>
        </w:rPr>
        <w:t>[Filed 7/25/02, Notice 5/15/02—published 8/21/02, effective 10/1/02]</w:t>
      </w:r>
    </w:p>
    <w:p>
      <w:pPr>
        <w:spacing w:before="0" w:after="0"/>
        <w:ind w:left="120"/>
        <w:jc w:val="center"/>
      </w:pPr>
      <w:r>
        <w:rPr>
          <w:rFonts w:ascii="Times New Roman" w:hAnsi="Times New Roman"/>
          <w:b w:val="false"/>
          <w:i w:val="false"/>
          <w:color w:val="000000"/>
          <w:sz w:val="21"/>
        </w:rPr>
        <w:t>[Filed 9/25/02, Notice 7/10/02—published 10/16/02, effective 11/20/02]</w:t>
      </w:r>
    </w:p>
    <w:p>
      <w:pPr>
        <w:spacing w:before="0" w:after="0"/>
        <w:ind w:left="120"/>
        <w:jc w:val="center"/>
      </w:pPr>
      <w:r>
        <w:rPr>
          <w:rFonts w:ascii="Times New Roman" w:hAnsi="Times New Roman"/>
          <w:b w:val="false"/>
          <w:i w:val="false"/>
          <w:color w:val="000000"/>
          <w:sz w:val="21"/>
        </w:rPr>
        <w:t>[Filed emergency 12/17/02—published 1/8/03, effective 12/17/02]</w:t>
      </w:r>
    </w:p>
    <w:p>
      <w:pPr>
        <w:spacing w:before="0" w:after="0"/>
        <w:ind w:left="120"/>
        <w:jc w:val="center"/>
      </w:pPr>
      <w:r>
        <w:rPr>
          <w:rFonts w:ascii="Times New Roman" w:hAnsi="Times New Roman"/>
          <w:b w:val="false"/>
          <w:i w:val="false"/>
          <w:color w:val="000000"/>
          <w:sz w:val="21"/>
        </w:rPr>
        <w:t>[Filed 11/19/03, Notice 6/11/03—published 12/10/03, effective 1/14/04]</w:t>
      </w:r>
    </w:p>
    <w:p>
      <w:pPr>
        <w:spacing w:before="0" w:after="0"/>
        <w:ind w:left="120"/>
        <w:jc w:val="center"/>
      </w:pPr>
      <w:r>
        <w:rPr>
          <w:rFonts w:ascii="Times New Roman" w:hAnsi="Times New Roman"/>
          <w:b w:val="false"/>
          <w:i w:val="false"/>
          <w:color w:val="000000"/>
          <w:sz w:val="21"/>
        </w:rPr>
        <w:t>[Filed emergency 4/21/06—published 5/10/06, effective 4/21/06]</w:t>
      </w:r>
    </w:p>
    <w:p>
      <w:pPr>
        <w:spacing w:before="0" w:after="0"/>
        <w:ind w:left="120"/>
        <w:jc w:val="center"/>
      </w:pPr>
      <w:r>
        <w:rPr>
          <w:rFonts w:ascii="Times New Roman" w:hAnsi="Times New Roman"/>
          <w:b w:val="false"/>
          <w:i w:val="false"/>
          <w:color w:val="000000"/>
          <w:sz w:val="21"/>
        </w:rPr>
        <w:t>[Filed 6/28/06, Notice 11/9/05—published 7/19/06, effective 8/23/06]</w:t>
      </w:r>
    </w:p>
    <w:p>
      <w:pPr>
        <w:spacing w:before="0" w:after="0"/>
        <w:ind w:left="120"/>
        <w:jc w:val="center"/>
      </w:pPr>
      <w:r>
        <w:rPr>
          <w:rFonts w:ascii="Times New Roman" w:hAnsi="Times New Roman"/>
          <w:b w:val="false"/>
          <w:i w:val="false"/>
          <w:color w:val="000000"/>
          <w:sz w:val="21"/>
        </w:rPr>
        <w:t>[Filed emergency 7/28/06—published 8/16/06, effective 8/23/06]</w:t>
      </w:r>
    </w:p>
    <w:p>
      <w:pPr>
        <w:spacing w:before="0" w:after="0"/>
        <w:ind w:left="120"/>
        <w:jc w:val="center"/>
      </w:pPr>
      <w:r>
        <w:rPr>
          <w:rFonts w:ascii="Times New Roman" w:hAnsi="Times New Roman"/>
          <w:b w:val="false"/>
          <w:i w:val="false"/>
          <w:color w:val="000000"/>
          <w:sz w:val="21"/>
        </w:rPr>
        <w:t>[Filed 3/8/07, Notice 1/3/07—published 3/28/07, effective 5/2/07]</w:t>
      </w:r>
    </w:p>
    <w:p>
      <w:pPr>
        <w:spacing w:before="0" w:after="0"/>
        <w:ind w:left="120"/>
        <w:jc w:val="center"/>
      </w:pPr>
      <w:r>
        <w:rPr>
          <w:rFonts w:ascii="Times New Roman" w:hAnsi="Times New Roman"/>
          <w:b w:val="false"/>
          <w:i w:val="false"/>
          <w:color w:val="000000"/>
          <w:sz w:val="21"/>
        </w:rPr>
        <w:t>[Filed 6/14/07, Notice 2/28/07—published 7/4/07, effective 10/1/07]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7569B</w:t>
      </w:r>
      <w:r>
        <w:rPr>
          <w:rFonts w:ascii="Times New Roman" w:hAnsi="Times New Roman"/>
          <w:b w:val="false"/>
          <w:i w:val="false"/>
          <w:color w:val="000000"/>
          <w:sz w:val="21"/>
        </w:rPr>
        <w:t xml:space="preserve"> (Notice ARC 7308B,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8520B</w:t>
      </w:r>
      <w:r>
        <w:rPr>
          <w:rFonts w:ascii="Times New Roman" w:hAnsi="Times New Roman"/>
          <w:b w:val="false"/>
          <w:i w:val="false"/>
          <w:color w:val="000000"/>
          <w:sz w:val="21"/>
        </w:rPr>
        <w:t xml:space="preserve"> (Notice ARC 7945B, IAB 7/15/09)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9365B</w:t>
      </w:r>
      <w:r>
        <w:rPr>
          <w:rFonts w:ascii="Times New Roman" w:hAnsi="Times New Roman"/>
          <w:b w:val="false"/>
          <w:i w:val="false"/>
          <w:color w:val="000000"/>
          <w:sz w:val="21"/>
        </w:rPr>
        <w:t xml:space="preserve"> (Notice ARC 9056B, IAB 9/8/10)</w:t>
      </w:r>
      <w:r>
        <w:rPr>
          <w:rFonts w:ascii="Times New Roman" w:hAnsi="Times New Roman"/>
          <w:b w:val="false"/>
          <w:i w:val="false"/>
          <w:color w:val="000000"/>
          <w:sz w:val="21"/>
        </w:rPr>
        <w:t>, IAB 2/9/11, effective 3/30/11]</w:t>
      </w:r>
    </w:p>
    <w:p>
      <w:pPr>
        <w:spacing w:before="0" w:after="0"/>
        <w:ind w:left="120"/>
        <w:jc w:val="center"/>
      </w:pPr>
      <w:r>
        <w:rPr>
          <w:rFonts w:ascii="Times New Roman" w:hAnsi="Times New Roman"/>
          <w:b w:val="false"/>
          <w:i w:val="false"/>
          <w:color w:val="000000"/>
          <w:sz w:val="21"/>
        </w:rPr>
        <w:t>[Filed ARC 9553B</w:t>
      </w:r>
      <w:r>
        <w:rPr>
          <w:rFonts w:ascii="Times New Roman" w:hAnsi="Times New Roman"/>
          <w:b w:val="false"/>
          <w:i w:val="false"/>
          <w:color w:val="000000"/>
          <w:sz w:val="21"/>
        </w:rPr>
        <w:t xml:space="preserve"> (Notice ARC 9364B, IAB 2/9/11)</w:t>
      </w:r>
      <w:r>
        <w:rPr>
          <w:rFonts w:ascii="Times New Roman" w:hAnsi="Times New Roman"/>
          <w:b w:val="false"/>
          <w:i w:val="false"/>
          <w:color w:val="000000"/>
          <w:sz w:val="21"/>
        </w:rPr>
        <w:t>, IAB 6/15/11, effective 7/20/11]</w:t>
      </w:r>
    </w:p>
    <w:p>
      <w:pPr>
        <w:spacing w:before="0" w:after="0"/>
        <w:ind w:left="120"/>
        <w:jc w:val="center"/>
      </w:pPr>
      <w:r>
        <w:rPr>
          <w:rFonts w:ascii="Times New Roman" w:hAnsi="Times New Roman"/>
          <w:b w:val="false"/>
          <w:i w:val="false"/>
          <w:color w:val="000000"/>
          <w:sz w:val="21"/>
        </w:rPr>
        <w:t>[Filed ARC 0261C</w:t>
      </w:r>
      <w:r>
        <w:rPr>
          <w:rFonts w:ascii="Times New Roman" w:hAnsi="Times New Roman"/>
          <w:b w:val="false"/>
          <w:i w:val="false"/>
          <w:color w:val="000000"/>
          <w:sz w:val="21"/>
        </w:rPr>
        <w:t xml:space="preserve"> (Notice ARC 0118C, IAB 5/16/12)</w:t>
      </w:r>
      <w:r>
        <w:rPr>
          <w:rFonts w:ascii="Times New Roman" w:hAnsi="Times New Roman"/>
          <w:b w:val="false"/>
          <w:i w:val="false"/>
          <w:color w:val="000000"/>
          <w:sz w:val="21"/>
        </w:rPr>
        <w:t>, IAB 8/8/12, effective 10/1/12]</w:t>
      </w:r>
    </w:p>
    <w:p>
      <w:pPr>
        <w:spacing w:before="0" w:after="0"/>
        <w:ind w:left="120"/>
        <w:jc w:val="center"/>
      </w:pPr>
      <w:r>
        <w:rPr>
          <w:rFonts w:ascii="Times New Roman" w:hAnsi="Times New Roman"/>
          <w:b w:val="false"/>
          <w:i w:val="false"/>
          <w:color w:val="000000"/>
          <w:sz w:val="21"/>
        </w:rPr>
        <w:t>[Filed ARC 0529C</w:t>
      </w:r>
      <w:r>
        <w:rPr>
          <w:rFonts w:ascii="Times New Roman" w:hAnsi="Times New Roman"/>
          <w:b w:val="false"/>
          <w:i w:val="false"/>
          <w:color w:val="000000"/>
          <w:sz w:val="21"/>
        </w:rPr>
        <w:t xml:space="preserve"> (Notice ARC 0270C, IAB 8/8/12)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1337C</w:t>
      </w:r>
      <w:r>
        <w:rPr>
          <w:rFonts w:ascii="Times New Roman" w:hAnsi="Times New Roman"/>
          <w:b w:val="false"/>
          <w:i w:val="false"/>
          <w:color w:val="000000"/>
          <w:sz w:val="21"/>
        </w:rPr>
        <w:t xml:space="preserve"> (Notice ARC 1176C, IAB 11/13/13)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1627C</w:t>
      </w:r>
      <w:r>
        <w:rPr>
          <w:rFonts w:ascii="Times New Roman" w:hAnsi="Times New Roman"/>
          <w:b w:val="false"/>
          <w:i w:val="false"/>
          <w:color w:val="000000"/>
          <w:sz w:val="21"/>
        </w:rPr>
        <w:t xml:space="preserve"> (Notice ARC 1421C, IAB 4/16/14)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After Notice ARC 1912C</w:t>
      </w:r>
      <w:r>
        <w:rPr>
          <w:rFonts w:ascii="Times New Roman" w:hAnsi="Times New Roman"/>
          <w:b w:val="false"/>
          <w:i w:val="false"/>
          <w:color w:val="000000"/>
          <w:sz w:val="21"/>
        </w:rPr>
        <w:t xml:space="preserve"> (Notice ARC 1757C, IAB 12/10/14)</w:t>
      </w:r>
      <w:r>
        <w:rPr>
          <w:rFonts w:ascii="Times New Roman" w:hAnsi="Times New Roman"/>
          <w:b w:val="false"/>
          <w:i w:val="false"/>
          <w:color w:val="000000"/>
          <w:sz w:val="21"/>
        </w:rPr>
        <w:t>, IAB 3/18/15, effective 3/1/15]</w:t>
      </w:r>
    </w:p>
    <w:p>
      <w:pPr>
        <w:spacing w:before="0" w:after="0"/>
        <w:ind w:left="120"/>
        <w:jc w:val="center"/>
      </w:pPr>
      <w:r>
        <w:rPr>
          <w:rFonts w:ascii="Times New Roman" w:hAnsi="Times New Roman"/>
          <w:b w:val="false"/>
          <w:i w:val="false"/>
          <w:color w:val="000000"/>
          <w:sz w:val="21"/>
        </w:rPr>
        <w:t>[Filed ARC 2054C</w:t>
      </w:r>
      <w:r>
        <w:rPr>
          <w:rFonts w:ascii="Times New Roman" w:hAnsi="Times New Roman"/>
          <w:b w:val="false"/>
          <w:i w:val="false"/>
          <w:color w:val="000000"/>
          <w:sz w:val="21"/>
        </w:rPr>
        <w:t xml:space="preserve"> (Notice ARC 1873C, IAB 2/18/15)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Emergency After Notice ARC 2572C</w:t>
      </w:r>
      <w:r>
        <w:rPr>
          <w:rFonts w:ascii="Times New Roman" w:hAnsi="Times New Roman"/>
          <w:b w:val="false"/>
          <w:i w:val="false"/>
          <w:color w:val="000000"/>
          <w:sz w:val="21"/>
        </w:rPr>
        <w:t xml:space="preserve"> (Notice ARC 2441C, IAB 3/16/16)</w:t>
      </w:r>
      <w:r>
        <w:rPr>
          <w:rFonts w:ascii="Times New Roman" w:hAnsi="Times New Roman"/>
          <w:b w:val="false"/>
          <w:i w:val="false"/>
          <w:color w:val="000000"/>
          <w:sz w:val="21"/>
        </w:rPr>
        <w:t>, IAB 6/8/16, effective 5/18/16]</w:t>
      </w:r>
      <w:r>
        <w:br/>
      </w:r>
      <w:r>
        <w:rPr>
          <w:rFonts w:ascii="Times New Roman" w:hAnsi="Times New Roman"/>
          <w:b w:val="false"/>
          <w:i w:val="false"/>
          <w:color w:val="000000"/>
          <w:sz w:val="21"/>
        </w:rPr>
        <w:t>[Filed ARC 2571C</w:t>
      </w:r>
      <w:r>
        <w:rPr>
          <w:rFonts w:ascii="Times New Roman" w:hAnsi="Times New Roman"/>
          <w:b w:val="false"/>
          <w:i w:val="false"/>
          <w:color w:val="000000"/>
          <w:sz w:val="21"/>
        </w:rPr>
        <w:t xml:space="preserve"> (Notice ARC 2442C, IAB 3/16/16)</w:t>
      </w:r>
      <w:r>
        <w:rPr>
          <w:rFonts w:ascii="Times New Roman" w:hAnsi="Times New Roman"/>
          <w:b w:val="false"/>
          <w:i w:val="false"/>
          <w:color w:val="000000"/>
          <w:sz w:val="21"/>
        </w:rPr>
        <w:t>, IAB 6/8/16, effective 7/20/16]</w:t>
      </w:r>
    </w:p>
    <w:p>
      <w:pPr>
        <w:spacing w:before="0" w:after="0"/>
        <w:ind w:left="120"/>
        <w:jc w:val="center"/>
      </w:pPr>
      <w:r>
        <w:rPr>
          <w:rFonts w:ascii="Times New Roman" w:hAnsi="Times New Roman"/>
          <w:b w:val="false"/>
          <w:i w:val="false"/>
          <w:color w:val="000000"/>
          <w:sz w:val="21"/>
        </w:rPr>
        <w:t>[Filed Emergency After Notice ARC 2695C</w:t>
      </w:r>
      <w:r>
        <w:rPr>
          <w:rFonts w:ascii="Times New Roman" w:hAnsi="Times New Roman"/>
          <w:b w:val="false"/>
          <w:i w:val="false"/>
          <w:color w:val="000000"/>
          <w:sz w:val="21"/>
        </w:rPr>
        <w:t xml:space="preserve"> (Notice ARC 2579C, IAB 6/8/16)</w:t>
      </w:r>
      <w:r>
        <w:rPr>
          <w:rFonts w:ascii="Times New Roman" w:hAnsi="Times New Roman"/>
          <w:b w:val="false"/>
          <w:i w:val="false"/>
          <w:color w:val="000000"/>
          <w:sz w:val="21"/>
        </w:rPr>
        <w:t>, IAB 8/31/16, effective 8/12/16]</w:t>
      </w:r>
    </w:p>
    <w:p>
      <w:pPr>
        <w:spacing w:before="0" w:after="0"/>
        <w:ind w:left="120"/>
        <w:jc w:val="center"/>
      </w:pPr>
      <w:r>
        <w:rPr>
          <w:rFonts w:ascii="Times New Roman" w:hAnsi="Times New Roman"/>
          <w:b w:val="false"/>
          <w:i w:val="false"/>
          <w:color w:val="000000"/>
          <w:sz w:val="21"/>
        </w:rPr>
        <w:t>[Filed ARC 3584C</w:t>
      </w:r>
      <w:r>
        <w:rPr>
          <w:rFonts w:ascii="Times New Roman" w:hAnsi="Times New Roman"/>
          <w:b w:val="false"/>
          <w:i w:val="false"/>
          <w:color w:val="000000"/>
          <w:sz w:val="21"/>
        </w:rPr>
        <w:t xml:space="preserve"> (Notice ARC 3309C, IAB 9/13/17)</w:t>
      </w:r>
      <w:r>
        <w:rPr>
          <w:rFonts w:ascii="Times New Roman" w:hAnsi="Times New Roman"/>
          <w:b w:val="false"/>
          <w:i w:val="false"/>
          <w:color w:val="000000"/>
          <w:sz w:val="21"/>
        </w:rPr>
        <w:t>, IAB 1/17/18, effective 3/1/18]</w:t>
      </w:r>
      <w:r>
        <w:br/>
      </w:r>
      <w:r>
        <w:rPr>
          <w:rFonts w:ascii="Times New Roman" w:hAnsi="Times New Roman"/>
          <w:b w:val="false"/>
          <w:i w:val="false"/>
          <w:color w:val="000000"/>
          <w:sz w:val="21"/>
        </w:rPr>
        <w:t>[Filed ARC 3585C</w:t>
      </w:r>
      <w:r>
        <w:rPr>
          <w:rFonts w:ascii="Times New Roman" w:hAnsi="Times New Roman"/>
          <w:b w:val="false"/>
          <w:i w:val="false"/>
          <w:color w:val="000000"/>
          <w:sz w:val="21"/>
        </w:rPr>
        <w:t xml:space="preserve"> (Notice ARC 3310C, IAB 9/13/17)</w:t>
      </w:r>
      <w:r>
        <w:rPr>
          <w:rFonts w:ascii="Times New Roman" w:hAnsi="Times New Roman"/>
          <w:b w:val="false"/>
          <w:i w:val="false"/>
          <w:color w:val="000000"/>
          <w:sz w:val="21"/>
        </w:rPr>
        <w:t>, IAB 1/17/18, effective 3/1/18]</w:t>
      </w:r>
    </w:p>
    <w:p>
      <w:pPr>
        <w:spacing w:before="0" w:after="0"/>
        <w:ind w:left="120"/>
        <w:jc w:val="center"/>
      </w:pPr>
      <w:r>
        <w:rPr>
          <w:rFonts w:ascii="Times New Roman" w:hAnsi="Times New Roman"/>
          <w:b w:val="false"/>
          <w:i w:val="false"/>
          <w:color w:val="000000"/>
          <w:sz w:val="21"/>
        </w:rPr>
        <w:t>[Filed ARC 3786C</w:t>
      </w:r>
      <w:r>
        <w:rPr>
          <w:rFonts w:ascii="Times New Roman" w:hAnsi="Times New Roman"/>
          <w:b w:val="false"/>
          <w:i w:val="false"/>
          <w:color w:val="000000"/>
          <w:sz w:val="21"/>
        </w:rPr>
        <w:t xml:space="preserve"> (Notice ARC 3625C, IAB 2/14/18)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4609C</w:t>
      </w:r>
      <w:r>
        <w:rPr>
          <w:rFonts w:ascii="Times New Roman" w:hAnsi="Times New Roman"/>
          <w:b w:val="false"/>
          <w:i w:val="false"/>
          <w:color w:val="000000"/>
          <w:sz w:val="21"/>
        </w:rPr>
        <w:t xml:space="preserve"> (Notice ARC 4421C, IAB 5/8/19)</w:t>
      </w:r>
      <w:r>
        <w:rPr>
          <w:rFonts w:ascii="Times New Roman" w:hAnsi="Times New Roman"/>
          <w:b w:val="false"/>
          <w:i w:val="false"/>
          <w:color w:val="000000"/>
          <w:sz w:val="21"/>
        </w:rPr>
        <w:t>, IAB 8/14/19, effective 3/1/20]</w:t>
      </w:r>
    </w:p>
    <w:p>
      <w:pPr>
        <w:spacing w:before="0" w:after="0"/>
        <w:ind w:left="120"/>
        <w:jc w:val="center"/>
      </w:pPr>
      <w:r>
        <w:rPr>
          <w:rFonts w:ascii="Times New Roman" w:hAnsi="Times New Roman"/>
          <w:b w:val="false"/>
          <w:i w:val="false"/>
          <w:color w:val="000000"/>
          <w:sz w:val="21"/>
        </w:rPr>
        <w:t>[Filed ARC 5283C</w:t>
      </w:r>
      <w:r>
        <w:rPr>
          <w:rFonts w:ascii="Times New Roman" w:hAnsi="Times New Roman"/>
          <w:b w:val="false"/>
          <w:i w:val="false"/>
          <w:color w:val="000000"/>
          <w:sz w:val="21"/>
        </w:rPr>
        <w:t xml:space="preserve"> (Notice ARC 5135C, IAB 8/12/20)</w:t>
      </w:r>
      <w:r>
        <w:rPr>
          <w:rFonts w:ascii="Times New Roman" w:hAnsi="Times New Roman"/>
          <w:b w:val="false"/>
          <w:i w:val="false"/>
          <w:color w:val="000000"/>
          <w:sz w:val="21"/>
        </w:rPr>
        <w:t>, IAB 11/18/20, effective 7/20/21]</w:t>
      </w:r>
      <w:r>
        <w:br/>
      </w:r>
      <w:r>
        <w:rPr>
          <w:rFonts w:ascii="Times New Roman" w:hAnsi="Times New Roman"/>
          <w:b w:val="false"/>
          <w:i w:val="false"/>
          <w:color w:val="000000"/>
          <w:sz w:val="21"/>
        </w:rPr>
        <w:t>[Filed ARC 5284C</w:t>
      </w:r>
      <w:r>
        <w:rPr>
          <w:rFonts w:ascii="Times New Roman" w:hAnsi="Times New Roman"/>
          <w:b w:val="false"/>
          <w:i w:val="false"/>
          <w:color w:val="000000"/>
          <w:sz w:val="21"/>
        </w:rPr>
        <w:t xml:space="preserve"> (Notice ARC 5136C, IAB 8/12/20)</w:t>
      </w:r>
      <w:r>
        <w:rPr>
          <w:rFonts w:ascii="Times New Roman" w:hAnsi="Times New Roman"/>
          <w:b w:val="false"/>
          <w:i w:val="false"/>
          <w:color w:val="000000"/>
          <w:sz w:val="21"/>
        </w:rPr>
        <w:t>, IAB 11/18/20, effective 5/18/21]</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6493C</w:t>
      </w:r>
      <w:r>
        <w:rPr>
          <w:rFonts w:ascii="Times New Roman" w:hAnsi="Times New Roman"/>
          <w:b w:val="false"/>
          <w:i w:val="false"/>
          <w:color w:val="000000"/>
          <w:sz w:val="21"/>
        </w:rPr>
        <w:t xml:space="preserve"> (Notice ARC 6358C, IAB 6/15/22)</w:t>
      </w:r>
      <w:r>
        <w:rPr>
          <w:rFonts w:ascii="Times New Roman" w:hAnsi="Times New Roman"/>
          <w:b w:val="false"/>
          <w:i w:val="false"/>
          <w:color w:val="000000"/>
          <w:sz w:val="21"/>
        </w:rPr>
        <w:t>, IAB 9/7/22, effective 7/1/23]</w:t>
      </w:r>
    </w:p>
    <w:p>
      <w:pPr>
        <w:spacing w:before="0" w:after="0"/>
        <w:ind w:left="120"/>
        <w:jc w:val="center"/>
      </w:pPr>
      <w:r>
        <w:rPr>
          <w:rFonts w:ascii="Times New Roman" w:hAnsi="Times New Roman"/>
          <w:b w:val="false"/>
          <w:i w:val="false"/>
          <w:color w:val="000000"/>
          <w:sz w:val="21"/>
        </w:rPr>
        <w:t>[Filed ARC 6734C</w:t>
      </w:r>
      <w:r>
        <w:rPr>
          <w:rFonts w:ascii="Times New Roman" w:hAnsi="Times New Roman"/>
          <w:b w:val="false"/>
          <w:i w:val="false"/>
          <w:color w:val="000000"/>
          <w:sz w:val="21"/>
        </w:rPr>
        <w:t xml:space="preserve"> (Notice ARC 6501C, IAB 9/7/22)</w:t>
      </w:r>
      <w:r>
        <w:rPr>
          <w:rFonts w:ascii="Times New Roman" w:hAnsi="Times New Roman"/>
          <w:b w:val="false"/>
          <w:i w:val="false"/>
          <w:color w:val="000000"/>
          <w:sz w:val="21"/>
        </w:rPr>
        <w:t>, IAB 12/14/22, effective 3/1/23]</w:t>
      </w:r>
    </w:p>
    <w:p>
      <w:pPr>
        <w:pageBreakBefore/>
        <w:spacing w:before="0" w:after="0"/>
        <w:ind w:left="120"/>
        <w:jc w:val="left"/>
      </w:pPr>
    </w:p>
    <w:p>
      <w:pPr>
        <w:spacing w:before="0" w:after="0"/>
        <w:ind w:left="120"/>
        <w:jc w:val="left"/>
      </w:pPr>
      <w:r>
        <w:drawing>
          <wp:inline distT="0" distB="0" distL="0" distR="0">
            <wp:extent cx="5063014" cy="65805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15"/>
                    <a:stretch>
                      <a:fillRect/>
                    </a:stretch>
                  </pic:blipFill>
                  <pic:spPr>
                    <a:xfrm>
                      <a:off x="0" y="0"/>
                      <a:ext cx="5063014" cy="6580500"/>
                    </a:xfrm>
                    <a:prstGeom prst="rect">
                      <a:avLst/>
                    </a:prstGeom>
                  </pic:spPr>
                </pic:pic>
              </a:graphicData>
            </a:graphic>
          </wp:inline>
        </w:drawing>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pBdr>
          <w:bottom w:space="2"/>
        </w:pBdr>
        <w:spacing w:before="0" w:after="0"/>
        <w:ind w:left="120"/>
        <w:jc w:val="both"/>
      </w:pPr>
      <w:r>
        <w:rPr>
          <w:rFonts w:ascii="Times New Roman" w:hAnsi="Times New Roman"/>
          <w:b w:val="false"/>
          <w:i w:val="false"/>
          <w:color w:val="000000"/>
          <w:sz w:val="22"/>
        </w:rPr>
        <w:t>Effective date of 64.2(9)</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The 70-day delay of effective date of 64.2(9)</w:t>
      </w:r>
      <w:r>
        <w:rPr>
          <w:rFonts w:ascii="Times New Roman" w:hAnsi="Times New Roman"/>
          <w:b w:val="false"/>
          <w:i/>
          <w:color w:val="000000"/>
          <w:sz w:val="22"/>
        </w:rPr>
        <w:t>“c”</w:t>
      </w:r>
      <w:r>
        <w:rPr>
          <w:rFonts w:ascii="Times New Roman" w:hAnsi="Times New Roman"/>
          <w:b w:val="false"/>
          <w:i w:val="false"/>
          <w:color w:val="000000"/>
          <w:sz w:val="22"/>
        </w:rPr>
        <w:t xml:space="preserve"> was lifted by the Administrative Rules Review Committee on 7/31/86.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9.pdf" Type="http://schemas.openxmlformats.org/officeDocument/2006/relationships/hyperlink" Id="rId5"/>
    <Relationship TargetMode="External" Target="https://www.legis.iowa.gov/docs/iac/rule/567.64.2.pdf" Type="http://schemas.openxmlformats.org/officeDocument/2006/relationships/hyperlink" Id="rId6"/>
    <Relationship TargetMode="External" Target="https://www.legis.iowa.gov/docs/iac/rule/567.60.4.pdf" Type="http://schemas.openxmlformats.org/officeDocument/2006/relationships/hyperlink" Id="rId7"/>
    <Relationship TargetMode="External" Target="https://www.legis.iowa.gov/docs/iac/rule/567.64.2.pdf" Type="http://schemas.openxmlformats.org/officeDocument/2006/relationships/hyperlink" Id="rId8"/>
    <Relationship TargetMode="External" Target="https://www.legis.iowa.gov/docs/ico/chapter/455B.134.pdf" Type="http://schemas.openxmlformats.org/officeDocument/2006/relationships/hyperlink" Id="rId9"/>
    <Relationship TargetMode="External" Target="https://www.legis.iowa.gov/docs/iac/rule/567.60.4.pdf" Type="http://schemas.openxmlformats.org/officeDocument/2006/relationships/hyperlink" Id="rId10"/>
    <Relationship TargetMode="External" Target="https://www.legis.iowa.gov/docs/iac/rule/567.64.2.pdf" Type="http://schemas.openxmlformats.org/officeDocument/2006/relationships/hyperlink" Id="rId11"/>
    <Relationship TargetMode="External" Target="https://www.legis.iowa.gov/docs/iac/chapter/567.65.pdf" Type="http://schemas.openxmlformats.org/officeDocument/2006/relationships/hyperlink" Id="rId12"/>
    <Relationship TargetMode="External" Target="https://www.legis.iowa.gov/docs/iac/chapter/567.69.pdf" Type="http://schemas.openxmlformats.org/officeDocument/2006/relationships/hyperlink" Id="rId13"/>
    <Relationship TargetMode="External" Target="https://www.legis.iowa.gov/docs/iac/chapter/567.69.pdf" Type="http://schemas.openxmlformats.org/officeDocument/2006/relationships/hyperlink" Id="rId14"/>
    <Relationship TargetMode="External" Target="https://www.legis.iowa.gov/docs/ico/chapter/459.pdf" Type="http://schemas.openxmlformats.org/officeDocument/2006/relationships/hyperlink" Id="rId15"/>
    <Relationship TargetMode="External" Target="https://www.legis.iowa.gov/docs/ico/chapter/459A.pdf" Type="http://schemas.openxmlformats.org/officeDocument/2006/relationships/hyperlink" Id="rId16"/>
    <Relationship TargetMode="External" Target="https://www.legis.iowa.gov/docs/iac/rule/567.64.2.pdf" Type="http://schemas.openxmlformats.org/officeDocument/2006/relationships/hyperlink" Id="rId17"/>
    <Relationship TargetMode="External" Target="https://www.legis.iowa.gov/docs/iac/rule/567.64.3.pdf" Type="http://schemas.openxmlformats.org/officeDocument/2006/relationships/hyperlink" Id="rId18"/>
    <Relationship TargetMode="External" Target="https://www.legis.iowa.gov/docs/iac/rule/567.64.3.pdf" Type="http://schemas.openxmlformats.org/officeDocument/2006/relationships/hyperlink" Id="rId19"/>
    <Relationship TargetMode="External" Target="https://www.legis.iowa.gov/docs/iac/rule/567.60.3.pdf" Type="http://schemas.openxmlformats.org/officeDocument/2006/relationships/hyperlink" Id="rId20"/>
    <Relationship TargetMode="External" Target="https://www.legis.iowa.gov/docs/iac/rule/567.64.3.pdf" Type="http://schemas.openxmlformats.org/officeDocument/2006/relationships/hyperlink" Id="rId21"/>
    <Relationship TargetMode="External" Target="https://www.legis.iowa.gov/docs/iac/rule/567.60.4.pdf" Type="http://schemas.openxmlformats.org/officeDocument/2006/relationships/hyperlink" Id="rId22"/>
    <Relationship TargetMode="External" Target="https://www.legis.iowa.gov/docs/iac/chapter/567.60.pdf" Type="http://schemas.openxmlformats.org/officeDocument/2006/relationships/hyperlink" Id="rId23"/>
    <Relationship TargetMode="External" Target="https://www.legis.iowa.gov/docs/iac/rule/567.64.5.pdf" Type="http://schemas.openxmlformats.org/officeDocument/2006/relationships/hyperlink" Id="rId24"/>
    <Relationship TargetMode="External" Target="https://www.legis.iowa.gov/docs/iac/rule/567.64.3.pdf" Type="http://schemas.openxmlformats.org/officeDocument/2006/relationships/hyperlink" Id="rId25"/>
    <Relationship TargetMode="External" Target="https://www.legis.iowa.gov/docs/iac/rule/567.60.3.pdf" Type="http://schemas.openxmlformats.org/officeDocument/2006/relationships/hyperlink" Id="rId26"/>
    <Relationship TargetMode="External" Target="https://www.legis.iowa.gov/docs/iac/rule/567.64.6.pdf" Type="http://schemas.openxmlformats.org/officeDocument/2006/relationships/hyperlink" Id="rId27"/>
    <Relationship TargetMode="External" Target="https://www.legis.iowa.gov/docs/iac/rule/567.60.2.pdf" Type="http://schemas.openxmlformats.org/officeDocument/2006/relationships/hyperlink" Id="rId28"/>
    <Relationship TargetMode="External" Target="https://www.legis.iowa.gov/docs/iac/chapter/567.60.pdf" Type="http://schemas.openxmlformats.org/officeDocument/2006/relationships/hyperlink" Id="rId29"/>
    <Relationship TargetMode="External" Target="https://www.legis.iowa.gov/docs/iac/chapter/567.62.pdf" Type="http://schemas.openxmlformats.org/officeDocument/2006/relationships/hyperlink" Id="rId30"/>
    <Relationship TargetMode="External" Target="https://www.legis.iowa.gov/docs/iac/rule/567.64.7.pdf" Type="http://schemas.openxmlformats.org/officeDocument/2006/relationships/hyperlink" Id="rId31"/>
    <Relationship TargetMode="External" Target="https://www.legis.iowa.gov/docs/iac/rule/567.64.7.pdf" Type="http://schemas.openxmlformats.org/officeDocument/2006/relationships/hyperlink" Id="rId32"/>
    <Relationship TargetMode="External" Target="https://www.legis.iowa.gov/docs/iac/rule/567.64.2.pdf" Type="http://schemas.openxmlformats.org/officeDocument/2006/relationships/hyperlink" Id="rId33"/>
    <Relationship TargetMode="External" Target="https://www.legis.iowa.gov/docs/iac/rule/567.64.3.pdf" Type="http://schemas.openxmlformats.org/officeDocument/2006/relationships/hyperlink" Id="rId34"/>
    <Relationship TargetMode="External" Target="https://www.legis.iowa.gov/docs/iac/rule/567.64.7.pdf" Type="http://schemas.openxmlformats.org/officeDocument/2006/relationships/hyperlink" Id="rId35"/>
    <Relationship TargetMode="External" Target="https://www.legis.iowa.gov/docs/iac/rule/567.60.4.pdf" Type="http://schemas.openxmlformats.org/officeDocument/2006/relationships/hyperlink" Id="rId36"/>
    <Relationship TargetMode="External" Target="https://www.legis.iowa.gov/docs/iac/rule/567.64.5.pdf" Type="http://schemas.openxmlformats.org/officeDocument/2006/relationships/hyperlink" Id="rId37"/>
    <Relationship TargetMode="External" Target="https://www.legis.iowa.gov/docs/iac/rule/567.60.2.pdf" Type="http://schemas.openxmlformats.org/officeDocument/2006/relationships/hyperlink" Id="rId38"/>
    <Relationship TargetMode="External" Target="https://www.legis.iowa.gov/docs/iac/rule/567.64.4.pdf" Type="http://schemas.openxmlformats.org/officeDocument/2006/relationships/hyperlink" Id="rId39"/>
    <Relationship TargetMode="External" Target="https://www.legis.iowa.gov/docs/iac/rule/567.64.6.pdf" Type="http://schemas.openxmlformats.org/officeDocument/2006/relationships/hyperlink" Id="rId40"/>
    <Relationship TargetMode="External" Target="https://www.legis.iowa.gov/docs/iac/rule/567.64.7.pdf" Type="http://schemas.openxmlformats.org/officeDocument/2006/relationships/hyperlink" Id="rId41"/>
    <Relationship TargetMode="External" Target="https://www.legis.iowa.gov/docs/iac/rule/567.64.8.pdf" Type="http://schemas.openxmlformats.org/officeDocument/2006/relationships/hyperlink" Id="rId42"/>
    <Relationship TargetMode="External" Target="https://www.legis.iowa.gov/docs/iac/rule/567.64.9.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ac/rule/567.64.15.pdf" Type="http://schemas.openxmlformats.org/officeDocument/2006/relationships/hyperlink" Id="rId45"/>
    <Relationship TargetMode="External" Target="https://www.legis.iowa.gov/docs/iac/rule/567.64.3.pdf" Type="http://schemas.openxmlformats.org/officeDocument/2006/relationships/hyperlink" Id="rId46"/>
    <Relationship TargetMode="External" Target="https://www.legis.iowa.gov/docs/iac/rule/567.64.6.pdf" Type="http://schemas.openxmlformats.org/officeDocument/2006/relationships/hyperlink" Id="rId47"/>
    <Relationship TargetMode="External" Target="https://www.legis.iowa.gov/docs/iac/chapter/567.61.pdf" Type="http://schemas.openxmlformats.org/officeDocument/2006/relationships/hyperlink" Id="rId48"/>
    <Relationship TargetMode="External" Target="https://www.legis.iowa.gov/docs/iac/chapter/567.62.pdf" Type="http://schemas.openxmlformats.org/officeDocument/2006/relationships/hyperlink" Id="rId49"/>
    <Relationship TargetMode="External" Target="https://www.legis.iowa.gov/docs/iac/rule/567.64.3.pdf" Type="http://schemas.openxmlformats.org/officeDocument/2006/relationships/hyperlink" Id="rId50"/>
    <Relationship TargetMode="External" Target="https://www.legis.iowa.gov/docs/iac/rule/567.64.5.pdf" Type="http://schemas.openxmlformats.org/officeDocument/2006/relationships/hyperlink" Id="rId51"/>
    <Relationship TargetMode="External" Target="https://www.legis.iowa.gov/docs/iac/rule/567.64.5.pdf" Type="http://schemas.openxmlformats.org/officeDocument/2006/relationships/hyperlink" Id="rId52"/>
    <Relationship TargetMode="External" Target="https://www.legis.iowa.gov/docs/iac/rule/567.64.7.pdf" Type="http://schemas.openxmlformats.org/officeDocument/2006/relationships/hyperlink" Id="rId53"/>
    <Relationship TargetMode="External" Target="https://www.legis.iowa.gov/docs/iac/rule/567.64.7.pdf" Type="http://schemas.openxmlformats.org/officeDocument/2006/relationships/hyperlink" Id="rId54"/>
    <Relationship TargetMode="External" Target="https://www.legis.iowa.gov/docs/iac/rule/567.64.7.pdf" Type="http://schemas.openxmlformats.org/officeDocument/2006/relationships/hyperlink" Id="rId55"/>
    <Relationship TargetMode="External" Target="https://www.legis.iowa.gov/docs/iac/rule/567.64.7.pdf" Type="http://schemas.openxmlformats.org/officeDocument/2006/relationships/hyperlink" Id="rId56"/>
    <Relationship TargetMode="External" Target="https://www.legis.iowa.gov/docs/iac/rule/567.64.7.pdf" Type="http://schemas.openxmlformats.org/officeDocument/2006/relationships/hyperlink" Id="rId57"/>
    <Relationship TargetMode="External" Target="https://www.legis.iowa.gov/docs/iac/rule/567.64.5.pdf" Type="http://schemas.openxmlformats.org/officeDocument/2006/relationships/hyperlink" Id="rId58"/>
    <Relationship TargetMode="External" Target="https://www.legis.iowa.gov/docs/iac/rule/567.64.5.pdf" Type="http://schemas.openxmlformats.org/officeDocument/2006/relationships/hyperlink" Id="rId59"/>
    <Relationship TargetMode="External" Target="https://www.legis.iowa.gov/docs/iac/rule/567.64.5.pdf" Type="http://schemas.openxmlformats.org/officeDocument/2006/relationships/hyperlink" Id="rId60"/>
    <Relationship TargetMode="External" Target="https://www.legis.iowa.gov/docs/iac/rule/567.64.5.pdf" Type="http://schemas.openxmlformats.org/officeDocument/2006/relationships/hyperlink" Id="rId61"/>
    <Relationship TargetMode="External" Target="https://www.legis.iowa.gov/docs/iac/rule/567.64.5.pdf" Type="http://schemas.openxmlformats.org/officeDocument/2006/relationships/hyperlink" Id="rId62"/>
    <Relationship TargetMode="External" Target="https://www.legis.iowa.gov/docs/iac/rule/567.64.5.pdf" Type="http://schemas.openxmlformats.org/officeDocument/2006/relationships/hyperlink" Id="rId63"/>
    <Relationship TargetMode="External" Target="https://www.legis.iowa.gov/docs/iac/rule/567.64.7.pdf" Type="http://schemas.openxmlformats.org/officeDocument/2006/relationships/hyperlink" Id="rId64"/>
    <Relationship TargetMode="External" Target="https://www.legis.iowa.gov/docs/iac/rule/567.64.5.pdf" Type="http://schemas.openxmlformats.org/officeDocument/2006/relationships/hyperlink" Id="rId65"/>
    <Relationship TargetMode="External" Target="https://www.legis.iowa.gov/docs/iac/rule/567.64.5.pdf" Type="http://schemas.openxmlformats.org/officeDocument/2006/relationships/hyperlink" Id="rId66"/>
    <Relationship TargetMode="External" Target="https://www.legis.iowa.gov/docs/iac/rule/567.64.5.pdf" Type="http://schemas.openxmlformats.org/officeDocument/2006/relationships/hyperlink" Id="rId67"/>
    <Relationship TargetMode="External" Target="https://www.legis.iowa.gov/docs/iac/rule/567.64.5.pdf" Type="http://schemas.openxmlformats.org/officeDocument/2006/relationships/hyperlink" Id="rId68"/>
    <Relationship TargetMode="External" Target="https://www.legis.iowa.gov/docs/iac/rule/567.64.5.pdf" Type="http://schemas.openxmlformats.org/officeDocument/2006/relationships/hyperlink" Id="rId69"/>
    <Relationship TargetMode="External" Target="https://www.legis.iowa.gov/docs/iac/rule/567.64.5.pdf" Type="http://schemas.openxmlformats.org/officeDocument/2006/relationships/hyperlink" Id="rId70"/>
    <Relationship TargetMode="External" Target="https://www.legis.iowa.gov/docs/iac/chapter/567.2.pdf" Type="http://schemas.openxmlformats.org/officeDocument/2006/relationships/hyperlink" Id="rId71"/>
    <Relationship TargetMode="External" Target="https://www.legis.iowa.gov/docs/iac/rule/567.64.5.pdf" Type="http://schemas.openxmlformats.org/officeDocument/2006/relationships/hyperlink" Id="rId72"/>
    <Relationship TargetMode="External" Target="https://www.legis.iowa.gov/docs/ico/chapter/455B.pdf" Type="http://schemas.openxmlformats.org/officeDocument/2006/relationships/hyperlink" Id="rId73"/>
    <Relationship TargetMode="External" Target="https://www.legis.iowa.gov/docs/iac/rule/567.64.5.pdf" Type="http://schemas.openxmlformats.org/officeDocument/2006/relationships/hyperlink" Id="rId74"/>
    <Relationship TargetMode="External" Target="https://www.legis.iowa.gov/docs/iac/rule/567.64.5.pdf" Type="http://schemas.openxmlformats.org/officeDocument/2006/relationships/hyperlink" Id="rId75"/>
    <Relationship TargetMode="External" Target="https://www.legis.iowa.gov/docs/iac/chapter/567.2.pdf" Type="http://schemas.openxmlformats.org/officeDocument/2006/relationships/hyperlink" Id="rId76"/>
    <Relationship TargetMode="External" Target="https://www.legis.iowa.gov/docs/iac/rule/567.64.5.pdf" Type="http://schemas.openxmlformats.org/officeDocument/2006/relationships/hyperlink" Id="rId77"/>
    <Relationship TargetMode="External" Target="https://www.legis.iowa.gov/docs/iac/rule/567.64.5.pdf" Type="http://schemas.openxmlformats.org/officeDocument/2006/relationships/hyperlink" Id="rId78"/>
    <Relationship TargetMode="External" Target="https://www.legis.iowa.gov/docs/iac/rule/567.64.5.pdf" Type="http://schemas.openxmlformats.org/officeDocument/2006/relationships/hyperlink" Id="rId79"/>
    <Relationship TargetMode="External" Target="https://www.legis.iowa.gov/docs/iac/rule/567.64.5.pdf" Type="http://schemas.openxmlformats.org/officeDocument/2006/relationships/hyperlink" Id="rId80"/>
    <Relationship TargetMode="External" Target="https://www.legis.iowa.gov/docs/iac/rule/567.64.5.pdf" Type="http://schemas.openxmlformats.org/officeDocument/2006/relationships/hyperlink" Id="rId81"/>
    <Relationship TargetMode="External" Target="https://www.legis.iowa.gov/docs/iac/rule/567.64.16.pdf" Type="http://schemas.openxmlformats.org/officeDocument/2006/relationships/hyperlink" Id="rId82"/>
    <Relationship TargetMode="External" Target="https://www.legis.iowa.gov/docs/iac/rule/567.64.6.pdf" Type="http://schemas.openxmlformats.org/officeDocument/2006/relationships/hyperlink" Id="rId83"/>
    <Relationship TargetMode="External" Target="https://www.legis.iowa.gov/docs/iac/rule/567.64.3.pdf" Type="http://schemas.openxmlformats.org/officeDocument/2006/relationships/hyperlink" Id="rId84"/>
    <Relationship TargetMode="External" Target="https://www.legis.iowa.gov/docs/iac/chapter/567.64.pdf" Type="http://schemas.openxmlformats.org/officeDocument/2006/relationships/hyperlink" Id="rId85"/>
    <Relationship TargetMode="External" Target="https://www.legis.iowa.gov/docs/iac/rule/567.64.6.pdf" Type="http://schemas.openxmlformats.org/officeDocument/2006/relationships/hyperlink" Id="rId86"/>
    <Relationship TargetMode="External" Target="https://www.legis.iowa.gov/docs/iac/rule/567.64.3.pdf" Type="http://schemas.openxmlformats.org/officeDocument/2006/relationships/hyperlink" Id="rId87"/>
    <Relationship TargetMode="External" Target="https://www.legis.iowa.gov/docs/iac/rule/567.64.3.pdf" Type="http://schemas.openxmlformats.org/officeDocument/2006/relationships/hyperlink" Id="rId88"/>
    <Relationship TargetMode="External" Target="https://www.legis.iowa.gov/docs/iac/rule/567.64.5.pdf" Type="http://schemas.openxmlformats.org/officeDocument/2006/relationships/hyperlink" Id="rId89"/>
    <Relationship TargetMode="External" Target="https://www.legis.iowa.gov/docs/iac/chapter/567.61.pdf" Type="http://schemas.openxmlformats.org/officeDocument/2006/relationships/hyperlink" Id="rId90"/>
    <Relationship TargetMode="External" Target="https://www.legis.iowa.gov/docs/iac/rule/567.64.3.pdf" Type="http://schemas.openxmlformats.org/officeDocument/2006/relationships/hyperlink" Id="rId91"/>
    <Relationship TargetMode="External" Target="https://www.legis.iowa.gov/docs/iac/rule/567.64.6.pdf" Type="http://schemas.openxmlformats.org/officeDocument/2006/relationships/hyperlink" Id="rId92"/>
    <Relationship TargetMode="External" Target="https://www.legis.iowa.gov/docs/iac/rule/567.64.6.pdf" Type="http://schemas.openxmlformats.org/officeDocument/2006/relationships/hyperlink" Id="rId93"/>
    <Relationship TargetMode="External" Target="https://www.legis.iowa.gov/docs/iac/rule/567.64.6.pdf" Type="http://schemas.openxmlformats.org/officeDocument/2006/relationships/hyperlink" Id="rId94"/>
    <Relationship TargetMode="External" Target="https://www.legis.iowa.gov/docs/iac/rule/567.64.5.pdf" Type="http://schemas.openxmlformats.org/officeDocument/2006/relationships/hyperlink" Id="rId95"/>
    <Relationship TargetMode="External" Target="https://www.legis.iowa.gov/docs/iac/rule/567.62.1.pdf" Type="http://schemas.openxmlformats.org/officeDocument/2006/relationships/hyperlink" Id="rId96"/>
    <Relationship TargetMode="External" Target="https://www.legis.iowa.gov/docs/iac/rule/567.62.4.pdf" Type="http://schemas.openxmlformats.org/officeDocument/2006/relationships/hyperlink" Id="rId97"/>
    <Relationship TargetMode="External" Target="https://www.legis.iowa.gov/docs/iac/rule/567.62.4.pdf" Type="http://schemas.openxmlformats.org/officeDocument/2006/relationships/hyperlink" Id="rId98"/>
    <Relationship TargetMode="External" Target="https://www.legis.iowa.gov/docs/iac/rule/567.62.4.pdf" Type="http://schemas.openxmlformats.org/officeDocument/2006/relationships/hyperlink" Id="rId99"/>
    <Relationship TargetMode="External" Target="https://www.legis.iowa.gov/docs/iac/rule/567.62.5.pdf" Type="http://schemas.openxmlformats.org/officeDocument/2006/relationships/hyperlink" Id="rId100"/>
    <Relationship TargetMode="External" Target="https://www.legis.iowa.gov/docs/iac/rule/567.61.2.pdf" Type="http://schemas.openxmlformats.org/officeDocument/2006/relationships/hyperlink" Id="rId101"/>
    <Relationship TargetMode="External" Target="https://www.legis.iowa.gov/docs/iac/rule/567.61.2.pdf" Type="http://schemas.openxmlformats.org/officeDocument/2006/relationships/hyperlink" Id="rId102"/>
    <Relationship TargetMode="External" Target="http://www.iowadnr.gov/Environmental-Protection/Water-Quality/Water-Quality-Standards" Type="http://schemas.openxmlformats.org/officeDocument/2006/relationships/hyperlink" Id="rId103"/>
    <Relationship TargetMode="External" Target="https://www.legis.iowa.gov/docs/iac/chapter/567.61.pdf" Type="http://schemas.openxmlformats.org/officeDocument/2006/relationships/hyperlink" Id="rId104"/>
    <Relationship TargetMode="External" Target="https://www.legis.iowa.gov/docs/iac/rule/567.64.7.pdf" Type="http://schemas.openxmlformats.org/officeDocument/2006/relationships/hyperlink" Id="rId105"/>
    <Relationship TargetMode="External" Target="https://www.legis.iowa.gov/docs/iac/rule/567.64.7.pdf" Type="http://schemas.openxmlformats.org/officeDocument/2006/relationships/hyperlink" Id="rId106"/>
    <Relationship TargetMode="External" Target="https://www.legis.iowa.gov/docs/iac/rule/567.64.7.pdf" Type="http://schemas.openxmlformats.org/officeDocument/2006/relationships/hyperlink" Id="rId107"/>
    <Relationship TargetMode="External" Target="https://www.legis.iowa.gov/docs/iac/rule/567.64.7.pdf" Type="http://schemas.openxmlformats.org/officeDocument/2006/relationships/hyperlink" Id="rId108"/>
    <Relationship TargetMode="External" Target="https://www.legis.iowa.gov/docs/iac/rule/567.64.7.pdf" Type="http://schemas.openxmlformats.org/officeDocument/2006/relationships/hyperlink" Id="rId109"/>
    <Relationship TargetMode="External" Target="https://www.legis.iowa.gov/docs/iac/rule/567.64.7.pdf" Type="http://schemas.openxmlformats.org/officeDocument/2006/relationships/hyperlink" Id="rId110"/>
    <Relationship TargetMode="External" Target="https://www.legis.iowa.gov/docs/iac/rule/567.64.7.pdf" Type="http://schemas.openxmlformats.org/officeDocument/2006/relationships/hyperlink" Id="rId111"/>
    <Relationship TargetMode="External" Target="https://www.legis.iowa.gov/docs/iac/rule/567.64.7.pdf" Type="http://schemas.openxmlformats.org/officeDocument/2006/relationships/hyperlink" Id="rId112"/>
    <Relationship TargetMode="External" Target="https://www.legis.iowa.gov/docs/iac/chapter/567.7.pdf" Type="http://schemas.openxmlformats.org/officeDocument/2006/relationships/hyperlink" Id="rId113"/>
    <Relationship TargetMode="External" Target="https://www.legis.iowa.gov/docs/iac/chapter/567.60.pdf" Type="http://schemas.openxmlformats.org/officeDocument/2006/relationships/hyperlink" Id="rId114"/>
    <Relationship TargetMode="External" Target="https://www.legis.iowa.gov/docs/iac/chapter/567.60.pdf" Type="http://schemas.openxmlformats.org/officeDocument/2006/relationships/hyperlink" Id="rId115"/>
    <Relationship TargetMode="External" Target="https://www.legis.iowa.gov/docs/iac/chapter/567.61.pdf" Type="http://schemas.openxmlformats.org/officeDocument/2006/relationships/hyperlink" Id="rId116"/>
    <Relationship TargetMode="External" Target="https://www.legis.iowa.gov/docs/iac/chapter/567.62.pdf" Type="http://schemas.openxmlformats.org/officeDocument/2006/relationships/hyperlink" Id="rId117"/>
    <Relationship TargetMode="External" Target="https://www.legis.iowa.gov/docs/iac/chapter/567.63.pdf" Type="http://schemas.openxmlformats.org/officeDocument/2006/relationships/hyperlink" Id="rId118"/>
    <Relationship TargetMode="External" Target="https://www.legis.iowa.gov/docs/iac/chapter/567.64.pdf" Type="http://schemas.openxmlformats.org/officeDocument/2006/relationships/hyperlink" Id="rId119"/>
    <Relationship TargetMode="External" Target="https://www.legis.iowa.gov/docs/iac/rule/567.60.2.pdf" Type="http://schemas.openxmlformats.org/officeDocument/2006/relationships/hyperlink" Id="rId120"/>
    <Relationship TargetMode="External" Target="https://www.legis.iowa.gov/docs/iac/rule/567.60.2.pdf" Type="http://schemas.openxmlformats.org/officeDocument/2006/relationships/hyperlink" Id="rId121"/>
    <Relationship TargetMode="External" Target="https://www.legis.iowa.gov/docs/iac/rule/567.64.7.pdf" Type="http://schemas.openxmlformats.org/officeDocument/2006/relationships/hyperlink" Id="rId122"/>
    <Relationship TargetMode="External" Target="https://www.legis.iowa.gov/docs/iac/rule/567.64.7.pdf" Type="http://schemas.openxmlformats.org/officeDocument/2006/relationships/hyperlink" Id="rId123"/>
    <Relationship TargetMode="External" Target="https://www.legis.iowa.gov/docs/iac/chapter/567.60.pdf" Type="http://schemas.openxmlformats.org/officeDocument/2006/relationships/hyperlink" Id="rId124"/>
    <Relationship TargetMode="External" Target="https://www.legis.iowa.gov/docs/iac/chapter/567.61.pdf" Type="http://schemas.openxmlformats.org/officeDocument/2006/relationships/hyperlink" Id="rId125"/>
    <Relationship TargetMode="External" Target="https://www.legis.iowa.gov/docs/iac/chapter/567.62.pdf" Type="http://schemas.openxmlformats.org/officeDocument/2006/relationships/hyperlink" Id="rId126"/>
    <Relationship TargetMode="External" Target="https://www.legis.iowa.gov/docs/iac/chapter/567.63.pdf" Type="http://schemas.openxmlformats.org/officeDocument/2006/relationships/hyperlink" Id="rId127"/>
    <Relationship TargetMode="External" Target="https://www.legis.iowa.gov/docs/iac/chapter/567.64.pdf" Type="http://schemas.openxmlformats.org/officeDocument/2006/relationships/hyperlink" Id="rId128"/>
    <Relationship TargetMode="External" Target="https://www.legis.iowa.gov/docs/iac/rule/567.64.7.pdf" Type="http://schemas.openxmlformats.org/officeDocument/2006/relationships/hyperlink" Id="rId129"/>
    <Relationship TargetMode="External" Target="https://www.legis.iowa.gov/docs/iac/chapter/567.60.pdf" Type="http://schemas.openxmlformats.org/officeDocument/2006/relationships/hyperlink" Id="rId130"/>
    <Relationship TargetMode="External" Target="https://www.legis.iowa.gov/docs/iac/chapter/567.61.pdf" Type="http://schemas.openxmlformats.org/officeDocument/2006/relationships/hyperlink" Id="rId131"/>
    <Relationship TargetMode="External" Target="https://www.legis.iowa.gov/docs/iac/chapter/567.62.pdf" Type="http://schemas.openxmlformats.org/officeDocument/2006/relationships/hyperlink" Id="rId132"/>
    <Relationship TargetMode="External" Target="https://www.legis.iowa.gov/docs/iac/chapter/567.63.pdf" Type="http://schemas.openxmlformats.org/officeDocument/2006/relationships/hyperlink" Id="rId133"/>
    <Relationship TargetMode="External" Target="https://www.legis.iowa.gov/docs/iac/chapter/567.64.pdf" Type="http://schemas.openxmlformats.org/officeDocument/2006/relationships/hyperlink" Id="rId134"/>
    <Relationship TargetMode="External" Target="https://www.legis.iowa.gov/docs/iac/chapter/567.60.pdf" Type="http://schemas.openxmlformats.org/officeDocument/2006/relationships/hyperlink" Id="rId135"/>
    <Relationship TargetMode="External" Target="https://www.legis.iowa.gov/docs/iac/chapter/567.61.pdf" Type="http://schemas.openxmlformats.org/officeDocument/2006/relationships/hyperlink" Id="rId136"/>
    <Relationship TargetMode="External" Target="https://www.legis.iowa.gov/docs/iac/chapter/567.62.pdf" Type="http://schemas.openxmlformats.org/officeDocument/2006/relationships/hyperlink" Id="rId137"/>
    <Relationship TargetMode="External" Target="https://www.legis.iowa.gov/docs/iac/chapter/567.63.pdf" Type="http://schemas.openxmlformats.org/officeDocument/2006/relationships/hyperlink" Id="rId138"/>
    <Relationship TargetMode="External" Target="https://www.legis.iowa.gov/docs/iac/chapter/567.64.pdf" Type="http://schemas.openxmlformats.org/officeDocument/2006/relationships/hyperlink" Id="rId139"/>
    <Relationship TargetMode="External" Target="https://www.legis.iowa.gov/docs/iac/chapter/567.60.pdf" Type="http://schemas.openxmlformats.org/officeDocument/2006/relationships/hyperlink" Id="rId140"/>
    <Relationship TargetMode="External" Target="https://www.legis.iowa.gov/docs/iac/chapter/567.61.pdf" Type="http://schemas.openxmlformats.org/officeDocument/2006/relationships/hyperlink" Id="rId141"/>
    <Relationship TargetMode="External" Target="https://www.legis.iowa.gov/docs/iac/chapter/567.62.pdf" Type="http://schemas.openxmlformats.org/officeDocument/2006/relationships/hyperlink" Id="rId142"/>
    <Relationship TargetMode="External" Target="https://www.legis.iowa.gov/docs/iac/chapter/567.63.pdf" Type="http://schemas.openxmlformats.org/officeDocument/2006/relationships/hyperlink" Id="rId143"/>
    <Relationship TargetMode="External" Target="https://www.legis.iowa.gov/docs/iac/chapter/567.64.pdf" Type="http://schemas.openxmlformats.org/officeDocument/2006/relationships/hyperlink" Id="rId144"/>
    <Relationship TargetMode="External" Target="https://www.legis.iowa.gov/docs/iac/chapter/567.61.pdf" Type="http://schemas.openxmlformats.org/officeDocument/2006/relationships/hyperlink" Id="rId145"/>
    <Relationship TargetMode="External" Target="https://www.legis.iowa.gov/docs/iac/chapter/567.62.pdf" Type="http://schemas.openxmlformats.org/officeDocument/2006/relationships/hyperlink" Id="rId146"/>
    <Relationship TargetMode="External" Target="https://www.legis.iowa.gov/docs/iac/chapter/567.63.pdf" Type="http://schemas.openxmlformats.org/officeDocument/2006/relationships/hyperlink" Id="rId147"/>
    <Relationship TargetMode="External" Target="https://www.legis.iowa.gov/docs/iac/chapter/567.64.pdf" Type="http://schemas.openxmlformats.org/officeDocument/2006/relationships/hyperlink" Id="rId148"/>
    <Relationship TargetMode="External" Target="https://www.legis.iowa.gov/docs/iac/rule/567.64.7.pdf" Type="http://schemas.openxmlformats.org/officeDocument/2006/relationships/hyperlink" Id="rId149"/>
    <Relationship TargetMode="External" Target="https://www.legis.iowa.gov/docs/iac/chapter/567.60.pdf" Type="http://schemas.openxmlformats.org/officeDocument/2006/relationships/hyperlink" Id="rId150"/>
    <Relationship TargetMode="External" Target="https://www.legis.iowa.gov/docs/iac/chapter/567.61.pdf" Type="http://schemas.openxmlformats.org/officeDocument/2006/relationships/hyperlink" Id="rId151"/>
    <Relationship TargetMode="External" Target="https://www.legis.iowa.gov/docs/iac/chapter/567.62.pdf" Type="http://schemas.openxmlformats.org/officeDocument/2006/relationships/hyperlink" Id="rId152"/>
    <Relationship TargetMode="External" Target="https://www.legis.iowa.gov/docs/iac/chapter/567.63.pdf" Type="http://schemas.openxmlformats.org/officeDocument/2006/relationships/hyperlink" Id="rId153"/>
    <Relationship TargetMode="External" Target="https://www.legis.iowa.gov/docs/iac/chapter/567.64.pdf" Type="http://schemas.openxmlformats.org/officeDocument/2006/relationships/hyperlink" Id="rId154"/>
    <Relationship TargetMode="External" Target="https://www.legis.iowa.gov/docs/iac/rule/567.60.2.pdf" Type="http://schemas.openxmlformats.org/officeDocument/2006/relationships/hyperlink" Id="rId155"/>
    <Relationship TargetMode="External" Target="https://www.legis.iowa.gov/docs/iac/rule/567.64.7.pdf" Type="http://schemas.openxmlformats.org/officeDocument/2006/relationships/hyperlink" Id="rId156"/>
    <Relationship TargetMode="External" Target="https://www.legis.iowa.gov/docs/iac/chapter/567.60.pdf" Type="http://schemas.openxmlformats.org/officeDocument/2006/relationships/hyperlink" Id="rId157"/>
    <Relationship TargetMode="External" Target="https://www.legis.iowa.gov/docs/iac/chapter/567.61.pdf" Type="http://schemas.openxmlformats.org/officeDocument/2006/relationships/hyperlink" Id="rId158"/>
    <Relationship TargetMode="External" Target="https://www.legis.iowa.gov/docs/iac/chapter/567.62.pdf" Type="http://schemas.openxmlformats.org/officeDocument/2006/relationships/hyperlink" Id="rId159"/>
    <Relationship TargetMode="External" Target="https://www.legis.iowa.gov/docs/iac/chapter/567.63.pdf" Type="http://schemas.openxmlformats.org/officeDocument/2006/relationships/hyperlink" Id="rId160"/>
    <Relationship TargetMode="External" Target="https://www.legis.iowa.gov/docs/iac/chapter/567.64.pdf" Type="http://schemas.openxmlformats.org/officeDocument/2006/relationships/hyperlink" Id="rId161"/>
    <Relationship TargetMode="External" Target="https://www.legis.iowa.gov/docs/iac/rule/567.64.7.pdf" Type="http://schemas.openxmlformats.org/officeDocument/2006/relationships/hyperlink" Id="rId162"/>
    <Relationship TargetMode="External" Target="https://www.legis.iowa.gov/docs/iac/chapter/567.60.pdf" Type="http://schemas.openxmlformats.org/officeDocument/2006/relationships/hyperlink" Id="rId163"/>
    <Relationship TargetMode="External" Target="https://www.legis.iowa.gov/docs/iac/chapter/567.61.pdf" Type="http://schemas.openxmlformats.org/officeDocument/2006/relationships/hyperlink" Id="rId164"/>
    <Relationship TargetMode="External" Target="https://www.legis.iowa.gov/docs/iac/chapter/567.62.pdf" Type="http://schemas.openxmlformats.org/officeDocument/2006/relationships/hyperlink" Id="rId165"/>
    <Relationship TargetMode="External" Target="https://www.legis.iowa.gov/docs/iac/chapter/567.63.pdf" Type="http://schemas.openxmlformats.org/officeDocument/2006/relationships/hyperlink" Id="rId166"/>
    <Relationship TargetMode="External" Target="https://www.legis.iowa.gov/docs/iac/chapter/567.64.pdf" Type="http://schemas.openxmlformats.org/officeDocument/2006/relationships/hyperlink" Id="rId167"/>
    <Relationship TargetMode="External" Target="https://www.legis.iowa.gov/docs/iac/rule/567.64.7.pdf" Type="http://schemas.openxmlformats.org/officeDocument/2006/relationships/hyperlink" Id="rId168"/>
    <Relationship TargetMode="External" Target="https://www.legis.iowa.gov/docs/iac/chapter/567.60.pdf" Type="http://schemas.openxmlformats.org/officeDocument/2006/relationships/hyperlink" Id="rId169"/>
    <Relationship TargetMode="External" Target="https://www.legis.iowa.gov/docs/iac/chapter/567.61.pdf" Type="http://schemas.openxmlformats.org/officeDocument/2006/relationships/hyperlink" Id="rId170"/>
    <Relationship TargetMode="External" Target="https://www.legis.iowa.gov/docs/iac/chapter/567.62.pdf" Type="http://schemas.openxmlformats.org/officeDocument/2006/relationships/hyperlink" Id="rId171"/>
    <Relationship TargetMode="External" Target="https://www.legis.iowa.gov/docs/iac/chapter/567.63.pdf" Type="http://schemas.openxmlformats.org/officeDocument/2006/relationships/hyperlink" Id="rId172"/>
    <Relationship TargetMode="External" Target="https://www.legis.iowa.gov/docs/iac/chapter/567.64.pdf" Type="http://schemas.openxmlformats.org/officeDocument/2006/relationships/hyperlink" Id="rId173"/>
    <Relationship TargetMode="External" Target="https://www.legis.iowa.gov/docs/iac/rule/567.64.3.pdf" Type="http://schemas.openxmlformats.org/officeDocument/2006/relationships/hyperlink" Id="rId174"/>
    <Relationship TargetMode="External" Target="https://www.legis.iowa.gov/docs/iac/chapter/567.60.pdf" Type="http://schemas.openxmlformats.org/officeDocument/2006/relationships/hyperlink" Id="rId175"/>
    <Relationship TargetMode="External" Target="https://www.legis.iowa.gov/docs/iac/chapter/567.62.pdf" Type="http://schemas.openxmlformats.org/officeDocument/2006/relationships/hyperlink" Id="rId176"/>
    <Relationship TargetMode="External" Target="https://www.legis.iowa.gov/docs/iac/rule/567.62.9.pdf" Type="http://schemas.openxmlformats.org/officeDocument/2006/relationships/hyperlink" Id="rId177"/>
    <Relationship TargetMode="External" Target="https://www.legis.iowa.gov/docs/iac/rule/567.64.7.pdf" Type="http://schemas.openxmlformats.org/officeDocument/2006/relationships/hyperlink" Id="rId178"/>
    <Relationship TargetMode="External" Target="https://www.legis.iowa.gov/docs/ico/chapter/455B.pdf" Type="http://schemas.openxmlformats.org/officeDocument/2006/relationships/hyperlink" Id="rId179"/>
    <Relationship TargetMode="External" Target="https://www.legis.iowa.gov/docs/ico/chapter/455B.171-187.pdf" Type="http://schemas.openxmlformats.org/officeDocument/2006/relationships/hyperlink" Id="rId180"/>
    <Relationship TargetMode="External" Target="https://www.legis.iowa.gov/docs/iac/rule/567.64.8.pdf" Type="http://schemas.openxmlformats.org/officeDocument/2006/relationships/hyperlink" Id="rId181"/>
    <Relationship TargetMode="External" Target="https://www.legis.iowa.gov/docs/iac/rule/567.60.4.pdf" Type="http://schemas.openxmlformats.org/officeDocument/2006/relationships/hyperlink" Id="rId182"/>
    <Relationship TargetMode="External" Target="https://www.legis.iowa.gov/docs/iac/rule/567.64.5.pdf" Type="http://schemas.openxmlformats.org/officeDocument/2006/relationships/hyperlink" Id="rId183"/>
    <Relationship TargetMode="External" Target="https://www.legis.iowa.gov/docs/iac/rule/567.64.6.pdf" Type="http://schemas.openxmlformats.org/officeDocument/2006/relationships/hyperlink" Id="rId184"/>
    <Relationship TargetMode="External" Target="https://www.legis.iowa.gov/docs/iac/rule/567.64.3.pdf" Type="http://schemas.openxmlformats.org/officeDocument/2006/relationships/hyperlink" Id="rId185"/>
    <Relationship TargetMode="External" Target="https://www.legis.iowa.gov/docs/iac/rule/567.60.4.pdf" Type="http://schemas.openxmlformats.org/officeDocument/2006/relationships/hyperlink" Id="rId186"/>
    <Relationship TargetMode="External" Target="https://www.legis.iowa.gov/docs/iac/rule/567.64.5.pdf" Type="http://schemas.openxmlformats.org/officeDocument/2006/relationships/hyperlink" Id="rId187"/>
    <Relationship TargetMode="External" Target="https://www.legis.iowa.gov/docs/iac/chapter/567.63.pdf" Type="http://schemas.openxmlformats.org/officeDocument/2006/relationships/hyperlink" Id="rId188"/>
    <Relationship TargetMode="External" Target="https://www.legis.iowa.gov/docs/iac/chapter/567.60.pdf" Type="http://schemas.openxmlformats.org/officeDocument/2006/relationships/hyperlink" Id="rId189"/>
    <Relationship TargetMode="External" Target="https://www.legis.iowa.gov/docs/iac/rule/567.64.2.pdf" Type="http://schemas.openxmlformats.org/officeDocument/2006/relationships/hyperlink" Id="rId190"/>
    <Relationship TargetMode="External" Target="https://www.legis.iowa.gov/docs/iac/rule/667.64.3.pdf" Type="http://schemas.openxmlformats.org/officeDocument/2006/relationships/hyperlink" Id="rId191"/>
    <Relationship TargetMode="External" Target="https://www.legis.iowa.gov/docs/iac/rule/567.64.6.pdf" Type="http://schemas.openxmlformats.org/officeDocument/2006/relationships/hyperlink" Id="rId192"/>
    <Relationship TargetMode="External" Target="https://www.legis.iowa.gov/docs/iac/rule/567.64.3.pdf" Type="http://schemas.openxmlformats.org/officeDocument/2006/relationships/hyperlink" Id="rId193"/>
    <Relationship TargetMode="External" Target="https://www.legis.iowa.gov/docs/iac/rule/567.64.14.pdf" Type="http://schemas.openxmlformats.org/officeDocument/2006/relationships/hyperlink" Id="rId194"/>
    <Relationship TargetMode="External" Target="https://www.legis.iowa.gov/docs/ico/chapter/455B.173.pdf" Type="http://schemas.openxmlformats.org/officeDocument/2006/relationships/hyperlink" Id="rId195"/>
    <Relationship TargetMode="External" Target="https://www.legis.iowa.gov/docs/ico/chapter/17A.pdf" Type="http://schemas.openxmlformats.org/officeDocument/2006/relationships/hyperlink" Id="rId196"/>
    <Relationship TargetMode="External" Target="https://www.legis.iowa.gov/docs/iac/rule/567.64.16.pdf" Type="http://schemas.openxmlformats.org/officeDocument/2006/relationships/hyperlink" Id="rId197"/>
    <Relationship TargetMode="External" Target="https://www.legis.iowa.gov/docs/iac/rule/567.64.16.pdf" Type="http://schemas.openxmlformats.org/officeDocument/2006/relationships/hyperlink" Id="rId198"/>
    <Relationship TargetMode="External" Target="https://www.legis.iowa.gov/docs/iac/rule/567.64.16.pdf" Type="http://schemas.openxmlformats.org/officeDocument/2006/relationships/hyperlink" Id="rId199"/>
    <Relationship TargetMode="External" Target="https://www.legis.iowa.gov/docs/iac/rule/567.64.16.pdf" Type="http://schemas.openxmlformats.org/officeDocument/2006/relationships/hyperlink" Id="rId200"/>
    <Relationship TargetMode="External" Target="https://www.legis.iowa.gov/docs/iac/rule/567.60.2.pdf" Type="http://schemas.openxmlformats.org/officeDocument/2006/relationships/hyperlink" Id="rId201"/>
    <Relationship TargetMode="External" Target="https://www.legis.iowa.gov/docs/iac/rule/567.60.2.pdf" Type="http://schemas.openxmlformats.org/officeDocument/2006/relationships/hyperlink" Id="rId202"/>
    <Relationship TargetMode="External" Target="https://www.legis.iowa.gov/docs/iac/rule/567.64.3.pdf" Type="http://schemas.openxmlformats.org/officeDocument/2006/relationships/hyperlink" Id="rId203"/>
    <Relationship TargetMode="External" Target="https://www.legis.iowa.gov/docs/iac/rule/567.64.16.pdf" Type="http://schemas.openxmlformats.org/officeDocument/2006/relationships/hyperlink" Id="rId204"/>
    <Relationship TargetMode="External" Target="https://www.legis.iowa.gov/docs/ico/chapter/455B.197.pdf" Type="http://schemas.openxmlformats.org/officeDocument/2006/relationships/hyperlink" Id="rId205"/>
    <Relationship TargetMode="External" Target="https://www.legis.iowa.gov/docs/iac/chapter/567.60.pdf" Type="http://schemas.openxmlformats.org/officeDocument/2006/relationships/hyperlink" Id="rId206"/>
    <Relationship TargetMode="External" Target="https://www.legis.iowa.gov/docs/iac/rule/567.64.14.pdf" Type="http://schemas.openxmlformats.org/officeDocument/2006/relationships/hyperlink" Id="rId207"/>
    <Relationship TargetMode="External" Target="https://www.legis.iowa.gov/docs/ico/chapter/455B.197.pdf" Type="http://schemas.openxmlformats.org/officeDocument/2006/relationships/hyperlink" Id="rId208"/>
    <Relationship TargetMode="External" Target="https://www.legis.iowa.gov/docs/ico/chapter/455B.197.pdf" Type="http://schemas.openxmlformats.org/officeDocument/2006/relationships/hyperlink" Id="rId209"/>
    <Relationship TargetMode="External" Target="https://www.legis.iowa.gov/docs/iac/rule/567.64.5.pdf" Type="http://schemas.openxmlformats.org/officeDocument/2006/relationships/hyperlink" Id="rId210"/>
    <Relationship TargetMode="External" Target="https://www.legis.iowa.gov/docs/iac/chapter/567.65.pdf" Type="http://schemas.openxmlformats.org/officeDocument/2006/relationships/hyperlink" Id="rId211"/>
    <Relationship TargetMode="External" Target="https://www.legis.iowa.gov/docs/iac/chapter/567.65.pdf" Type="http://schemas.openxmlformats.org/officeDocument/2006/relationships/hyperlink" Id="rId212"/>
    <Relationship TargetMode="External" Target="https://www.legis.iowa.gov/docs/iac/chapter/567.65.pdf" Type="http://schemas.openxmlformats.org/officeDocument/2006/relationships/hyperlink" Id="rId213"/>
    <Relationship TargetMode="External" Target="https://www.legis.iowa.gov/docs/ico/chapter/455B.pdf" Type="http://schemas.openxmlformats.org/officeDocument/2006/relationships/hyperlink" Id="rId214"/>
    <Relationship Target="media/document_image_rId215.tiff" Type="http://schemas.openxmlformats.org/officeDocument/2006/relationships/image" Id="rId2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