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62</w:t>
      </w:r>
    </w:p>
    <w:p>
      <w:pPr>
        <w:spacing w:before="0" w:after="0"/>
        <w:ind w:left="120"/>
        <w:jc w:val="center"/>
      </w:pPr>
      <w:r>
        <w:rPr>
          <w:rFonts w:ascii="Times New Roman" w:hAnsi="Times New Roman"/>
          <w:b w:val="false"/>
          <w:i w:val="false"/>
          <w:color w:val="000000"/>
          <w:sz w:val="21"/>
        </w:rPr>
        <w:t>EFFLUENT AND PRETREATMENT STANDARDS:</w:t>
      </w:r>
      <w:r>
        <w:br/>
      </w:r>
      <w:r>
        <w:rPr>
          <w:rFonts w:ascii="Times New Roman" w:hAnsi="Times New Roman"/>
          <w:b w:val="false"/>
          <w:i w:val="false"/>
          <w:color w:val="000000"/>
          <w:sz w:val="21"/>
        </w:rPr>
        <w:t>OTHER EFFLUENT LIMITATIONS OR PROHIBITIONS</w:t>
      </w:r>
    </w:p>
    <w:p>
      <w:pPr>
        <w:spacing w:before="0" w:after="0"/>
        <w:ind w:left="120"/>
        <w:jc w:val="center"/>
      </w:pPr>
      <w:r>
        <w:rPr>
          <w:rFonts w:ascii="Times New Roman" w:hAnsi="Times New Roman"/>
          <w:b w:val="false"/>
          <w:i w:val="false"/>
          <w:color w:val="000000"/>
          <w:sz w:val="14"/>
        </w:rPr>
        <w:t>[Prior to 7/1/83, DEQ Ch 17]</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567—62.1</w:t>
      </w:r>
      <w:r>
        <w:rPr>
          <w:rFonts w:ascii="Times New Roman" w:hAnsi="Times New Roman"/>
          <w:b/>
          <w:i w:val="false"/>
          <w:color w:val="000000"/>
          <w:sz w:val="22"/>
        </w:rPr>
        <w:t xml:space="preserve">(455B) </w:t>
      </w:r>
      <w:r>
        <w:rPr>
          <w:rFonts w:ascii="Times New Roman" w:hAnsi="Times New Roman"/>
          <w:b/>
          <w:i w:val="false"/>
          <w:color w:val="000000"/>
          <w:sz w:val="22"/>
        </w:rPr>
        <w:t xml:space="preserve">Prohibited discharges.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62.1(1)</w:t>
      </w:r>
      <w:r>
        <w:rPr>
          <w:rFonts w:ascii="Times New Roman" w:hAnsi="Times New Roman"/>
          <w:b w:val="false"/>
          <w:i w:val="false"/>
          <w:color w:val="000000"/>
          <w:sz w:val="22"/>
        </w:rPr>
        <w:t> </w:t>
      </w:r>
      <w:r>
        <w:rPr>
          <w:rFonts w:ascii="Times New Roman" w:hAnsi="Times New Roman"/>
          <w:b w:val="false"/>
          <w:i w:val="false"/>
          <w:color w:val="000000"/>
          <w:sz w:val="22"/>
        </w:rPr>
        <w:t>The discharge of any pollutant from a point source into a navigable water is prohibited unless authorized by an NPDES permit. For purposes of this subrule, an NPDES permit includes an NPDES permit issued by the administrator prior to approval of the Iowa NPDES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62.1(2)</w:t>
      </w:r>
      <w:r>
        <w:rPr>
          <w:rFonts w:ascii="Times New Roman" w:hAnsi="Times New Roman"/>
          <w:b w:val="false"/>
          <w:i w:val="false"/>
          <w:color w:val="000000"/>
          <w:sz w:val="22"/>
        </w:rPr>
        <w:t> </w:t>
      </w:r>
      <w:r>
        <w:rPr>
          <w:rFonts w:ascii="Times New Roman" w:hAnsi="Times New Roman"/>
          <w:b w:val="false"/>
          <w:i w:val="false"/>
          <w:color w:val="000000"/>
          <w:sz w:val="22"/>
        </w:rPr>
        <w:t>The discharge of any radiological, chemical or biological warfare agent or high-level radioactive waste into navigable waters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62.1(3)</w:t>
      </w:r>
      <w:r>
        <w:rPr>
          <w:rFonts w:ascii="Times New Roman" w:hAnsi="Times New Roman"/>
          <w:b w:val="false"/>
          <w:i w:val="false"/>
          <w:color w:val="000000"/>
          <w:sz w:val="22"/>
        </w:rPr>
        <w:t> </w:t>
      </w:r>
      <w:r>
        <w:rPr>
          <w:rFonts w:ascii="Times New Roman" w:hAnsi="Times New Roman"/>
          <w:b w:val="false"/>
          <w:i w:val="false"/>
          <w:color w:val="000000"/>
          <w:sz w:val="22"/>
        </w:rPr>
        <w:t>Any discharge which the secretary of the army acting through the chief of engineers finds would substantially impair anchorage and navigation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62.1(4)</w:t>
      </w:r>
      <w:r>
        <w:rPr>
          <w:rFonts w:ascii="Times New Roman" w:hAnsi="Times New Roman"/>
          <w:b w:val="false"/>
          <w:i w:val="false"/>
          <w:color w:val="000000"/>
          <w:sz w:val="22"/>
        </w:rPr>
        <w:t> </w:t>
      </w:r>
      <w:r>
        <w:rPr>
          <w:rFonts w:ascii="Times New Roman" w:hAnsi="Times New Roman"/>
          <w:b w:val="false"/>
          <w:i w:val="false"/>
          <w:color w:val="000000"/>
          <w:sz w:val="22"/>
        </w:rPr>
        <w:t>Any discharge to which the regional administrator has objected in writing pursuant to any right to object provided the administrator in Section 402(d) of the Act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62.1(5)</w:t>
      </w:r>
      <w:r>
        <w:rPr>
          <w:rFonts w:ascii="Times New Roman" w:hAnsi="Times New Roman"/>
          <w:b w:val="false"/>
          <w:i w:val="false"/>
          <w:color w:val="000000"/>
          <w:sz w:val="22"/>
        </w:rPr>
        <w:t> </w:t>
      </w:r>
      <w:r>
        <w:rPr>
          <w:rFonts w:ascii="Times New Roman" w:hAnsi="Times New Roman"/>
          <w:b w:val="false"/>
          <w:i w:val="false"/>
          <w:color w:val="000000"/>
          <w:sz w:val="22"/>
        </w:rPr>
        <w:t>Any discharge from a point source which is in conflict with a plan or amendment thereto approved pursuant to Section 208(b) of the Act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62.1(6)</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discharge of wastewater into a publicly owned treatment works or a semipublic sewage disposal system in volumes or quantities in excess of those to which a significant industrial user is committed in the treatment agreement described in </w:t>
      </w:r>
      <w:hyperlink r:id="rId5">
        <w:r>
          <w:rPr>
            <w:rStyle w:val="Hyperlink"/>
            <w:rFonts w:ascii="Times New Roman" w:hAnsi="Times New Roman"/>
            <w:b w:val="false"/>
            <w:i w:val="false"/>
            <w:color w:val="000000"/>
            <w:sz w:val="22"/>
          </w:rPr>
          <w:t>567—subrule 64.3(5)</w:t>
        </w:r>
      </w:hyperlink>
      <w:r>
        <w:rPr>
          <w:rFonts w:ascii="Times New Roman" w:hAnsi="Times New Roman"/>
          <w:b w:val="false"/>
          <w:i w:val="false"/>
          <w:color w:val="000000"/>
          <w:sz w:val="22"/>
        </w:rPr>
        <w:t xml:space="preserve"> or a local control mechanism in the case of a POTW with a pretreatment program approved by the department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62.1(7)</w:t>
      </w:r>
      <w:r>
        <w:rPr>
          <w:rFonts w:ascii="Times New Roman" w:hAnsi="Times New Roman"/>
          <w:b w:val="false"/>
          <w:i w:val="false"/>
          <w:color w:val="000000"/>
          <w:sz w:val="22"/>
        </w:rPr>
        <w:t> </w:t>
      </w:r>
      <w:r>
        <w:rPr>
          <w:rFonts w:ascii="Times New Roman" w:hAnsi="Times New Roman"/>
          <w:b w:val="false"/>
          <w:i w:val="false"/>
          <w:color w:val="000000"/>
          <w:sz w:val="22"/>
        </w:rPr>
        <w:t>Wastes in such volumes or quantities as to exceed the design capacity of the treatment works, cause interference or pass through, or reduce the effluent quality below that specified in the operation permit of the treatment works are considered to be a waste which interferes with the operation or performance of a publicly owned treatment works or a semipublic sewage disposal system and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62.1(8)</w:t>
      </w:r>
      <w:r>
        <w:rPr>
          <w:rFonts w:ascii="Times New Roman" w:hAnsi="Times New Roman"/>
          <w:b w:val="false"/>
          <w:i w:val="false"/>
          <w:color w:val="000000"/>
          <w:sz w:val="22"/>
        </w:rPr>
        <w:t> </w:t>
      </w:r>
      <w:r>
        <w:rPr>
          <w:rFonts w:ascii="Times New Roman" w:hAnsi="Times New Roman"/>
          <w:b w:val="false"/>
          <w:i w:val="false"/>
          <w:color w:val="000000"/>
          <w:sz w:val="22"/>
        </w:rPr>
        <w:t>Discharge of the following pollutants to a publicly owned treatment works, a semipublic sewage disposal system, or a private sewage disposal system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 Pollutants which create a fire or explosion hazard including but not limited to waste streams with a closed cup flashpoint of less than 140 degrees Fahrenheit or 60 degrees Centigrade using the test methods specified in 40 CFR 261.21;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Solid or viscous substances in amounts that will cause obstruction to the flow in the treatment works resulting in interference;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Heat in amounts which will inhibit biological activity in the treatment works resulting in interference but, in no case, heat in such quantities that the temperature of the waste stream at the treatment plant exceeds 40 degrees Celsius (104 degrees Fahrenheit) unless specifically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 Petroleum oil, nonbiodegradable cutting oil, or products of mineral oil origin in amounts that will cause interference or pass through;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Pollutants which result in the presence of toxic gases, vapors, or fumes within the treatment works in a quantity that could cause acute worker health and safety problems;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Pollutants which will cause corrosive structural damage to the treatment works but, in no case, discharges with a pH lower than 5.0 standard units, unless the treatment works is specifically designed to accommodate such discharges, or wastes which would intermittently change the pH of the raw waste entering the treatment plant by more than 0.5 standard pH units or which would cause the pH of the raw waste entering the treatment plant to be less than 6.0 or greater than 9.0 standard units.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7625B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567—62.2</w:t>
      </w:r>
      <w:r>
        <w:rPr>
          <w:rFonts w:ascii="Times New Roman" w:hAnsi="Times New Roman"/>
          <w:b/>
          <w:i w:val="false"/>
          <w:color w:val="000000"/>
          <w:sz w:val="22"/>
        </w:rPr>
        <w:t xml:space="preserve">(455B) </w:t>
      </w:r>
      <w:r>
        <w:rPr>
          <w:rFonts w:ascii="Times New Roman" w:hAnsi="Times New Roman"/>
          <w:b/>
          <w:i w:val="false"/>
          <w:color w:val="000000"/>
          <w:sz w:val="22"/>
        </w:rPr>
        <w:t xml:space="preserve">Exemption of adoption of certain federal rules from public participation. </w:t>
      </w:r>
      <w:r>
        <w:rPr>
          <w:rFonts w:ascii="Times New Roman" w:hAnsi="Times New Roman"/>
          <w:b w:val="false"/>
          <w:i w:val="false"/>
          <w:color w:val="000000"/>
          <w:sz w:val="22"/>
        </w:rPr>
        <w:t xml:space="preserve">Iowa Code section </w:t>
      </w:r>
      <w:hyperlink r:id="rId6">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xml:space="preserve"> allows an agency to exempt a “very narrowly tailored category of rules” from the notice and public participation requirements of Iowa Code section </w:t>
      </w:r>
      <w:hyperlink r:id="rId7">
        <w:r>
          <w:rPr>
            <w:rStyle w:val="Hyperlink"/>
            <w:rFonts w:ascii="Times New Roman" w:hAnsi="Times New Roman"/>
            <w:b w:val="false"/>
            <w:i w:val="false"/>
            <w:color w:val="000000"/>
            <w:sz w:val="22"/>
          </w:rPr>
          <w:t>17A.4(1)</w:t>
        </w:r>
      </w:hyperlink>
      <w:r>
        <w:rPr>
          <w:rFonts w:ascii="Times New Roman" w:hAnsi="Times New Roman"/>
          <w:b w:val="false"/>
          <w:i w:val="false"/>
          <w:color w:val="000000"/>
          <w:sz w:val="22"/>
        </w:rPr>
        <w:t xml:space="preserve"> if the agency for good cause finds that notice and public participation is “unnecessary.” The commission finds good cause for exempting from the notice and public participation requirements of Iowa Code section </w:t>
      </w:r>
      <w:hyperlink r:id="rId8">
        <w:r>
          <w:rPr>
            <w:rStyle w:val="Hyperlink"/>
            <w:rFonts w:ascii="Times New Roman" w:hAnsi="Times New Roman"/>
            <w:b w:val="false"/>
            <w:i w:val="false"/>
            <w:color w:val="000000"/>
            <w:sz w:val="22"/>
          </w:rPr>
          <w:t>17A.4(1)</w:t>
        </w:r>
      </w:hyperlink>
      <w:r>
        <w:rPr>
          <w:rFonts w:ascii="Times New Roman" w:hAnsi="Times New Roman"/>
          <w:b w:val="false"/>
          <w:i w:val="false"/>
          <w:color w:val="000000"/>
          <w:sz w:val="22"/>
        </w:rPr>
        <w:t xml:space="preserve"> the adoption by reference of the following federal standards and guidelines and amendments thereto: An effluent limitation guideline promulgated pursuant to Sections 301 and 304 of the Act; a standard of performance for a new source promulgated pursuant to Section 306 of the Act; a toxic effluent standard promulgated pursuant to Section 307(a) of the Act; a pretreatment standard for an existing source promulgated pursuant to Section 307(b) of the Act; a pretreatment standard for a new source promulgated pursuant to Section 307(c) of the Act; and information on the level of effluent quality attainable through the application of secondary treatment promulgated pursuant to Section 304(d) of the Act.</w:t>
      </w:r>
    </w:p>
    <w:p>
      <w:pPr>
        <w:spacing w:before="0" w:after="0"/>
        <w:ind w:left="120"/>
        <w:jc w:val="both"/>
      </w:pPr>
      <w:r>
        <w:rPr>
          <w:rFonts w:ascii="Times New Roman" w:hAnsi="Times New Roman"/>
          <w:b w:val="false"/>
          <w:i w:val="false"/>
          <w:color w:val="000000"/>
          <w:sz w:val="22"/>
        </w:rPr>
        <w:t xml:space="preserve">Public participation would be unnecessary since the commission must adopt effluent and pretreatment standards at least as stringent as the enumerated promulgated federal standards in order to have the department’s NPDES program approved by the administrator (Section 402(c) of the Act), and yet must not adopt an effluent or pretreatment standard that is more stringent than the enumerated promulgated federal standards (Iowa Code section </w:t>
      </w:r>
      <w:hyperlink r:id="rId9">
        <w:r>
          <w:rPr>
            <w:rStyle w:val="Hyperlink"/>
            <w:rFonts w:ascii="Times New Roman" w:hAnsi="Times New Roman"/>
            <w:b w:val="false"/>
            <w:i w:val="false"/>
            <w:color w:val="000000"/>
            <w:sz w:val="22"/>
          </w:rPr>
          <w:t>455B.173(3)</w:t>
        </w:r>
      </w:hyperlink>
      <w:r>
        <w:rPr>
          <w:rFonts w:ascii="Times New Roman" w:hAnsi="Times New Roman"/>
          <w:b w:val="false"/>
          <w:i w:val="false"/>
          <w:color w:val="000000"/>
          <w:sz w:val="22"/>
        </w:rPr>
        <w:t>). Any such rule adopted by reference would be effective 35 days after filing, indexing, and publication in the Iowa Administrative Code.</w:t>
      </w:r>
    </w:p>
    <w:p>
      <w:pPr>
        <w:spacing w:before="0" w:after="0"/>
        <w:ind w:left="120"/>
        <w:jc w:val="both"/>
      </w:pPr>
      <w:r>
        <w:rPr>
          <w:rFonts w:ascii="Times New Roman" w:hAnsi="Times New Roman"/>
          <w:b/>
          <w:i w:val="false"/>
          <w:color w:val="000000"/>
          <w:sz w:val="22"/>
        </w:rPr>
        <w:t>567—62.3</w:t>
      </w:r>
      <w:r>
        <w:rPr>
          <w:rFonts w:ascii="Times New Roman" w:hAnsi="Times New Roman"/>
          <w:b/>
          <w:i w:val="false"/>
          <w:color w:val="000000"/>
          <w:sz w:val="22"/>
        </w:rPr>
        <w:t xml:space="preserve">(455B) </w:t>
      </w:r>
      <w:r>
        <w:rPr>
          <w:rFonts w:ascii="Times New Roman" w:hAnsi="Times New Roman"/>
          <w:b/>
          <w:i w:val="false"/>
          <w:color w:val="000000"/>
          <w:sz w:val="22"/>
        </w:rPr>
        <w:t xml:space="preserve">Secondary treatment information: effluent standards for publicly owned treatment works and semipublic sewage disposal systems.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following paragraphs describe the minimum level of effluent quality attainable by secondary treatment in terms of the pollutant measurements carbonaceous biochemical oxygen demand (CBOD</w:t>
      </w:r>
      <w:r>
        <w:rPr>
          <w:rFonts w:ascii="Times New Roman" w:hAnsi="Times New Roman"/>
          <w:b w:val="false"/>
          <w:i w:val="false"/>
          <w:color w:val="000000"/>
          <w:sz w:val="18"/>
          <w:vertAlign w:val="subscript"/>
        </w:rPr>
        <w:t>5</w:t>
      </w:r>
      <w:r>
        <w:rPr>
          <w:rFonts w:ascii="Times New Roman" w:hAnsi="Times New Roman"/>
          <w:b w:val="false"/>
          <w:i w:val="false"/>
          <w:color w:val="000000"/>
          <w:sz w:val="22"/>
        </w:rPr>
        <w:t xml:space="preserve">), the five-day measure of the pollutant parameter carbonaceous biochemical oxygen demand; suspended solids (SS), the pollutant parameter total suspended solids; and pH, the measure of the relative acidity or alkalinity. The pollutant measurement carbonaceous biochemical oxygen demand is used in lieu of the pollutant measurement five-day biochemical oxygen demand (BOD5), as noted in 40 CFR 133.102. All requirements for each pollutant measurement shall be achieved by publicly owned treatment works and semipublic sewage disposal systems except as provided for in subrules </w:t>
      </w:r>
      <w:hyperlink r:id="rId10">
        <w:r>
          <w:rPr>
            <w:rStyle w:val="Hyperlink"/>
            <w:rFonts w:ascii="Times New Roman" w:hAnsi="Times New Roman"/>
            <w:b w:val="false"/>
            <w:i w:val="false"/>
            <w:color w:val="000000"/>
            <w:sz w:val="22"/>
          </w:rPr>
          <w:t>62.3(2)</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62.3(3)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Effluent limitations on pollutants other than carbonaceous biochemical oxygen demand (five day), suspended solids and pH may be imposed in the NPDES permit. Such limitations will reflect pretreatment requirements that may be imposed on users of the treatment works.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Carbonaceous biochemical oxygen demand (5 day) — CBOD</w:t>
      </w:r>
      <w:r>
        <w:rPr>
          <w:rFonts w:ascii="Times New Roman" w:hAnsi="Times New Roman"/>
          <w:b w:val="false"/>
          <w:i w:val="false"/>
          <w:color w:val="000000"/>
          <w:sz w:val="18"/>
          <w:vertAlign w:val="subscript"/>
        </w:rPr>
        <w:t>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30-day average shall not exceed 25 mg/l.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7-day average shall not exceed 40 mg/l.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30-day average percent removal shall not be less than 85 percent, and the percent removal shall be calculated by adding 5 units to the effluent CBOD5 monitoring data and comparing that value to the influent BOD5 monitoring data. Site-specific information on the relationship between BOD5 and CBOD5 shall be used in lieu of the 5-unit relationship if such information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Suspended solids — 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30-day average shall not exceed 30 mg/l.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7-day average shall not exceed 45 mg/l.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30-day average percent removal shall not be less than 85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pH: The effluent values for pH shall be maintained within the limits of 6.0 to 9.0 unless the publicly owned treatment works demonstrates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Inorganic chemicals are not added to the waste stream as part of the treatment process,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Contributions from industrial sources do not cause the pH of the effluent to be less than 6.0 or greater than 9.0.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62.3(2)</w:t>
      </w:r>
      <w:r>
        <w:rPr>
          <w:rFonts w:ascii="Times New Roman" w:hAnsi="Times New Roman"/>
          <w:b w:val="false"/>
          <w:i w:val="false"/>
          <w:color w:val="000000"/>
          <w:sz w:val="22"/>
        </w:rPr>
        <w:t> </w:t>
      </w:r>
      <w:r>
        <w:rPr>
          <w:rFonts w:ascii="Times New Roman" w:hAnsi="Times New Roman"/>
          <w:b w:val="false"/>
          <w:i/>
          <w:color w:val="000000"/>
          <w:sz w:val="22"/>
        </w:rPr>
        <w:t xml:space="preserve">Special considerations.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Combined sewers. </w:t>
      </w:r>
      <w:r>
        <w:rPr>
          <w:rFonts w:ascii="Times New Roman" w:hAnsi="Times New Roman"/>
          <w:b w:val="false"/>
          <w:i w:val="false"/>
          <w:color w:val="000000"/>
          <w:sz w:val="22"/>
        </w:rPr>
        <w:t xml:space="preserve">Treatment works subject to this part may not be capable of meeting the percentage removal requirements established under </w:t>
      </w:r>
      <w:hyperlink r:id="rId12">
        <w:r>
          <w:rPr>
            <w:rStyle w:val="Hyperlink"/>
            <w:rFonts w:ascii="Times New Roman" w:hAnsi="Times New Roman"/>
            <w:b w:val="false"/>
            <w:i w:val="false"/>
            <w:color w:val="000000"/>
            <w:sz w:val="22"/>
          </w:rPr>
          <w:t>62.3(1)</w:t>
        </w:r>
      </w:hyperlink>
      <w:r>
        <w:rPr>
          <w:rFonts w:ascii="Times New Roman" w:hAnsi="Times New Roman"/>
          <w:b w:val="false"/>
          <w:i/>
          <w:color w:val="000000"/>
          <w:sz w:val="22"/>
        </w:rPr>
        <w:t>“a”</w:t>
      </w:r>
      <w:r>
        <w:rPr>
          <w:rFonts w:ascii="Times New Roman" w:hAnsi="Times New Roman"/>
          <w:b w:val="false"/>
          <w:i w:val="false"/>
          <w:color w:val="000000"/>
          <w:sz w:val="22"/>
        </w:rPr>
        <w:t xml:space="preserve">(3) and </w:t>
      </w:r>
      <w:hyperlink r:id="rId13">
        <w:r>
          <w:rPr>
            <w:rStyle w:val="Hyperlink"/>
            <w:rFonts w:ascii="Times New Roman" w:hAnsi="Times New Roman"/>
            <w:b w:val="false"/>
            <w:i w:val="false"/>
            <w:color w:val="000000"/>
            <w:sz w:val="22"/>
          </w:rPr>
          <w:t>62.3(1)</w:t>
        </w:r>
      </w:hyperlink>
      <w:r>
        <w:rPr>
          <w:rFonts w:ascii="Times New Roman" w:hAnsi="Times New Roman"/>
          <w:b w:val="false"/>
          <w:i/>
          <w:color w:val="000000"/>
          <w:sz w:val="22"/>
        </w:rPr>
        <w:t>“b”</w:t>
      </w:r>
      <w:r>
        <w:rPr>
          <w:rFonts w:ascii="Times New Roman" w:hAnsi="Times New Roman"/>
          <w:b w:val="false"/>
          <w:i w:val="false"/>
          <w:color w:val="000000"/>
          <w:sz w:val="22"/>
        </w:rPr>
        <w:t xml:space="preserve">(3), or </w:t>
      </w:r>
      <w:hyperlink r:id="rId14">
        <w:r>
          <w:rPr>
            <w:rStyle w:val="Hyperlink"/>
            <w:rFonts w:ascii="Times New Roman" w:hAnsi="Times New Roman"/>
            <w:b w:val="false"/>
            <w:i w:val="false"/>
            <w:color w:val="000000"/>
            <w:sz w:val="22"/>
          </w:rPr>
          <w:t>62.3(3)</w:t>
        </w:r>
      </w:hyperlink>
      <w:r>
        <w:rPr>
          <w:rFonts w:ascii="Times New Roman" w:hAnsi="Times New Roman"/>
          <w:b w:val="false"/>
          <w:i/>
          <w:color w:val="000000"/>
          <w:sz w:val="22"/>
        </w:rPr>
        <w:t>“f”</w:t>
      </w:r>
      <w:r>
        <w:rPr>
          <w:rFonts w:ascii="Times New Roman" w:hAnsi="Times New Roman"/>
          <w:b w:val="false"/>
          <w:i w:val="false"/>
          <w:color w:val="000000"/>
          <w:sz w:val="22"/>
        </w:rPr>
        <w:t xml:space="preserve">(3) and </w:t>
      </w:r>
      <w:hyperlink r:id="rId15">
        <w:r>
          <w:rPr>
            <w:rStyle w:val="Hyperlink"/>
            <w:rFonts w:ascii="Times New Roman" w:hAnsi="Times New Roman"/>
            <w:b w:val="false"/>
            <w:i w:val="false"/>
            <w:color w:val="000000"/>
            <w:sz w:val="22"/>
          </w:rPr>
          <w:t>62.3(3)</w:t>
        </w:r>
      </w:hyperlink>
      <w:r>
        <w:rPr>
          <w:rFonts w:ascii="Times New Roman" w:hAnsi="Times New Roman"/>
          <w:b w:val="false"/>
          <w:i/>
          <w:color w:val="000000"/>
          <w:sz w:val="22"/>
        </w:rPr>
        <w:t>“g”</w:t>
      </w:r>
      <w:r>
        <w:rPr>
          <w:rFonts w:ascii="Times New Roman" w:hAnsi="Times New Roman"/>
          <w:b w:val="false"/>
          <w:i w:val="false"/>
          <w:color w:val="000000"/>
          <w:sz w:val="22"/>
        </w:rPr>
        <w:t>(3) during wet weather where the treatment works receive flows from combined sewers (i.e., sewers which are designed to transport both storm water and sanitary sewage). For such treatment works, the decision must be made on a case-by-case basis as to whether any attainable percentage removal level can be defined, and if so, what the level should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Industrial wastes. </w:t>
      </w:r>
      <w:r>
        <w:rPr>
          <w:rFonts w:ascii="Times New Roman" w:hAnsi="Times New Roman"/>
          <w:b w:val="false"/>
          <w:i w:val="false"/>
          <w:color w:val="000000"/>
          <w:sz w:val="22"/>
        </w:rPr>
        <w:t>For certain industrial categories, the discharge of CBOD</w:t>
      </w:r>
      <w:r>
        <w:rPr>
          <w:rFonts w:ascii="Times New Roman" w:hAnsi="Times New Roman"/>
          <w:b w:val="false"/>
          <w:i w:val="false"/>
          <w:color w:val="000000"/>
          <w:sz w:val="18"/>
          <w:vertAlign w:val="subscript"/>
        </w:rPr>
        <w:t xml:space="preserve">5 </w:t>
      </w:r>
      <w:r>
        <w:rPr>
          <w:rFonts w:ascii="Times New Roman" w:hAnsi="Times New Roman"/>
          <w:b w:val="false"/>
          <w:i w:val="false"/>
          <w:color w:val="000000"/>
          <w:sz w:val="22"/>
        </w:rPr>
        <w:t xml:space="preserve">and SS permitted (under Section 301(b)(1)(A)(i), 301(b)(2)(E) or 306 of the Act) may be less stringent than the values given in </w:t>
      </w:r>
      <w:hyperlink r:id="rId16">
        <w:r>
          <w:rPr>
            <w:rStyle w:val="Hyperlink"/>
            <w:rFonts w:ascii="Times New Roman" w:hAnsi="Times New Roman"/>
            <w:b w:val="false"/>
            <w:i w:val="false"/>
            <w:color w:val="000000"/>
            <w:sz w:val="22"/>
          </w:rPr>
          <w:t>62.3(1)</w:t>
        </w:r>
      </w:hyperlink>
      <w:r>
        <w:rPr>
          <w:rFonts w:ascii="Times New Roman" w:hAnsi="Times New Roman"/>
          <w:b w:val="false"/>
          <w:i/>
          <w:color w:val="000000"/>
          <w:sz w:val="22"/>
        </w:rPr>
        <w:t>“a”</w:t>
      </w:r>
      <w:r>
        <w:rPr>
          <w:rFonts w:ascii="Times New Roman" w:hAnsi="Times New Roman"/>
          <w:b w:val="false"/>
          <w:i w:val="false"/>
          <w:color w:val="000000"/>
          <w:sz w:val="22"/>
        </w:rPr>
        <w:t xml:space="preserve">(1), </w:t>
      </w:r>
      <w:hyperlink r:id="rId17">
        <w:r>
          <w:rPr>
            <w:rStyle w:val="Hyperlink"/>
            <w:rFonts w:ascii="Times New Roman" w:hAnsi="Times New Roman"/>
            <w:b w:val="false"/>
            <w:i w:val="false"/>
            <w:color w:val="000000"/>
            <w:sz w:val="22"/>
          </w:rPr>
          <w:t>62.3(1)</w:t>
        </w:r>
      </w:hyperlink>
      <w:r>
        <w:rPr>
          <w:rFonts w:ascii="Times New Roman" w:hAnsi="Times New Roman"/>
          <w:b w:val="false"/>
          <w:i/>
          <w:color w:val="000000"/>
          <w:sz w:val="22"/>
        </w:rPr>
        <w:t>“b”</w:t>
      </w:r>
      <w:r>
        <w:rPr>
          <w:rFonts w:ascii="Times New Roman" w:hAnsi="Times New Roman"/>
          <w:b w:val="false"/>
          <w:i w:val="false"/>
          <w:color w:val="000000"/>
          <w:sz w:val="22"/>
        </w:rPr>
        <w:t xml:space="preserve">(1), </w:t>
      </w:r>
      <w:hyperlink r:id="rId18">
        <w:r>
          <w:rPr>
            <w:rStyle w:val="Hyperlink"/>
            <w:rFonts w:ascii="Times New Roman" w:hAnsi="Times New Roman"/>
            <w:b w:val="false"/>
            <w:i w:val="false"/>
            <w:color w:val="000000"/>
            <w:sz w:val="22"/>
          </w:rPr>
          <w:t>62.3(3)</w:t>
        </w:r>
      </w:hyperlink>
      <w:r>
        <w:rPr>
          <w:rFonts w:ascii="Times New Roman" w:hAnsi="Times New Roman"/>
          <w:b w:val="false"/>
          <w:i/>
          <w:color w:val="000000"/>
          <w:sz w:val="22"/>
        </w:rPr>
        <w:t>“f”</w:t>
      </w:r>
      <w:r>
        <w:rPr>
          <w:rFonts w:ascii="Times New Roman" w:hAnsi="Times New Roman"/>
          <w:b w:val="false"/>
          <w:i w:val="false"/>
          <w:color w:val="000000"/>
          <w:sz w:val="22"/>
        </w:rPr>
        <w:t xml:space="preserve">(1), and </w:t>
      </w:r>
      <w:hyperlink r:id="rId19">
        <w:r>
          <w:rPr>
            <w:rStyle w:val="Hyperlink"/>
            <w:rFonts w:ascii="Times New Roman" w:hAnsi="Times New Roman"/>
            <w:b w:val="false"/>
            <w:i w:val="false"/>
            <w:color w:val="000000"/>
            <w:sz w:val="22"/>
          </w:rPr>
          <w:t>62.3(3)</w:t>
        </w:r>
      </w:hyperlink>
      <w:r>
        <w:rPr>
          <w:rFonts w:ascii="Times New Roman" w:hAnsi="Times New Roman"/>
          <w:b w:val="false"/>
          <w:i/>
          <w:color w:val="000000"/>
          <w:sz w:val="22"/>
        </w:rPr>
        <w:t>“g”</w:t>
      </w:r>
      <w:r>
        <w:rPr>
          <w:rFonts w:ascii="Times New Roman" w:hAnsi="Times New Roman"/>
          <w:b w:val="false"/>
          <w:i w:val="false"/>
          <w:color w:val="000000"/>
          <w:sz w:val="22"/>
        </w:rPr>
        <w:t>(1). In cases when wastes would be introduced from such an industrial category into a publicly owned treatment works, the values for CBOD</w:t>
      </w:r>
      <w:r>
        <w:rPr>
          <w:rFonts w:ascii="Times New Roman" w:hAnsi="Times New Roman"/>
          <w:b w:val="false"/>
          <w:i w:val="false"/>
          <w:color w:val="000000"/>
          <w:sz w:val="18"/>
          <w:vertAlign w:val="subscript"/>
        </w:rPr>
        <w:t>5</w:t>
      </w:r>
      <w:r>
        <w:rPr>
          <w:rFonts w:ascii="Times New Roman" w:hAnsi="Times New Roman"/>
          <w:b w:val="false"/>
          <w:i w:val="false"/>
          <w:color w:val="000000"/>
          <w:sz w:val="22"/>
        </w:rPr>
        <w:t xml:space="preserve"> and SS in </w:t>
      </w:r>
      <w:hyperlink r:id="rId20">
        <w:r>
          <w:rPr>
            <w:rStyle w:val="Hyperlink"/>
            <w:rFonts w:ascii="Times New Roman" w:hAnsi="Times New Roman"/>
            <w:b w:val="false"/>
            <w:i w:val="false"/>
            <w:color w:val="000000"/>
            <w:sz w:val="22"/>
          </w:rPr>
          <w:t>62.3(1)</w:t>
        </w:r>
      </w:hyperlink>
      <w:r>
        <w:rPr>
          <w:rFonts w:ascii="Times New Roman" w:hAnsi="Times New Roman"/>
          <w:b w:val="false"/>
          <w:i/>
          <w:color w:val="000000"/>
          <w:sz w:val="22"/>
        </w:rPr>
        <w:t>“a”</w:t>
      </w:r>
      <w:r>
        <w:rPr>
          <w:rFonts w:ascii="Times New Roman" w:hAnsi="Times New Roman"/>
          <w:b w:val="false"/>
          <w:i w:val="false"/>
          <w:color w:val="000000"/>
          <w:sz w:val="22"/>
        </w:rPr>
        <w:t xml:space="preserve">(1), </w:t>
      </w:r>
      <w:hyperlink r:id="rId21">
        <w:r>
          <w:rPr>
            <w:rStyle w:val="Hyperlink"/>
            <w:rFonts w:ascii="Times New Roman" w:hAnsi="Times New Roman"/>
            <w:b w:val="false"/>
            <w:i w:val="false"/>
            <w:color w:val="000000"/>
            <w:sz w:val="22"/>
          </w:rPr>
          <w:t>62.3(1)</w:t>
        </w:r>
      </w:hyperlink>
      <w:r>
        <w:rPr>
          <w:rFonts w:ascii="Times New Roman" w:hAnsi="Times New Roman"/>
          <w:b w:val="false"/>
          <w:i/>
          <w:color w:val="000000"/>
          <w:sz w:val="22"/>
        </w:rPr>
        <w:t>“b”</w:t>
      </w:r>
      <w:r>
        <w:rPr>
          <w:rFonts w:ascii="Times New Roman" w:hAnsi="Times New Roman"/>
          <w:b w:val="false"/>
          <w:i w:val="false"/>
          <w:color w:val="000000"/>
          <w:sz w:val="22"/>
        </w:rPr>
        <w:t xml:space="preserve">(1), </w:t>
      </w:r>
      <w:hyperlink r:id="rId22">
        <w:r>
          <w:rPr>
            <w:rStyle w:val="Hyperlink"/>
            <w:rFonts w:ascii="Times New Roman" w:hAnsi="Times New Roman"/>
            <w:b w:val="false"/>
            <w:i w:val="false"/>
            <w:color w:val="000000"/>
            <w:sz w:val="22"/>
          </w:rPr>
          <w:t>62.3(3)</w:t>
        </w:r>
      </w:hyperlink>
      <w:r>
        <w:rPr>
          <w:rFonts w:ascii="Times New Roman" w:hAnsi="Times New Roman"/>
          <w:b w:val="false"/>
          <w:i/>
          <w:color w:val="000000"/>
          <w:sz w:val="22"/>
        </w:rPr>
        <w:t>“f”</w:t>
      </w:r>
      <w:r>
        <w:rPr>
          <w:rFonts w:ascii="Times New Roman" w:hAnsi="Times New Roman"/>
          <w:b w:val="false"/>
          <w:i w:val="false"/>
          <w:color w:val="000000"/>
          <w:sz w:val="22"/>
        </w:rPr>
        <w:t xml:space="preserve">(1), and </w:t>
      </w:r>
      <w:hyperlink r:id="rId23">
        <w:r>
          <w:rPr>
            <w:rStyle w:val="Hyperlink"/>
            <w:rFonts w:ascii="Times New Roman" w:hAnsi="Times New Roman"/>
            <w:b w:val="false"/>
            <w:i w:val="false"/>
            <w:color w:val="000000"/>
            <w:sz w:val="22"/>
          </w:rPr>
          <w:t>62.3(3)</w:t>
        </w:r>
      </w:hyperlink>
      <w:r>
        <w:rPr>
          <w:rFonts w:ascii="Times New Roman" w:hAnsi="Times New Roman"/>
          <w:b w:val="false"/>
          <w:i/>
          <w:color w:val="000000"/>
          <w:sz w:val="22"/>
        </w:rPr>
        <w:t>“g”</w:t>
      </w:r>
      <w:r>
        <w:rPr>
          <w:rFonts w:ascii="Times New Roman" w:hAnsi="Times New Roman"/>
          <w:b w:val="false"/>
          <w:i w:val="false"/>
          <w:color w:val="000000"/>
          <w:sz w:val="22"/>
        </w:rPr>
        <w:t>(1) may be adjusted upwards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permitted discharge of such pollutants, attributable to the industrial category, would not be greater than that which would be permitted (under Sections 301(b)(1)(A)(i), 301(b)(2)(E) or 306 of the Act) if such industrial category were to discharge directly into waters of the state,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flow or loading of such pollutants introduced by the industrial category exceeds 10 percent of the design flow or loading of the publicly owned treatment works.</w:t>
      </w:r>
    </w:p>
    <w:p>
      <w:pPr>
        <w:spacing w:before="0" w:after="0"/>
        <w:ind w:left="120"/>
        <w:jc w:val="both"/>
      </w:pPr>
      <w:r>
        <w:rPr>
          <w:rFonts w:ascii="Times New Roman" w:hAnsi="Times New Roman"/>
          <w:b w:val="false"/>
          <w:i w:val="false"/>
          <w:color w:val="000000"/>
          <w:sz w:val="22"/>
        </w:rPr>
        <w:t>When such an adjustment is made, the values for CBOD</w:t>
      </w:r>
      <w:r>
        <w:rPr>
          <w:rFonts w:ascii="Times New Roman" w:hAnsi="Times New Roman"/>
          <w:b w:val="false"/>
          <w:i w:val="false"/>
          <w:color w:val="000000"/>
          <w:sz w:val="18"/>
          <w:vertAlign w:val="subscript"/>
        </w:rPr>
        <w:t>5</w:t>
      </w:r>
      <w:r>
        <w:rPr>
          <w:rFonts w:ascii="Times New Roman" w:hAnsi="Times New Roman"/>
          <w:b w:val="false"/>
          <w:i w:val="false"/>
          <w:color w:val="000000"/>
          <w:sz w:val="22"/>
        </w:rPr>
        <w:t xml:space="preserve"> or SS in </w:t>
      </w:r>
      <w:hyperlink r:id="rId24">
        <w:r>
          <w:rPr>
            <w:rStyle w:val="Hyperlink"/>
            <w:rFonts w:ascii="Times New Roman" w:hAnsi="Times New Roman"/>
            <w:b w:val="false"/>
            <w:i w:val="false"/>
            <w:color w:val="000000"/>
            <w:sz w:val="22"/>
          </w:rPr>
          <w:t>62.3(1)</w:t>
        </w:r>
      </w:hyperlink>
      <w:r>
        <w:rPr>
          <w:rFonts w:ascii="Times New Roman" w:hAnsi="Times New Roman"/>
          <w:b w:val="false"/>
          <w:i/>
          <w:color w:val="000000"/>
          <w:sz w:val="22"/>
        </w:rPr>
        <w:t>“a”</w:t>
      </w:r>
      <w:r>
        <w:rPr>
          <w:rFonts w:ascii="Times New Roman" w:hAnsi="Times New Roman"/>
          <w:b w:val="false"/>
          <w:i w:val="false"/>
          <w:color w:val="000000"/>
          <w:sz w:val="22"/>
        </w:rPr>
        <w:t xml:space="preserve">(2), </w:t>
      </w:r>
      <w:hyperlink r:id="rId25">
        <w:r>
          <w:rPr>
            <w:rStyle w:val="Hyperlink"/>
            <w:rFonts w:ascii="Times New Roman" w:hAnsi="Times New Roman"/>
            <w:b w:val="false"/>
            <w:i w:val="false"/>
            <w:color w:val="000000"/>
            <w:sz w:val="22"/>
          </w:rPr>
          <w:t>62.3(1)</w:t>
        </w:r>
      </w:hyperlink>
      <w:r>
        <w:rPr>
          <w:rFonts w:ascii="Times New Roman" w:hAnsi="Times New Roman"/>
          <w:b w:val="false"/>
          <w:i/>
          <w:color w:val="000000"/>
          <w:sz w:val="22"/>
        </w:rPr>
        <w:t>“b”</w:t>
      </w:r>
      <w:r>
        <w:rPr>
          <w:rFonts w:ascii="Times New Roman" w:hAnsi="Times New Roman"/>
          <w:b w:val="false"/>
          <w:i w:val="false"/>
          <w:color w:val="000000"/>
          <w:sz w:val="22"/>
        </w:rPr>
        <w:t xml:space="preserve">(2), </w:t>
      </w:r>
      <w:hyperlink r:id="rId26">
        <w:r>
          <w:rPr>
            <w:rStyle w:val="Hyperlink"/>
            <w:rFonts w:ascii="Times New Roman" w:hAnsi="Times New Roman"/>
            <w:b w:val="false"/>
            <w:i w:val="false"/>
            <w:color w:val="000000"/>
            <w:sz w:val="22"/>
          </w:rPr>
          <w:t>62.3(3)</w:t>
        </w:r>
      </w:hyperlink>
      <w:r>
        <w:rPr>
          <w:rFonts w:ascii="Times New Roman" w:hAnsi="Times New Roman"/>
          <w:b w:val="false"/>
          <w:i/>
          <w:color w:val="000000"/>
          <w:sz w:val="22"/>
        </w:rPr>
        <w:t>“f”</w:t>
      </w:r>
      <w:r>
        <w:rPr>
          <w:rFonts w:ascii="Times New Roman" w:hAnsi="Times New Roman"/>
          <w:b w:val="false"/>
          <w:i w:val="false"/>
          <w:color w:val="000000"/>
          <w:sz w:val="22"/>
        </w:rPr>
        <w:t xml:space="preserve">(2), and </w:t>
      </w:r>
      <w:hyperlink r:id="rId27">
        <w:r>
          <w:rPr>
            <w:rStyle w:val="Hyperlink"/>
            <w:rFonts w:ascii="Times New Roman" w:hAnsi="Times New Roman"/>
            <w:b w:val="false"/>
            <w:i w:val="false"/>
            <w:color w:val="000000"/>
            <w:sz w:val="22"/>
          </w:rPr>
          <w:t>62.3(3)</w:t>
        </w:r>
      </w:hyperlink>
      <w:r>
        <w:rPr>
          <w:rFonts w:ascii="Times New Roman" w:hAnsi="Times New Roman"/>
          <w:b w:val="false"/>
          <w:i/>
          <w:color w:val="000000"/>
          <w:sz w:val="22"/>
        </w:rPr>
        <w:t>“g”</w:t>
      </w:r>
      <w:r>
        <w:rPr>
          <w:rFonts w:ascii="Times New Roman" w:hAnsi="Times New Roman"/>
          <w:b w:val="false"/>
          <w:i w:val="false"/>
          <w:color w:val="000000"/>
          <w:sz w:val="22"/>
        </w:rPr>
        <w:t>(2) should be adjusted proportionately.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Waste stabilization ponds. </w:t>
      </w:r>
      <w:r>
        <w:rPr>
          <w:rFonts w:ascii="Times New Roman" w:hAnsi="Times New Roman"/>
          <w:b w:val="false"/>
          <w:i w:val="false"/>
          <w:color w:val="000000"/>
          <w:sz w:val="22"/>
        </w:rPr>
        <w:t xml:space="preserve">Departmental secondary treatment standards for waste stabilization ponds are the same as those found in subrule </w:t>
      </w:r>
      <w:hyperlink r:id="rId28">
        <w:r>
          <w:rPr>
            <w:rStyle w:val="Hyperlink"/>
            <w:rFonts w:ascii="Times New Roman" w:hAnsi="Times New Roman"/>
            <w:b w:val="false"/>
            <w:i w:val="false"/>
            <w:color w:val="000000"/>
            <w:sz w:val="22"/>
          </w:rPr>
          <w:t>62.3(1)</w:t>
        </w:r>
      </w:hyperlink>
      <w:r>
        <w:rPr>
          <w:rFonts w:ascii="Times New Roman" w:hAnsi="Times New Roman"/>
          <w:b w:val="false"/>
          <w:i w:val="false"/>
          <w:color w:val="000000"/>
          <w:sz w:val="22"/>
        </w:rPr>
        <w:t xml:space="preserve"> concerning secondary treatment with the exception of the standards for suspended solids which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SS, the 30-day average shall not exceed 80 mg/l.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SS, the 7-day average shall not exceed 120 mg/l.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Less concentrated influent wastewater for separate sewers. </w:t>
      </w:r>
      <w:r>
        <w:rPr>
          <w:rFonts w:ascii="Times New Roman" w:hAnsi="Times New Roman"/>
          <w:b w:val="false"/>
          <w:i w:val="false"/>
          <w:color w:val="000000"/>
          <w:sz w:val="22"/>
        </w:rPr>
        <w:t xml:space="preserve">The department may substitute either a lower percent removal requirement or a mass loading limit for the percent removal requirements in </w:t>
      </w:r>
      <w:hyperlink r:id="rId29">
        <w:r>
          <w:rPr>
            <w:rStyle w:val="Hyperlink"/>
            <w:rFonts w:ascii="Times New Roman" w:hAnsi="Times New Roman"/>
            <w:b w:val="false"/>
            <w:i w:val="false"/>
            <w:color w:val="000000"/>
            <w:sz w:val="22"/>
          </w:rPr>
          <w:t>62.3(1)</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62.3(3)</w:t>
        </w:r>
      </w:hyperlink>
      <w:r>
        <w:rPr>
          <w:rFonts w:ascii="Times New Roman" w:hAnsi="Times New Roman"/>
          <w:b w:val="false"/>
          <w:i w:val="false"/>
          <w:color w:val="000000"/>
          <w:sz w:val="22"/>
        </w:rPr>
        <w:t xml:space="preserve"> provided that the permittee demonstrates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treatment works is consistently meeting or will consistently meet, its permit effluent concentration limits but its percent removal requirements cannot be met due to less concentrated influent wastewater.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meet the percent removal requirements, the treatment works would have to achieve significantly more stringent limitations than would otherwise be required by the concentration-based standards,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less concentrated influent wastewater is not the result of excessive infiltration/inflow (I/I). A system is considered to have nonexcessive I/I when an average wet weather influent flow (as defined in the department’s design standards 567—paragraph </w:t>
      </w:r>
      <w:hyperlink r:id="rId31">
        <w:r>
          <w:rPr>
            <w:rStyle w:val="Hyperlink"/>
            <w:rFonts w:ascii="Times New Roman" w:hAnsi="Times New Roman"/>
            <w:b w:val="false"/>
            <w:i w:val="false"/>
            <w:color w:val="000000"/>
            <w:sz w:val="22"/>
          </w:rPr>
          <w:t>64.2(9)</w:t>
        </w:r>
      </w:hyperlink>
      <w:r>
        <w:rPr>
          <w:rFonts w:ascii="Times New Roman" w:hAnsi="Times New Roman"/>
          <w:b w:val="false"/>
          <w:i/>
          <w:color w:val="000000"/>
          <w:sz w:val="22"/>
        </w:rPr>
        <w:t xml:space="preserve">“b,” </w:t>
      </w:r>
      <w:r>
        <w:rPr>
          <w:rFonts w:ascii="Times New Roman" w:hAnsi="Times New Roman"/>
          <w:b w:val="false"/>
          <w:i w:val="false"/>
          <w:color w:val="000000"/>
          <w:sz w:val="22"/>
        </w:rPr>
        <w:t>Chapter 14.4.5.1.b) comprised of domestic wastewater plus infiltration plus inflow equals less than 275 gallons per day per capita.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Upgraded facilities designed to operate in a split flow mode. </w:t>
      </w:r>
      <w:r>
        <w:rPr>
          <w:rFonts w:ascii="Times New Roman" w:hAnsi="Times New Roman"/>
          <w:b w:val="false"/>
          <w:i w:val="false"/>
          <w:color w:val="000000"/>
          <w:sz w:val="22"/>
        </w:rPr>
        <w:t xml:space="preserve">The department may substitute either a lower percent removal requirement or a mass loading limit for the percent removal requirements in </w:t>
      </w:r>
      <w:hyperlink r:id="rId32">
        <w:r>
          <w:rPr>
            <w:rStyle w:val="Hyperlink"/>
            <w:rFonts w:ascii="Times New Roman" w:hAnsi="Times New Roman"/>
            <w:b w:val="false"/>
            <w:i w:val="false"/>
            <w:color w:val="000000"/>
            <w:sz w:val="22"/>
          </w:rPr>
          <w:t>62.3(1)</w:t>
        </w:r>
      </w:hyperlink>
      <w:r>
        <w:rPr>
          <w:rFonts w:ascii="Times New Roman" w:hAnsi="Times New Roman"/>
          <w:b w:val="false"/>
          <w:i w:val="false"/>
          <w:color w:val="000000"/>
          <w:sz w:val="22"/>
        </w:rPr>
        <w:t xml:space="preserve"> only (not 62.3(3)),provided that the treatment works is designed to split part of the primary treated wastewater flow around the secondary treatment unit(s). The design to accommodate split flow must be approved by the department and consistent with applicable design standards for wastewater treatment facilities. The requirements of 62.3(2)</w:t>
      </w:r>
      <w:r>
        <w:rPr>
          <w:rFonts w:ascii="Times New Roman" w:hAnsi="Times New Roman"/>
          <w:b w:val="false"/>
          <w:i/>
          <w:color w:val="000000"/>
          <w:sz w:val="22"/>
        </w:rPr>
        <w:t>“d”</w:t>
      </w:r>
      <w:r>
        <w:rPr>
          <w:rFonts w:ascii="Times New Roman" w:hAnsi="Times New Roman"/>
          <w:b w:val="false"/>
          <w:i w:val="false"/>
          <w:color w:val="000000"/>
          <w:sz w:val="22"/>
        </w:rPr>
        <w:t xml:space="preserve"> would apply to facilities considered under this subrule. This subrule shall not be considered for facilities eligible for treatment equivalent to secondary treatment under </w:t>
      </w:r>
      <w:hyperlink r:id="rId33">
        <w:r>
          <w:rPr>
            <w:rStyle w:val="Hyperlink"/>
            <w:rFonts w:ascii="Times New Roman" w:hAnsi="Times New Roman"/>
            <w:b w:val="false"/>
            <w:i w:val="false"/>
            <w:color w:val="000000"/>
            <w:sz w:val="22"/>
          </w:rPr>
          <w:t>62.3(3)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Any applicant requesting a permit limit adjustment must include as part of the request an analysis of the I/I sources in the system and a plan for the elimination of all inflow sources such as roof drains, manholes and storm sewer interconnections. Infiltration sources that can be economically eliminated or minimized shall be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Dilution. </w:t>
      </w:r>
      <w:r>
        <w:rPr>
          <w:rFonts w:ascii="Times New Roman" w:hAnsi="Times New Roman"/>
          <w:b w:val="false"/>
          <w:i w:val="false"/>
          <w:color w:val="000000"/>
          <w:sz w:val="22"/>
        </w:rPr>
        <w:t>Nothing in this subrule or any other rule of the department shall be construed to encourage dilution of sewage as a means of complying with secondary treatment effluent standards. Reasonable efforts to prevent and abate infiltration of groundwater into sewers, and prevention or removal of any significant source of inflow, are required of all persons responsible for facilities subject to these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62.3(3)</w:t>
      </w:r>
      <w:r>
        <w:rPr>
          <w:rFonts w:ascii="Times New Roman" w:hAnsi="Times New Roman"/>
          <w:b w:val="false"/>
          <w:i w:val="false"/>
          <w:color w:val="000000"/>
          <w:sz w:val="22"/>
        </w:rPr>
        <w:t> </w:t>
      </w:r>
      <w:r>
        <w:rPr>
          <w:rFonts w:ascii="Times New Roman" w:hAnsi="Times New Roman"/>
          <w:b w:val="false"/>
          <w:i/>
          <w:color w:val="000000"/>
          <w:sz w:val="22"/>
        </w:rPr>
        <w:t xml:space="preserve">Treatment equivalent to secondary treatment. </w:t>
      </w:r>
      <w:r>
        <w:rPr>
          <w:rFonts w:ascii="Times New Roman" w:hAnsi="Times New Roman"/>
          <w:b w:val="false"/>
          <w:i w:val="false"/>
          <w:color w:val="000000"/>
          <w:sz w:val="22"/>
        </w:rPr>
        <w:t>This subrule describes the minimum level of effluent quality attainable by facilities eligible for treatment equivalent to secondary treatment in terms of the pollutant measurements CBOD</w:t>
      </w:r>
      <w:r>
        <w:rPr>
          <w:rFonts w:ascii="Times New Roman" w:hAnsi="Times New Roman"/>
          <w:b w:val="false"/>
          <w:i w:val="false"/>
          <w:color w:val="000000"/>
          <w:sz w:val="18"/>
          <w:vertAlign w:val="subscript"/>
        </w:rPr>
        <w:t>5</w:t>
      </w:r>
      <w:r>
        <w:rPr>
          <w:rFonts w:ascii="Times New Roman" w:hAnsi="Times New Roman"/>
          <w:b w:val="false"/>
          <w:i w:val="false"/>
          <w:color w:val="000000"/>
          <w:sz w:val="22"/>
        </w:rPr>
        <w:t>, SS and pH. The pollutant measurement CBOD5 is used in lieu of the pollutant measurement BOD5 as noted in 40 CFR 133.105. Treatment works shall be eligible at any time for consideration of effluent limitations described for treatment equivalent to secondary treatment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CBOD</w:t>
      </w:r>
      <w:r>
        <w:rPr>
          <w:rFonts w:ascii="Times New Roman" w:hAnsi="Times New Roman"/>
          <w:b w:val="false"/>
          <w:i w:val="false"/>
          <w:color w:val="000000"/>
          <w:sz w:val="18"/>
          <w:vertAlign w:val="subscript"/>
        </w:rPr>
        <w:t>5</w:t>
      </w:r>
      <w:r>
        <w:rPr>
          <w:rFonts w:ascii="Times New Roman" w:hAnsi="Times New Roman"/>
          <w:b w:val="false"/>
          <w:i w:val="false"/>
          <w:color w:val="000000"/>
          <w:sz w:val="22"/>
        </w:rPr>
        <w:t xml:space="preserve"> and SS effluent concentrations consistently achievable through proper operation and maintenance of the treatment works exceed the minimum level of the effluent quality set forth in </w:t>
      </w:r>
      <w:hyperlink r:id="rId34">
        <w:r>
          <w:rPr>
            <w:rStyle w:val="Hyperlink"/>
            <w:rFonts w:ascii="Times New Roman" w:hAnsi="Times New Roman"/>
            <w:b w:val="false"/>
            <w:i w:val="false"/>
            <w:color w:val="000000"/>
            <w:sz w:val="22"/>
          </w:rPr>
          <w:t>62.3(1)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62.3(1)</w:t>
        </w:r>
      </w:hyperlink>
      <w:r>
        <w:rPr>
          <w:rFonts w:ascii="Times New Roman" w:hAnsi="Times New Roman"/>
          <w:b w:val="false"/>
          <w:i/>
          <w:color w:val="000000"/>
          <w:sz w:val="22"/>
        </w:rPr>
        <w:t>“b”</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trickling filter or waste stabilization pond is used as the principal process;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treatment works provide significant biological treatment of municipal wastewater;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was not constructed since January 1, 1972, in order to achieve design effluent limits set forth in </w:t>
      </w:r>
      <w:hyperlink r:id="rId36">
        <w:r>
          <w:rPr>
            <w:rStyle w:val="Hyperlink"/>
            <w:rFonts w:ascii="Times New Roman" w:hAnsi="Times New Roman"/>
            <w:b w:val="false"/>
            <w:i w:val="false"/>
            <w:color w:val="000000"/>
            <w:sz w:val="22"/>
          </w:rPr>
          <w:t>62.3(1)</w:t>
        </w:r>
      </w:hyperlink>
      <w:r>
        <w:rPr>
          <w:rFonts w:ascii="Times New Roman" w:hAnsi="Times New Roman"/>
          <w:b w:val="false"/>
          <w:i/>
          <w:color w:val="000000"/>
          <w:sz w:val="22"/>
        </w:rPr>
        <w:t>“a,” “b,”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or predecessor rules on secondary treatment. An eligible trickling filter or waste stabilization pond may have undergone an upgrade to achieve the effluent requirements specified in this subrule. Nothing in this subrule shall be construed to allow a facility to circumvent the design standards of </w:t>
      </w:r>
      <w:hyperlink r:id="rId37">
        <w:r>
          <w:rPr>
            <w:rStyle w:val="Hyperlink"/>
            <w:rFonts w:ascii="Times New Roman" w:hAnsi="Times New Roman"/>
            <w:b w:val="false"/>
            <w:i w:val="false"/>
            <w:color w:val="000000"/>
            <w:sz w:val="22"/>
          </w:rPr>
          <w:t>567—Chapter 64</w:t>
        </w:r>
      </w:hyperlink>
      <w:r>
        <w:rPr>
          <w:rFonts w:ascii="Times New Roman" w:hAnsi="Times New Roman"/>
          <w:b w:val="false"/>
          <w:i w:val="false"/>
          <w:color w:val="000000"/>
          <w:sz w:val="22"/>
        </w:rPr>
        <w:t xml:space="preserve"> in the replacement or construction of the individual treatment units;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treatment works is one that does not receive organic or hydraulic loadings which prevent the facilities from consistently complying with </w:t>
      </w:r>
      <w:hyperlink r:id="rId38">
        <w:r>
          <w:rPr>
            <w:rStyle w:val="Hyperlink"/>
            <w:rFonts w:ascii="Times New Roman" w:hAnsi="Times New Roman"/>
            <w:b w:val="false"/>
            <w:i w:val="false"/>
            <w:color w:val="000000"/>
            <w:sz w:val="22"/>
          </w:rPr>
          <w:t>62.3(3)</w:t>
        </w:r>
      </w:hyperlink>
      <w:r>
        <w:rPr>
          <w:rFonts w:ascii="Times New Roman" w:hAnsi="Times New Roman"/>
          <w:b w:val="false"/>
          <w:i/>
          <w:color w:val="000000"/>
          <w:sz w:val="22"/>
        </w:rPr>
        <w:t>“f,” “g,”</w:t>
      </w:r>
      <w:r>
        <w:rPr>
          <w:rFonts w:ascii="Times New Roman" w:hAnsi="Times New Roman"/>
          <w:b w:val="false"/>
          <w:i w:val="false"/>
          <w:color w:val="000000"/>
          <w:sz w:val="22"/>
        </w:rPr>
        <w:t xml:space="preserve"> and </w:t>
      </w:r>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xml:space="preserve">All requirements for the specified pollutant measurements in paragraphs </w:t>
      </w:r>
      <w:r>
        <w:rPr>
          <w:rFonts w:ascii="Times New Roman" w:hAnsi="Times New Roman"/>
          <w:b w:val="false"/>
          <w:i/>
          <w:color w:val="000000"/>
          <w:sz w:val="22"/>
        </w:rPr>
        <w:t xml:space="preserve">“f,” “g,” </w:t>
      </w:r>
      <w:r>
        <w:rPr>
          <w:rFonts w:ascii="Times New Roman" w:hAnsi="Times New Roman"/>
          <w:b w:val="false"/>
          <w:i w:val="false"/>
          <w:color w:val="000000"/>
          <w:sz w:val="22"/>
        </w:rPr>
        <w:t xml:space="preserve">and </w:t>
      </w:r>
      <w:r>
        <w:rPr>
          <w:rFonts w:ascii="Times New Roman" w:hAnsi="Times New Roman"/>
          <w:b w:val="false"/>
          <w:i/>
          <w:color w:val="000000"/>
          <w:sz w:val="22"/>
        </w:rPr>
        <w:t>“h”</w:t>
      </w:r>
      <w:r>
        <w:rPr>
          <w:rFonts w:ascii="Times New Roman" w:hAnsi="Times New Roman"/>
          <w:b w:val="false"/>
          <w:i w:val="false"/>
          <w:color w:val="000000"/>
          <w:sz w:val="22"/>
        </w:rPr>
        <w:t xml:space="preserve"> following in this subrule shall be achieved except as provided for above in </w:t>
      </w:r>
      <w:hyperlink r:id="rId39">
        <w:r>
          <w:rPr>
            <w:rStyle w:val="Hyperlink"/>
            <w:rFonts w:ascii="Times New Roman" w:hAnsi="Times New Roman"/>
            <w:b w:val="false"/>
            <w:i w:val="false"/>
            <w:color w:val="000000"/>
            <w:sz w:val="22"/>
          </w:rPr>
          <w:t>62.3(2)</w:t>
        </w:r>
      </w:hyperlink>
      <w:r>
        <w:rPr>
          <w:rFonts w:ascii="Times New Roman" w:hAnsi="Times New Roman"/>
          <w:b w:val="false"/>
          <w:i w:val="false"/>
          <w:color w:val="000000"/>
          <w:sz w:val="22"/>
        </w:rPr>
        <w:t xml:space="preserve"> or paragraph </w:t>
      </w:r>
      <w:r>
        <w:rPr>
          <w:rFonts w:ascii="Times New Roman" w:hAnsi="Times New Roman"/>
          <w:b w:val="false"/>
          <w:i/>
          <w:color w:val="000000"/>
          <w:sz w:val="22"/>
        </w:rPr>
        <w:t>“i”</w:t>
      </w:r>
      <w:r>
        <w:rPr>
          <w:rFonts w:ascii="Times New Roman" w:hAnsi="Times New Roman"/>
          <w:b w:val="false"/>
          <w:i w:val="false"/>
          <w:color w:val="000000"/>
          <w:sz w:val="22"/>
        </w:rPr>
        <w:t xml:space="preserve"> of this subrule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CBOD</w:t>
      </w:r>
      <w:r>
        <w:rPr>
          <w:rFonts w:ascii="Times New Roman" w:hAnsi="Times New Roman"/>
          <w:b w:val="false"/>
          <w:i w:val="false"/>
          <w:color w:val="000000"/>
          <w:sz w:val="18"/>
          <w:vertAlign w:val="subscript"/>
        </w:rPr>
        <w:t>5</w:t>
      </w:r>
      <w:r>
        <w:rPr>
          <w:rFonts w:ascii="Times New Roman" w:hAnsi="Times New Roman"/>
          <w:b w:val="false"/>
          <w:i w:val="false"/>
          <w:color w:val="000000"/>
          <w:sz w:val="22"/>
        </w:rPr>
        <w:t xml:space="preserve">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30-day average shall not exceed 40 mg/l.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7-day average shall not exceed 60 mg/l.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30-day average percent removal shall not be less than 65 percent, and the percent removal shall be calculated by adding 5 units to the effluent CBOD5 monitoring data and comparing that value to the influent BOD5 monitoring data. Site-specific information on the relationship between BOD5 and CBOD5 shall be used in lieu of the 5-unit relationship if such information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SS limitations. Except where SS values have been adjusted in accordance with </w:t>
      </w:r>
      <w:hyperlink r:id="rId40">
        <w:r>
          <w:rPr>
            <w:rStyle w:val="Hyperlink"/>
            <w:rFonts w:ascii="Times New Roman" w:hAnsi="Times New Roman"/>
            <w:b w:val="false"/>
            <w:i w:val="false"/>
            <w:color w:val="000000"/>
            <w:sz w:val="22"/>
          </w:rPr>
          <w:t>subrule 62.3(2)</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“c,”</w:t>
      </w:r>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30-day average shall not exceed 45 mg/l.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7-day average shall not exceed 65 mg/l.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30-day average percent removal shall not be less than 65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pH. The requirements of above subrule </w:t>
      </w:r>
      <w:hyperlink r:id="rId41">
        <w:r>
          <w:rPr>
            <w:rStyle w:val="Hyperlink"/>
            <w:rFonts w:ascii="Times New Roman" w:hAnsi="Times New Roman"/>
            <w:b w:val="false"/>
            <w:i w:val="false"/>
            <w:color w:val="000000"/>
            <w:sz w:val="22"/>
          </w:rPr>
          <w:t>62.3(1)</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“c,”</w:t>
      </w:r>
      <w:r>
        <w:rPr>
          <w:rFonts w:ascii="Times New Roman" w:hAnsi="Times New Roman"/>
          <w:b w:val="false"/>
          <w:i w:val="false"/>
          <w:color w:val="000000"/>
          <w:sz w:val="22"/>
        </w:rPr>
        <w:t xml:space="preserve"> shall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Permit adjustments. More stringent limitations are required if the 30-day average and 7-day average CBOD</w:t>
      </w:r>
      <w:r>
        <w:rPr>
          <w:rFonts w:ascii="Times New Roman" w:hAnsi="Times New Roman"/>
          <w:b w:val="false"/>
          <w:i w:val="false"/>
          <w:color w:val="000000"/>
          <w:sz w:val="18"/>
          <w:vertAlign w:val="subscript"/>
        </w:rPr>
        <w:t>5</w:t>
      </w:r>
      <w:r>
        <w:rPr>
          <w:rFonts w:ascii="Times New Roman" w:hAnsi="Times New Roman"/>
          <w:b w:val="false"/>
          <w:i w:val="false"/>
          <w:color w:val="000000"/>
          <w:sz w:val="22"/>
        </w:rPr>
        <w:t xml:space="preserve"> and SS effluent values that could be achievable through proper operation and maintenance of the upgraded or existing treatment works, based on an analysis of the past performance of the treatment works, would enable the treatment works to achieve more stringent limitations. These more stringent limitations shall be maintained and not relaxed unless as specified in subrule </w:t>
      </w:r>
      <w:hyperlink r:id="rId42">
        <w:r>
          <w:rPr>
            <w:rStyle w:val="Hyperlink"/>
            <w:rFonts w:ascii="Times New Roman" w:hAnsi="Times New Roman"/>
            <w:b w:val="false"/>
            <w:i w:val="false"/>
            <w:color w:val="000000"/>
            <w:sz w:val="22"/>
          </w:rPr>
          <w:t>62.3(2)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Effluent concentrations consistently achievable through proper operation and maintenance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ninety-fifth percentile value of the 30-day average effluent quality achieved by the upgraded or existing treatment works in a period of at least two years, excluding values attributable to upsets, bypasses, operational errors, or other unusual conditions,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7-day average value equal to 1.5 times the value derived for the 30-day average above.</w:t>
      </w:r>
    </w:p>
    <w:p>
      <w:pPr>
        <w:spacing w:before="0" w:after="0"/>
        <w:ind w:left="120"/>
        <w:jc w:val="both"/>
      </w:pPr>
      <w:r>
        <w:rPr>
          <w:rFonts w:ascii="Times New Roman" w:hAnsi="Times New Roman"/>
          <w:b w:val="false"/>
          <w:i w:val="false"/>
          <w:color w:val="000000"/>
          <w:sz w:val="22"/>
        </w:rPr>
        <w:t>This subrule shall only be applied when the existing or upgraded facility has achieved its design organic loading as specified in the most recent construction permit or its accompanying documentation. The determination of the effluent concentration consistently achievable through proper operation and maintenance shall only be based on the effluent quality data following the period when the design organic loading has been achieved.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7625B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567—62.4</w:t>
      </w:r>
      <w:r>
        <w:rPr>
          <w:rFonts w:ascii="Times New Roman" w:hAnsi="Times New Roman"/>
          <w:b/>
          <w:i w:val="false"/>
          <w:color w:val="000000"/>
          <w:sz w:val="22"/>
        </w:rPr>
        <w:t xml:space="preserve">(455B) </w:t>
      </w:r>
      <w:r>
        <w:rPr>
          <w:rFonts w:ascii="Times New Roman" w:hAnsi="Times New Roman"/>
          <w:b/>
          <w:i w:val="false"/>
          <w:color w:val="000000"/>
          <w:sz w:val="22"/>
        </w:rPr>
        <w:t xml:space="preserve">Federal effluent and pretreatment standards. </w:t>
      </w:r>
      <w:r>
        <w:rPr>
          <w:rFonts w:ascii="Times New Roman" w:hAnsi="Times New Roman"/>
          <w:b w:val="false"/>
          <w:i w:val="false"/>
          <w:color w:val="000000"/>
          <w:sz w:val="22"/>
        </w:rPr>
        <w:t>The federal standards, 40 CFR, revised as of January 1, 2021, are applicable to the following categories: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r>
        <w:rPr>
          <w:rFonts w:ascii="Times New Roman" w:hAnsi="Times New Roman"/>
          <w:b w:val="false"/>
          <w:i w:val="false"/>
          <w:color w:val="000000"/>
          <w:sz w:val="22"/>
        </w:rPr>
        <w:t>The following is adopted by reference: 40 CFR Part 401.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62.4(2)</w:t>
      </w:r>
      <w:r>
        <w:rPr>
          <w:rFonts w:ascii="Times New Roman" w:hAnsi="Times New Roman"/>
          <w:b w:val="false"/>
          <w:i w:val="false"/>
          <w:color w:val="000000"/>
          <w:sz w:val="22"/>
        </w:rPr>
        <w:t> </w:t>
      </w:r>
      <w:r>
        <w:rPr>
          <w:rFonts w:ascii="Times New Roman" w:hAnsi="Times New Roman"/>
          <w:b w:val="false"/>
          <w:i/>
          <w:color w:val="000000"/>
          <w:sz w:val="22"/>
        </w:rPr>
        <w:t xml:space="preserve">Cooling water intake structures. </w:t>
      </w:r>
      <w:r>
        <w:rPr>
          <w:rFonts w:ascii="Times New Roman" w:hAnsi="Times New Roman"/>
          <w:b w:val="false"/>
          <w:i w:val="false"/>
          <w:color w:val="000000"/>
          <w:sz w:val="22"/>
        </w:rPr>
        <w:t>The following is adopted by reference: 40 CFR Part 125, Subparts I and J.</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62.4(3)</w:t>
      </w:r>
      <w:r>
        <w:rPr>
          <w:rFonts w:ascii="Times New Roman" w:hAnsi="Times New Roman"/>
          <w:b w:val="false"/>
          <w:i w:val="false"/>
          <w:color w:val="000000"/>
          <w:sz w:val="22"/>
        </w:rPr>
        <w:t> </w:t>
      </w:r>
      <w:r>
        <w:rPr>
          <w:rFonts w:ascii="Times New Roman" w:hAnsi="Times New Roman"/>
          <w:b w:val="false"/>
          <w:i/>
          <w:color w:val="000000"/>
          <w:sz w:val="22"/>
        </w:rPr>
        <w:t xml:space="preserve">General pretreatment regulations for existing and new sources of pollution. </w:t>
      </w:r>
      <w:r>
        <w:rPr>
          <w:rFonts w:ascii="Times New Roman" w:hAnsi="Times New Roman"/>
          <w:b w:val="false"/>
          <w:i w:val="false"/>
          <w:color w:val="000000"/>
          <w:sz w:val="22"/>
        </w:rPr>
        <w:t>The following is adopted by reference: 40 CFR Part 403.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62.4(4)</w:t>
      </w:r>
      <w:r>
        <w:rPr>
          <w:rFonts w:ascii="Times New Roman" w:hAnsi="Times New Roman"/>
          <w:b w:val="false"/>
          <w:i w:val="false"/>
          <w:color w:val="000000"/>
          <w:sz w:val="22"/>
        </w:rPr>
        <w:t> </w:t>
      </w:r>
      <w:r>
        <w:rPr>
          <w:rFonts w:ascii="Times New Roman" w:hAnsi="Times New Roman"/>
          <w:b w:val="false"/>
          <w:i/>
          <w:color w:val="000000"/>
          <w:sz w:val="22"/>
        </w:rPr>
        <w:t xml:space="preserve">Thermal discharges. </w:t>
      </w:r>
      <w:r>
        <w:rPr>
          <w:rFonts w:ascii="Times New Roman" w:hAnsi="Times New Roman"/>
          <w:b w:val="false"/>
          <w:i w:val="false"/>
          <w:color w:val="000000"/>
          <w:sz w:val="22"/>
        </w:rPr>
        <w:t>The following is adopted by reference: 40 CFR Part 125, Subpart 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62.4(5)</w:t>
      </w:r>
      <w:r>
        <w:rPr>
          <w:rFonts w:ascii="Times New Roman" w:hAnsi="Times New Roman"/>
          <w:b w:val="false"/>
          <w:i w:val="false"/>
          <w:color w:val="000000"/>
          <w:sz w:val="22"/>
        </w:rPr>
        <w:t> </w:t>
      </w:r>
      <w:r>
        <w:rPr>
          <w:rFonts w:ascii="Times New Roman" w:hAnsi="Times New Roman"/>
          <w:b w:val="false"/>
          <w:i/>
          <w:color w:val="000000"/>
          <w:sz w:val="22"/>
        </w:rPr>
        <w:t xml:space="preserve">Dairy products processing point source category. </w:t>
      </w:r>
      <w:r>
        <w:rPr>
          <w:rFonts w:ascii="Times New Roman" w:hAnsi="Times New Roman"/>
          <w:b w:val="false"/>
          <w:i w:val="false"/>
          <w:color w:val="000000"/>
          <w:sz w:val="22"/>
        </w:rPr>
        <w:t>The following is adopted by reference: 40 CFR Part 405.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62.4(6)</w:t>
      </w:r>
      <w:r>
        <w:rPr>
          <w:rFonts w:ascii="Times New Roman" w:hAnsi="Times New Roman"/>
          <w:b w:val="false"/>
          <w:i w:val="false"/>
          <w:color w:val="000000"/>
          <w:sz w:val="22"/>
        </w:rPr>
        <w:t> </w:t>
      </w:r>
      <w:r>
        <w:rPr>
          <w:rFonts w:ascii="Times New Roman" w:hAnsi="Times New Roman"/>
          <w:b w:val="false"/>
          <w:i/>
          <w:color w:val="000000"/>
          <w:sz w:val="22"/>
        </w:rPr>
        <w:t xml:space="preserve">Grain mills point source category. </w:t>
      </w:r>
      <w:r>
        <w:rPr>
          <w:rFonts w:ascii="Times New Roman" w:hAnsi="Times New Roman"/>
          <w:b w:val="false"/>
          <w:i w:val="false"/>
          <w:color w:val="000000"/>
          <w:sz w:val="22"/>
        </w:rPr>
        <w:t>The following is adopted by reference: 40 CFR Part 406.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62.4(7)</w:t>
      </w:r>
      <w:r>
        <w:rPr>
          <w:rFonts w:ascii="Times New Roman" w:hAnsi="Times New Roman"/>
          <w:b w:val="false"/>
          <w:i w:val="false"/>
          <w:color w:val="000000"/>
          <w:sz w:val="22"/>
        </w:rPr>
        <w:t> </w:t>
      </w:r>
      <w:r>
        <w:rPr>
          <w:rFonts w:ascii="Times New Roman" w:hAnsi="Times New Roman"/>
          <w:b w:val="false"/>
          <w:i/>
          <w:color w:val="000000"/>
          <w:sz w:val="22"/>
        </w:rPr>
        <w:t xml:space="preserve">Canned and preserved fruits and vegetables processing point source category. </w:t>
      </w:r>
      <w:r>
        <w:rPr>
          <w:rFonts w:ascii="Times New Roman" w:hAnsi="Times New Roman"/>
          <w:b w:val="false"/>
          <w:i w:val="false"/>
          <w:color w:val="000000"/>
          <w:sz w:val="22"/>
        </w:rPr>
        <w:t>The following is adopted by reference: 40 CFR Part 407.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62.4(8)</w:t>
      </w:r>
      <w:r>
        <w:rPr>
          <w:rFonts w:ascii="Times New Roman" w:hAnsi="Times New Roman"/>
          <w:b w:val="false"/>
          <w:i w:val="false"/>
          <w:color w:val="000000"/>
          <w:sz w:val="22"/>
        </w:rPr>
        <w:t> </w:t>
      </w:r>
      <w:r>
        <w:rPr>
          <w:rFonts w:ascii="Times New Roman" w:hAnsi="Times New Roman"/>
          <w:b w:val="false"/>
          <w:i/>
          <w:color w:val="000000"/>
          <w:sz w:val="22"/>
        </w:rPr>
        <w:t xml:space="preserve">Canned and preserved seafood processing point source category. </w:t>
      </w:r>
      <w:r>
        <w:rPr>
          <w:rFonts w:ascii="Times New Roman" w:hAnsi="Times New Roman"/>
          <w:b w:val="false"/>
          <w:i w:val="false"/>
          <w:color w:val="000000"/>
          <w:sz w:val="22"/>
        </w:rPr>
        <w:t>The following is adopted by reference: 40 CFR Part 408.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62.4(9)</w:t>
      </w:r>
      <w:r>
        <w:rPr>
          <w:rFonts w:ascii="Times New Roman" w:hAnsi="Times New Roman"/>
          <w:b w:val="false"/>
          <w:i w:val="false"/>
          <w:color w:val="000000"/>
          <w:sz w:val="22"/>
        </w:rPr>
        <w:t> </w:t>
      </w:r>
      <w:r>
        <w:rPr>
          <w:rFonts w:ascii="Times New Roman" w:hAnsi="Times New Roman"/>
          <w:b w:val="false"/>
          <w:i/>
          <w:color w:val="000000"/>
          <w:sz w:val="22"/>
        </w:rPr>
        <w:t xml:space="preserve">Sugar processing point source category. </w:t>
      </w:r>
      <w:r>
        <w:rPr>
          <w:rFonts w:ascii="Times New Roman" w:hAnsi="Times New Roman"/>
          <w:b w:val="false"/>
          <w:i w:val="false"/>
          <w:color w:val="000000"/>
          <w:sz w:val="22"/>
        </w:rPr>
        <w:t>The following is adopted by reference: 40 CFR Part 409.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62.4(10)</w:t>
      </w:r>
      <w:r>
        <w:rPr>
          <w:rFonts w:ascii="Times New Roman" w:hAnsi="Times New Roman"/>
          <w:b w:val="false"/>
          <w:i w:val="false"/>
          <w:color w:val="000000"/>
          <w:sz w:val="22"/>
        </w:rPr>
        <w:t> </w:t>
      </w:r>
      <w:r>
        <w:rPr>
          <w:rFonts w:ascii="Times New Roman" w:hAnsi="Times New Roman"/>
          <w:b w:val="false"/>
          <w:i/>
          <w:color w:val="000000"/>
          <w:sz w:val="22"/>
        </w:rPr>
        <w:t xml:space="preserve">Textile mills point source category. </w:t>
      </w:r>
      <w:r>
        <w:rPr>
          <w:rFonts w:ascii="Times New Roman" w:hAnsi="Times New Roman"/>
          <w:b w:val="false"/>
          <w:i w:val="false"/>
          <w:color w:val="000000"/>
          <w:sz w:val="22"/>
        </w:rPr>
        <w:t>The following is adopted by reference: 40 CFR Part 410.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62.4(11)</w:t>
      </w:r>
      <w:r>
        <w:rPr>
          <w:rFonts w:ascii="Times New Roman" w:hAnsi="Times New Roman"/>
          <w:b w:val="false"/>
          <w:i w:val="false"/>
          <w:color w:val="000000"/>
          <w:sz w:val="22"/>
        </w:rPr>
        <w:t> </w:t>
      </w:r>
      <w:r>
        <w:rPr>
          <w:rFonts w:ascii="Times New Roman" w:hAnsi="Times New Roman"/>
          <w:b w:val="false"/>
          <w:i/>
          <w:color w:val="000000"/>
          <w:sz w:val="22"/>
        </w:rPr>
        <w:t xml:space="preserve">Cement manufacturing point source category. </w:t>
      </w:r>
      <w:r>
        <w:rPr>
          <w:rFonts w:ascii="Times New Roman" w:hAnsi="Times New Roman"/>
          <w:b w:val="false"/>
          <w:i w:val="false"/>
          <w:color w:val="000000"/>
          <w:sz w:val="22"/>
        </w:rPr>
        <w:t>The following is adopted by reference: 40 CFR Part 411.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62.4(12)</w:t>
      </w:r>
      <w:r>
        <w:rPr>
          <w:rFonts w:ascii="Times New Roman" w:hAnsi="Times New Roman"/>
          <w:b w:val="false"/>
          <w:i w:val="false"/>
          <w:color w:val="000000"/>
          <w:sz w:val="22"/>
        </w:rPr>
        <w:t> </w:t>
      </w:r>
      <w:r>
        <w:rPr>
          <w:rFonts w:ascii="Times New Roman" w:hAnsi="Times New Roman"/>
          <w:b w:val="false"/>
          <w:i/>
          <w:color w:val="000000"/>
          <w:sz w:val="22"/>
        </w:rPr>
        <w:t xml:space="preserve">Concentrated animal feeding operations (CAFO) point source category. </w:t>
      </w:r>
      <w:r>
        <w:rPr>
          <w:rFonts w:ascii="Times New Roman" w:hAnsi="Times New Roman"/>
          <w:b w:val="false"/>
          <w:i w:val="false"/>
          <w:color w:val="000000"/>
          <w:sz w:val="22"/>
        </w:rPr>
        <w:t>The following is adopted by reference: 40 CFR Part 412.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62.4(13)</w:t>
      </w:r>
      <w:r>
        <w:rPr>
          <w:rFonts w:ascii="Times New Roman" w:hAnsi="Times New Roman"/>
          <w:b w:val="false"/>
          <w:i w:val="false"/>
          <w:color w:val="000000"/>
          <w:sz w:val="22"/>
        </w:rPr>
        <w:t> </w:t>
      </w:r>
      <w:r>
        <w:rPr>
          <w:rFonts w:ascii="Times New Roman" w:hAnsi="Times New Roman"/>
          <w:b w:val="false"/>
          <w:i/>
          <w:color w:val="000000"/>
          <w:sz w:val="22"/>
        </w:rPr>
        <w:t xml:space="preserve">Electroplating point source category. </w:t>
      </w:r>
      <w:r>
        <w:rPr>
          <w:rFonts w:ascii="Times New Roman" w:hAnsi="Times New Roman"/>
          <w:b w:val="false"/>
          <w:i w:val="false"/>
          <w:color w:val="000000"/>
          <w:sz w:val="22"/>
        </w:rPr>
        <w:t>The following is adopted by reference: 40 CFR Part 413.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62.4(14)</w:t>
      </w:r>
      <w:r>
        <w:rPr>
          <w:rFonts w:ascii="Times New Roman" w:hAnsi="Times New Roman"/>
          <w:b w:val="false"/>
          <w:i w:val="false"/>
          <w:color w:val="000000"/>
          <w:sz w:val="22"/>
        </w:rPr>
        <w:t> </w:t>
      </w:r>
      <w:r>
        <w:rPr>
          <w:rFonts w:ascii="Times New Roman" w:hAnsi="Times New Roman"/>
          <w:b w:val="false"/>
          <w:i/>
          <w:color w:val="000000"/>
          <w:sz w:val="22"/>
        </w:rPr>
        <w:t xml:space="preserve">Organic chemicals, plastics and synthetic fibers point source category. </w:t>
      </w:r>
      <w:r>
        <w:rPr>
          <w:rFonts w:ascii="Times New Roman" w:hAnsi="Times New Roman"/>
          <w:b w:val="false"/>
          <w:i w:val="false"/>
          <w:color w:val="000000"/>
          <w:sz w:val="22"/>
        </w:rPr>
        <w:t>The following is adopted by reference: 40 CFR Part 414.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62.4(15)</w:t>
      </w:r>
      <w:r>
        <w:rPr>
          <w:rFonts w:ascii="Times New Roman" w:hAnsi="Times New Roman"/>
          <w:b w:val="false"/>
          <w:i w:val="false"/>
          <w:color w:val="000000"/>
          <w:sz w:val="22"/>
        </w:rPr>
        <w:t> </w:t>
      </w:r>
      <w:r>
        <w:rPr>
          <w:rFonts w:ascii="Times New Roman" w:hAnsi="Times New Roman"/>
          <w:b w:val="false"/>
          <w:i/>
          <w:color w:val="000000"/>
          <w:sz w:val="22"/>
        </w:rPr>
        <w:t xml:space="preserve">Inorganic chemicals manufacturing point source category. </w:t>
      </w:r>
      <w:r>
        <w:rPr>
          <w:rFonts w:ascii="Times New Roman" w:hAnsi="Times New Roman"/>
          <w:b w:val="false"/>
          <w:i w:val="false"/>
          <w:color w:val="000000"/>
          <w:sz w:val="22"/>
        </w:rPr>
        <w:t>The following is adopted by reference: 40 CFR Part 415.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62.4(16)</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62.4(17)</w:t>
      </w:r>
      <w:r>
        <w:rPr>
          <w:rFonts w:ascii="Times New Roman" w:hAnsi="Times New Roman"/>
          <w:b w:val="false"/>
          <w:i w:val="false"/>
          <w:color w:val="000000"/>
          <w:sz w:val="22"/>
        </w:rPr>
        <w:t> </w:t>
      </w:r>
      <w:r>
        <w:rPr>
          <w:rFonts w:ascii="Times New Roman" w:hAnsi="Times New Roman"/>
          <w:b w:val="false"/>
          <w:i/>
          <w:color w:val="000000"/>
          <w:sz w:val="22"/>
        </w:rPr>
        <w:t xml:space="preserve">Soap and detergent manufacturing point source category. </w:t>
      </w:r>
      <w:r>
        <w:rPr>
          <w:rFonts w:ascii="Times New Roman" w:hAnsi="Times New Roman"/>
          <w:b w:val="false"/>
          <w:i w:val="false"/>
          <w:color w:val="000000"/>
          <w:sz w:val="22"/>
        </w:rPr>
        <w:t>The following is adopted by reference: 40 CFR Part 417.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62.4(18)</w:t>
      </w:r>
      <w:r>
        <w:rPr>
          <w:rFonts w:ascii="Times New Roman" w:hAnsi="Times New Roman"/>
          <w:b w:val="false"/>
          <w:i w:val="false"/>
          <w:color w:val="000000"/>
          <w:sz w:val="22"/>
        </w:rPr>
        <w:t> </w:t>
      </w:r>
      <w:r>
        <w:rPr>
          <w:rFonts w:ascii="Times New Roman" w:hAnsi="Times New Roman"/>
          <w:b w:val="false"/>
          <w:i/>
          <w:color w:val="000000"/>
          <w:sz w:val="22"/>
        </w:rPr>
        <w:t xml:space="preserve">Fertilizer manufacturing point source category. </w:t>
      </w:r>
      <w:r>
        <w:rPr>
          <w:rFonts w:ascii="Times New Roman" w:hAnsi="Times New Roman"/>
          <w:b w:val="false"/>
          <w:i w:val="false"/>
          <w:color w:val="000000"/>
          <w:sz w:val="22"/>
        </w:rPr>
        <w:t>The following is adopted by reference: 40 CFR Part 418.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62.4(19)</w:t>
      </w:r>
      <w:r>
        <w:rPr>
          <w:rFonts w:ascii="Times New Roman" w:hAnsi="Times New Roman"/>
          <w:b w:val="false"/>
          <w:i w:val="false"/>
          <w:color w:val="000000"/>
          <w:sz w:val="22"/>
        </w:rPr>
        <w:t> </w:t>
      </w:r>
      <w:r>
        <w:rPr>
          <w:rFonts w:ascii="Times New Roman" w:hAnsi="Times New Roman"/>
          <w:b w:val="false"/>
          <w:i/>
          <w:color w:val="000000"/>
          <w:sz w:val="22"/>
        </w:rPr>
        <w:t xml:space="preserve">Petroleum refining point source category. </w:t>
      </w:r>
      <w:r>
        <w:rPr>
          <w:rFonts w:ascii="Times New Roman" w:hAnsi="Times New Roman"/>
          <w:b w:val="false"/>
          <w:i w:val="false"/>
          <w:color w:val="000000"/>
          <w:sz w:val="22"/>
        </w:rPr>
        <w:t>The following is adopted by reference: 40 CFR Part 419.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62.4(20)</w:t>
      </w:r>
      <w:r>
        <w:rPr>
          <w:rFonts w:ascii="Times New Roman" w:hAnsi="Times New Roman"/>
          <w:b w:val="false"/>
          <w:i w:val="false"/>
          <w:color w:val="000000"/>
          <w:sz w:val="22"/>
        </w:rPr>
        <w:t> </w:t>
      </w:r>
      <w:r>
        <w:rPr>
          <w:rFonts w:ascii="Times New Roman" w:hAnsi="Times New Roman"/>
          <w:b w:val="false"/>
          <w:i/>
          <w:color w:val="000000"/>
          <w:sz w:val="22"/>
        </w:rPr>
        <w:t xml:space="preserve">Iron and steel manufacturing point source category. </w:t>
      </w:r>
      <w:r>
        <w:rPr>
          <w:rFonts w:ascii="Times New Roman" w:hAnsi="Times New Roman"/>
          <w:b w:val="false"/>
          <w:i w:val="false"/>
          <w:color w:val="000000"/>
          <w:sz w:val="22"/>
        </w:rPr>
        <w:t>The following is adopted by reference: 40 CFR Part 420.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62.4(21)</w:t>
      </w:r>
      <w:r>
        <w:rPr>
          <w:rFonts w:ascii="Times New Roman" w:hAnsi="Times New Roman"/>
          <w:b w:val="false"/>
          <w:i w:val="false"/>
          <w:color w:val="000000"/>
          <w:sz w:val="22"/>
        </w:rPr>
        <w:t> </w:t>
      </w:r>
      <w:r>
        <w:rPr>
          <w:rFonts w:ascii="Times New Roman" w:hAnsi="Times New Roman"/>
          <w:b w:val="false"/>
          <w:i/>
          <w:color w:val="000000"/>
          <w:sz w:val="22"/>
        </w:rPr>
        <w:t xml:space="preserve">Nonferrous metals manufacturing point source category. </w:t>
      </w:r>
      <w:r>
        <w:rPr>
          <w:rFonts w:ascii="Times New Roman" w:hAnsi="Times New Roman"/>
          <w:b w:val="false"/>
          <w:i w:val="false"/>
          <w:color w:val="000000"/>
          <w:sz w:val="22"/>
        </w:rPr>
        <w:t>The following is adopted by reference: 40 CFR Part 421.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62.4(22)</w:t>
      </w:r>
      <w:r>
        <w:rPr>
          <w:rFonts w:ascii="Times New Roman" w:hAnsi="Times New Roman"/>
          <w:b w:val="false"/>
          <w:i w:val="false"/>
          <w:color w:val="000000"/>
          <w:sz w:val="22"/>
        </w:rPr>
        <w:t> </w:t>
      </w:r>
      <w:r>
        <w:rPr>
          <w:rFonts w:ascii="Times New Roman" w:hAnsi="Times New Roman"/>
          <w:b w:val="false"/>
          <w:i/>
          <w:color w:val="000000"/>
          <w:sz w:val="22"/>
        </w:rPr>
        <w:t xml:space="preserve">Phosphate manufacturing point source category. </w:t>
      </w:r>
      <w:r>
        <w:rPr>
          <w:rFonts w:ascii="Times New Roman" w:hAnsi="Times New Roman"/>
          <w:b w:val="false"/>
          <w:i w:val="false"/>
          <w:color w:val="000000"/>
          <w:sz w:val="22"/>
        </w:rPr>
        <w:t>The following is adopted by reference: 40 CFR Part 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62.4(23)</w:t>
      </w:r>
      <w:r>
        <w:rPr>
          <w:rFonts w:ascii="Times New Roman" w:hAnsi="Times New Roman"/>
          <w:b w:val="false"/>
          <w:i w:val="false"/>
          <w:color w:val="000000"/>
          <w:sz w:val="22"/>
        </w:rPr>
        <w:t> </w:t>
      </w:r>
      <w:r>
        <w:rPr>
          <w:rFonts w:ascii="Times New Roman" w:hAnsi="Times New Roman"/>
          <w:b w:val="false"/>
          <w:i/>
          <w:color w:val="000000"/>
          <w:sz w:val="22"/>
        </w:rPr>
        <w:t xml:space="preserve">Steam electric power generating point source category. </w:t>
      </w:r>
      <w:r>
        <w:rPr>
          <w:rFonts w:ascii="Times New Roman" w:hAnsi="Times New Roman"/>
          <w:b w:val="false"/>
          <w:i w:val="false"/>
          <w:color w:val="000000"/>
          <w:sz w:val="22"/>
        </w:rPr>
        <w:t>The following is adopted by reference: 40 CFR Part 423.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62.4(24)</w:t>
      </w:r>
      <w:r>
        <w:rPr>
          <w:rFonts w:ascii="Times New Roman" w:hAnsi="Times New Roman"/>
          <w:b w:val="false"/>
          <w:i w:val="false"/>
          <w:color w:val="000000"/>
          <w:sz w:val="22"/>
        </w:rPr>
        <w:t> </w:t>
      </w:r>
      <w:r>
        <w:rPr>
          <w:rFonts w:ascii="Times New Roman" w:hAnsi="Times New Roman"/>
          <w:b w:val="false"/>
          <w:i/>
          <w:color w:val="000000"/>
          <w:sz w:val="22"/>
        </w:rPr>
        <w:t xml:space="preserve">Ferroalloy manufacturing point source category. </w:t>
      </w:r>
      <w:r>
        <w:rPr>
          <w:rFonts w:ascii="Times New Roman" w:hAnsi="Times New Roman"/>
          <w:b w:val="false"/>
          <w:i w:val="false"/>
          <w:color w:val="000000"/>
          <w:sz w:val="22"/>
        </w:rPr>
        <w:t>The following is adopted by reference: 40 CFR Part 424.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62.4(25)</w:t>
      </w:r>
      <w:r>
        <w:rPr>
          <w:rFonts w:ascii="Times New Roman" w:hAnsi="Times New Roman"/>
          <w:b w:val="false"/>
          <w:i w:val="false"/>
          <w:color w:val="000000"/>
          <w:sz w:val="22"/>
        </w:rPr>
        <w:t> </w:t>
      </w:r>
      <w:r>
        <w:rPr>
          <w:rFonts w:ascii="Times New Roman" w:hAnsi="Times New Roman"/>
          <w:b w:val="false"/>
          <w:i/>
          <w:color w:val="000000"/>
          <w:sz w:val="22"/>
        </w:rPr>
        <w:t xml:space="preserve">Leather tanning and finishing point source category. </w:t>
      </w:r>
      <w:r>
        <w:rPr>
          <w:rFonts w:ascii="Times New Roman" w:hAnsi="Times New Roman"/>
          <w:b w:val="false"/>
          <w:i w:val="false"/>
          <w:color w:val="000000"/>
          <w:sz w:val="22"/>
        </w:rPr>
        <w:t>The following is adopted by reference: 40 CFR Part 425.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62.4(26)</w:t>
      </w:r>
      <w:r>
        <w:rPr>
          <w:rFonts w:ascii="Times New Roman" w:hAnsi="Times New Roman"/>
          <w:b w:val="false"/>
          <w:i w:val="false"/>
          <w:color w:val="000000"/>
          <w:sz w:val="22"/>
        </w:rPr>
        <w:t> </w:t>
      </w:r>
      <w:r>
        <w:rPr>
          <w:rFonts w:ascii="Times New Roman" w:hAnsi="Times New Roman"/>
          <w:b w:val="false"/>
          <w:i/>
          <w:color w:val="000000"/>
          <w:sz w:val="22"/>
        </w:rPr>
        <w:t xml:space="preserve">Glass manufacturing point source category. </w:t>
      </w:r>
      <w:r>
        <w:rPr>
          <w:rFonts w:ascii="Times New Roman" w:hAnsi="Times New Roman"/>
          <w:b w:val="false"/>
          <w:i w:val="false"/>
          <w:color w:val="000000"/>
          <w:sz w:val="22"/>
        </w:rPr>
        <w:t>The following is adopted by reference: 40 CFR Part 426.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62.4(27)</w:t>
      </w:r>
      <w:r>
        <w:rPr>
          <w:rFonts w:ascii="Times New Roman" w:hAnsi="Times New Roman"/>
          <w:b w:val="false"/>
          <w:i w:val="false"/>
          <w:color w:val="000000"/>
          <w:sz w:val="22"/>
        </w:rPr>
        <w:t> </w:t>
      </w:r>
      <w:r>
        <w:rPr>
          <w:rFonts w:ascii="Times New Roman" w:hAnsi="Times New Roman"/>
          <w:b w:val="false"/>
          <w:i/>
          <w:color w:val="000000"/>
          <w:sz w:val="22"/>
        </w:rPr>
        <w:t xml:space="preserve">Asbestos manufacturing point source category. </w:t>
      </w:r>
      <w:r>
        <w:rPr>
          <w:rFonts w:ascii="Times New Roman" w:hAnsi="Times New Roman"/>
          <w:b w:val="false"/>
          <w:i w:val="false"/>
          <w:color w:val="000000"/>
          <w:sz w:val="22"/>
        </w:rPr>
        <w:t>The following is adopted by reference: 40 CFR Part 427.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62.4(28)</w:t>
      </w:r>
      <w:r>
        <w:rPr>
          <w:rFonts w:ascii="Times New Roman" w:hAnsi="Times New Roman"/>
          <w:b w:val="false"/>
          <w:i w:val="false"/>
          <w:color w:val="000000"/>
          <w:sz w:val="22"/>
        </w:rPr>
        <w:t> </w:t>
      </w:r>
      <w:r>
        <w:rPr>
          <w:rFonts w:ascii="Times New Roman" w:hAnsi="Times New Roman"/>
          <w:b w:val="false"/>
          <w:i/>
          <w:color w:val="000000"/>
          <w:sz w:val="22"/>
        </w:rPr>
        <w:t xml:space="preserve">Rubber manufacturing point source category. </w:t>
      </w:r>
      <w:r>
        <w:rPr>
          <w:rFonts w:ascii="Times New Roman" w:hAnsi="Times New Roman"/>
          <w:b w:val="false"/>
          <w:i w:val="false"/>
          <w:color w:val="000000"/>
          <w:sz w:val="22"/>
        </w:rPr>
        <w:t>The following is adopted by reference: 40 CFR Part 428.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62.4(29)</w:t>
      </w:r>
      <w:r>
        <w:rPr>
          <w:rFonts w:ascii="Times New Roman" w:hAnsi="Times New Roman"/>
          <w:b w:val="false"/>
          <w:i w:val="false"/>
          <w:color w:val="000000"/>
          <w:sz w:val="22"/>
        </w:rPr>
        <w:t> </w:t>
      </w:r>
      <w:r>
        <w:rPr>
          <w:rFonts w:ascii="Times New Roman" w:hAnsi="Times New Roman"/>
          <w:b w:val="false"/>
          <w:i/>
          <w:color w:val="000000"/>
          <w:sz w:val="22"/>
        </w:rPr>
        <w:t xml:space="preserve">Timber products processing point source category. </w:t>
      </w:r>
      <w:r>
        <w:rPr>
          <w:rFonts w:ascii="Times New Roman" w:hAnsi="Times New Roman"/>
          <w:b w:val="false"/>
          <w:i w:val="false"/>
          <w:color w:val="000000"/>
          <w:sz w:val="22"/>
        </w:rPr>
        <w:t>The following is adopted by reference: 40 CFR Part 429.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62.4(30)</w:t>
      </w:r>
      <w:r>
        <w:rPr>
          <w:rFonts w:ascii="Times New Roman" w:hAnsi="Times New Roman"/>
          <w:b w:val="false"/>
          <w:i w:val="false"/>
          <w:color w:val="000000"/>
          <w:sz w:val="22"/>
        </w:rPr>
        <w:t> </w:t>
      </w:r>
      <w:r>
        <w:rPr>
          <w:rFonts w:ascii="Times New Roman" w:hAnsi="Times New Roman"/>
          <w:b w:val="false"/>
          <w:i/>
          <w:color w:val="000000"/>
          <w:sz w:val="22"/>
        </w:rPr>
        <w:t xml:space="preserve">Pulp, paper and paperboard point source category. </w:t>
      </w:r>
      <w:r>
        <w:rPr>
          <w:rFonts w:ascii="Times New Roman" w:hAnsi="Times New Roman"/>
          <w:b w:val="false"/>
          <w:i w:val="false"/>
          <w:color w:val="000000"/>
          <w:sz w:val="22"/>
        </w:rPr>
        <w:t>The following is adopted by reference: 40 CFR Part 430.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62.4(31)</w:t>
      </w:r>
      <w:r>
        <w:rPr>
          <w:rFonts w:ascii="Times New Roman" w:hAnsi="Times New Roman"/>
          <w:b w:val="false"/>
          <w:i w:val="false"/>
          <w:color w:val="000000"/>
          <w:sz w:val="22"/>
        </w:rPr>
        <w:t> </w:t>
      </w:r>
      <w:r>
        <w:rPr>
          <w:rFonts w:ascii="Times New Roman" w:hAnsi="Times New Roman"/>
          <w:b w:val="false"/>
          <w:i/>
          <w:color w:val="000000"/>
          <w:sz w:val="22"/>
        </w:rPr>
        <w:t xml:space="preserve">Builders paper and roofing felt segment of the builders paper and board mills point source category.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62.4(32)</w:t>
      </w:r>
      <w:r>
        <w:rPr>
          <w:rFonts w:ascii="Times New Roman" w:hAnsi="Times New Roman"/>
          <w:b w:val="false"/>
          <w:i w:val="false"/>
          <w:color w:val="000000"/>
          <w:sz w:val="22"/>
        </w:rPr>
        <w:t> </w:t>
      </w:r>
      <w:r>
        <w:rPr>
          <w:rFonts w:ascii="Times New Roman" w:hAnsi="Times New Roman"/>
          <w:b w:val="false"/>
          <w:i/>
          <w:color w:val="000000"/>
          <w:sz w:val="22"/>
        </w:rPr>
        <w:t xml:space="preserve">Meat and poultry products point source category. </w:t>
      </w:r>
      <w:r>
        <w:rPr>
          <w:rFonts w:ascii="Times New Roman" w:hAnsi="Times New Roman"/>
          <w:b w:val="false"/>
          <w:i w:val="false"/>
          <w:color w:val="000000"/>
          <w:sz w:val="22"/>
        </w:rPr>
        <w:t>The following is adopted by reference: 40 CFR Part 432.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62.4(33)</w:t>
      </w:r>
      <w:r>
        <w:rPr>
          <w:rFonts w:ascii="Times New Roman" w:hAnsi="Times New Roman"/>
          <w:b w:val="false"/>
          <w:i w:val="false"/>
          <w:color w:val="000000"/>
          <w:sz w:val="22"/>
        </w:rPr>
        <w:t> </w:t>
      </w:r>
      <w:r>
        <w:rPr>
          <w:rFonts w:ascii="Times New Roman" w:hAnsi="Times New Roman"/>
          <w:b w:val="false"/>
          <w:i/>
          <w:color w:val="000000"/>
          <w:sz w:val="22"/>
        </w:rPr>
        <w:t xml:space="preserve">Metal finishing point source category. </w:t>
      </w:r>
      <w:r>
        <w:rPr>
          <w:rFonts w:ascii="Times New Roman" w:hAnsi="Times New Roman"/>
          <w:b w:val="false"/>
          <w:i w:val="false"/>
          <w:color w:val="000000"/>
          <w:sz w:val="22"/>
        </w:rPr>
        <w:t>The following is adopted by reference: 40 CFR Part 433.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62.4(34)</w:t>
      </w:r>
      <w:r>
        <w:rPr>
          <w:rFonts w:ascii="Times New Roman" w:hAnsi="Times New Roman"/>
          <w:b w:val="false"/>
          <w:i w:val="false"/>
          <w:color w:val="000000"/>
          <w:sz w:val="22"/>
        </w:rPr>
        <w:t> </w:t>
      </w:r>
      <w:r>
        <w:rPr>
          <w:rFonts w:ascii="Times New Roman" w:hAnsi="Times New Roman"/>
          <w:b w:val="false"/>
          <w:i/>
          <w:color w:val="000000"/>
          <w:sz w:val="22"/>
        </w:rPr>
        <w:t xml:space="preserve">Coal mining point source category. </w:t>
      </w:r>
      <w:r>
        <w:rPr>
          <w:rFonts w:ascii="Times New Roman" w:hAnsi="Times New Roman"/>
          <w:b w:val="false"/>
          <w:i w:val="false"/>
          <w:color w:val="000000"/>
          <w:sz w:val="22"/>
        </w:rPr>
        <w:t>The following is adopted by reference: 40 CFR Part 434.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62.4(35)</w:t>
      </w:r>
      <w:r>
        <w:rPr>
          <w:rFonts w:ascii="Times New Roman" w:hAnsi="Times New Roman"/>
          <w:b w:val="false"/>
          <w:i w:val="false"/>
          <w:color w:val="000000"/>
          <w:sz w:val="22"/>
        </w:rPr>
        <w:t> </w:t>
      </w:r>
      <w:r>
        <w:rPr>
          <w:rFonts w:ascii="Times New Roman" w:hAnsi="Times New Roman"/>
          <w:b w:val="false"/>
          <w:i/>
          <w:color w:val="000000"/>
          <w:sz w:val="22"/>
        </w:rPr>
        <w:t xml:space="preserve">Oil and gas extraction point source category. </w:t>
      </w:r>
      <w:r>
        <w:rPr>
          <w:rFonts w:ascii="Times New Roman" w:hAnsi="Times New Roman"/>
          <w:b w:val="false"/>
          <w:i w:val="false"/>
          <w:color w:val="000000"/>
          <w:sz w:val="22"/>
        </w:rPr>
        <w:t>The following is adopted by reference: 40 CFR Part 435.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62.4(36)</w:t>
      </w:r>
      <w:r>
        <w:rPr>
          <w:rFonts w:ascii="Times New Roman" w:hAnsi="Times New Roman"/>
          <w:b w:val="false"/>
          <w:i w:val="false"/>
          <w:color w:val="000000"/>
          <w:sz w:val="22"/>
        </w:rPr>
        <w:t> </w:t>
      </w:r>
      <w:r>
        <w:rPr>
          <w:rFonts w:ascii="Times New Roman" w:hAnsi="Times New Roman"/>
          <w:b w:val="false"/>
          <w:i/>
          <w:color w:val="000000"/>
          <w:sz w:val="22"/>
        </w:rPr>
        <w:t xml:space="preserve">Mineral mining and processing point source category. </w:t>
      </w:r>
      <w:r>
        <w:rPr>
          <w:rFonts w:ascii="Times New Roman" w:hAnsi="Times New Roman"/>
          <w:b w:val="false"/>
          <w:i w:val="false"/>
          <w:color w:val="000000"/>
          <w:sz w:val="22"/>
        </w:rPr>
        <w:t>The following is adopted by reference: 40 CFR Part 436.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62.4(37)</w:t>
      </w:r>
      <w:r>
        <w:rPr>
          <w:rFonts w:ascii="Times New Roman" w:hAnsi="Times New Roman"/>
          <w:b w:val="false"/>
          <w:i w:val="false"/>
          <w:color w:val="000000"/>
          <w:sz w:val="22"/>
        </w:rPr>
        <w:t> </w:t>
      </w:r>
      <w:r>
        <w:rPr>
          <w:rFonts w:ascii="Times New Roman" w:hAnsi="Times New Roman"/>
          <w:b w:val="false"/>
          <w:i/>
          <w:color w:val="000000"/>
          <w:sz w:val="22"/>
        </w:rPr>
        <w:t xml:space="preserve">Centralized waste treatment point source category. </w:t>
      </w:r>
      <w:r>
        <w:rPr>
          <w:rFonts w:ascii="Times New Roman" w:hAnsi="Times New Roman"/>
          <w:b w:val="false"/>
          <w:i w:val="false"/>
          <w:color w:val="000000"/>
          <w:sz w:val="22"/>
        </w:rPr>
        <w:t>The following is adopted by reference: 40 CFR Part 437.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62.4(38)</w:t>
      </w:r>
      <w:r>
        <w:rPr>
          <w:rFonts w:ascii="Times New Roman" w:hAnsi="Times New Roman"/>
          <w:b w:val="false"/>
          <w:i w:val="false"/>
          <w:color w:val="000000"/>
          <w:sz w:val="22"/>
        </w:rPr>
        <w:t> </w:t>
      </w:r>
      <w:r>
        <w:rPr>
          <w:rFonts w:ascii="Times New Roman" w:hAnsi="Times New Roman"/>
          <w:b w:val="false"/>
          <w:i/>
          <w:color w:val="000000"/>
          <w:sz w:val="22"/>
        </w:rPr>
        <w:t xml:space="preserve">Metal products and machinery point source category. </w:t>
      </w:r>
      <w:r>
        <w:rPr>
          <w:rFonts w:ascii="Times New Roman" w:hAnsi="Times New Roman"/>
          <w:b w:val="false"/>
          <w:i w:val="false"/>
          <w:color w:val="000000"/>
          <w:sz w:val="22"/>
        </w:rPr>
        <w:t>The following is adopted by reference: 40 CFR Part 438.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62.4(39)</w:t>
      </w:r>
      <w:r>
        <w:rPr>
          <w:rFonts w:ascii="Times New Roman" w:hAnsi="Times New Roman"/>
          <w:b w:val="false"/>
          <w:i w:val="false"/>
          <w:color w:val="000000"/>
          <w:sz w:val="22"/>
        </w:rPr>
        <w:t> </w:t>
      </w:r>
      <w:r>
        <w:rPr>
          <w:rFonts w:ascii="Times New Roman" w:hAnsi="Times New Roman"/>
          <w:b w:val="false"/>
          <w:i/>
          <w:color w:val="000000"/>
          <w:sz w:val="22"/>
        </w:rPr>
        <w:t xml:space="preserve">Pharmaceutical manufacturing point source category. </w:t>
      </w:r>
      <w:r>
        <w:rPr>
          <w:rFonts w:ascii="Times New Roman" w:hAnsi="Times New Roman"/>
          <w:b w:val="false"/>
          <w:i w:val="false"/>
          <w:color w:val="000000"/>
          <w:sz w:val="22"/>
        </w:rPr>
        <w:t>The following is adopted by reference: 40 CFR Part 439.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62.4(40)</w:t>
      </w:r>
      <w:r>
        <w:rPr>
          <w:rFonts w:ascii="Times New Roman" w:hAnsi="Times New Roman"/>
          <w:b w:val="false"/>
          <w:i w:val="false"/>
          <w:color w:val="000000"/>
          <w:sz w:val="22"/>
        </w:rPr>
        <w:t> </w:t>
      </w:r>
      <w:r>
        <w:rPr>
          <w:rFonts w:ascii="Times New Roman" w:hAnsi="Times New Roman"/>
          <w:b w:val="false"/>
          <w:i/>
          <w:color w:val="000000"/>
          <w:sz w:val="22"/>
        </w:rPr>
        <w:t xml:space="preserve">Ore mining and dressing point source category. </w:t>
      </w:r>
      <w:r>
        <w:rPr>
          <w:rFonts w:ascii="Times New Roman" w:hAnsi="Times New Roman"/>
          <w:b w:val="false"/>
          <w:i w:val="false"/>
          <w:color w:val="000000"/>
          <w:sz w:val="22"/>
        </w:rPr>
        <w:t>The following is adopted by reference: 40 CFR Part 440.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62.4(41)</w:t>
      </w:r>
      <w:r>
        <w:rPr>
          <w:rFonts w:ascii="Times New Roman" w:hAnsi="Times New Roman"/>
          <w:b w:val="false"/>
          <w:i w:val="false"/>
          <w:color w:val="000000"/>
          <w:sz w:val="22"/>
        </w:rPr>
        <w:t> </w:t>
      </w:r>
      <w:r>
        <w:rPr>
          <w:rFonts w:ascii="Times New Roman" w:hAnsi="Times New Roman"/>
          <w:b w:val="false"/>
          <w:i/>
          <w:color w:val="000000"/>
          <w:sz w:val="22"/>
        </w:rPr>
        <w:t xml:space="preserve">Dental office point source category. </w:t>
      </w:r>
      <w:r>
        <w:rPr>
          <w:rFonts w:ascii="Times New Roman" w:hAnsi="Times New Roman"/>
          <w:b w:val="false"/>
          <w:i w:val="false"/>
          <w:color w:val="000000"/>
          <w:sz w:val="22"/>
        </w:rPr>
        <w:t>The following is adopted by reference: 40 CFR Part 441.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62.4(42)</w:t>
      </w:r>
      <w:r>
        <w:rPr>
          <w:rFonts w:ascii="Times New Roman" w:hAnsi="Times New Roman"/>
          <w:b w:val="false"/>
          <w:i w:val="false"/>
          <w:color w:val="000000"/>
          <w:sz w:val="22"/>
        </w:rPr>
        <w:t> </w:t>
      </w:r>
      <w:r>
        <w:rPr>
          <w:rFonts w:ascii="Times New Roman" w:hAnsi="Times New Roman"/>
          <w:b w:val="false"/>
          <w:i/>
          <w:color w:val="000000"/>
          <w:sz w:val="22"/>
        </w:rPr>
        <w:t xml:space="preserve">Transportation equipment cleaning point source category. </w:t>
      </w:r>
      <w:r>
        <w:rPr>
          <w:rFonts w:ascii="Times New Roman" w:hAnsi="Times New Roman"/>
          <w:b w:val="false"/>
          <w:i w:val="false"/>
          <w:color w:val="000000"/>
          <w:sz w:val="22"/>
        </w:rPr>
        <w:t>The following is adopted by reference: 40 CFR Part 442.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62.4(43)</w:t>
      </w:r>
      <w:r>
        <w:rPr>
          <w:rFonts w:ascii="Times New Roman" w:hAnsi="Times New Roman"/>
          <w:b w:val="false"/>
          <w:i w:val="false"/>
          <w:color w:val="000000"/>
          <w:sz w:val="22"/>
        </w:rPr>
        <w:t> </w:t>
      </w:r>
      <w:r>
        <w:rPr>
          <w:rFonts w:ascii="Times New Roman" w:hAnsi="Times New Roman"/>
          <w:b w:val="false"/>
          <w:i/>
          <w:color w:val="000000"/>
          <w:sz w:val="22"/>
        </w:rPr>
        <w:t xml:space="preserve">Paving and roofing materials (tars and asphalt) point source category. </w:t>
      </w:r>
      <w:r>
        <w:rPr>
          <w:rFonts w:ascii="Times New Roman" w:hAnsi="Times New Roman"/>
          <w:b w:val="false"/>
          <w:i w:val="false"/>
          <w:color w:val="000000"/>
          <w:sz w:val="22"/>
        </w:rPr>
        <w:t>The following is adopted by reference: 40 CFR Part 443.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62.4(44)</w:t>
      </w:r>
      <w:r>
        <w:rPr>
          <w:rFonts w:ascii="Times New Roman" w:hAnsi="Times New Roman"/>
          <w:b w:val="false"/>
          <w:i w:val="false"/>
          <w:color w:val="000000"/>
          <w:sz w:val="22"/>
        </w:rPr>
        <w:t> </w:t>
      </w:r>
      <w:r>
        <w:rPr>
          <w:rFonts w:ascii="Times New Roman" w:hAnsi="Times New Roman"/>
          <w:b w:val="false"/>
          <w:i/>
          <w:color w:val="000000"/>
          <w:sz w:val="22"/>
        </w:rPr>
        <w:t xml:space="preserve">Waste combustors point source category. </w:t>
      </w:r>
      <w:r>
        <w:rPr>
          <w:rFonts w:ascii="Times New Roman" w:hAnsi="Times New Roman"/>
          <w:b w:val="false"/>
          <w:i w:val="false"/>
          <w:color w:val="000000"/>
          <w:sz w:val="22"/>
        </w:rPr>
        <w:t>The following is adopted by reference: 40 CFR Part 444.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62.4(45)</w:t>
      </w:r>
      <w:r>
        <w:rPr>
          <w:rFonts w:ascii="Times New Roman" w:hAnsi="Times New Roman"/>
          <w:b w:val="false"/>
          <w:i w:val="false"/>
          <w:color w:val="000000"/>
          <w:sz w:val="22"/>
        </w:rPr>
        <w:t> </w:t>
      </w:r>
      <w:r>
        <w:rPr>
          <w:rFonts w:ascii="Times New Roman" w:hAnsi="Times New Roman"/>
          <w:b w:val="false"/>
          <w:i/>
          <w:color w:val="000000"/>
          <w:sz w:val="22"/>
        </w:rPr>
        <w:t xml:space="preserve">Landfills point source category. </w:t>
      </w:r>
      <w:r>
        <w:rPr>
          <w:rFonts w:ascii="Times New Roman" w:hAnsi="Times New Roman"/>
          <w:b w:val="false"/>
          <w:i w:val="false"/>
          <w:color w:val="000000"/>
          <w:sz w:val="22"/>
        </w:rPr>
        <w:t>The following is adopted by reference: 40 CFR Part 445.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62.4(46)</w:t>
      </w:r>
      <w:r>
        <w:rPr>
          <w:rFonts w:ascii="Times New Roman" w:hAnsi="Times New Roman"/>
          <w:b w:val="false"/>
          <w:i w:val="false"/>
          <w:color w:val="000000"/>
          <w:sz w:val="22"/>
        </w:rPr>
        <w:t> </w:t>
      </w:r>
      <w:r>
        <w:rPr>
          <w:rFonts w:ascii="Times New Roman" w:hAnsi="Times New Roman"/>
          <w:b w:val="false"/>
          <w:i/>
          <w:color w:val="000000"/>
          <w:sz w:val="22"/>
        </w:rPr>
        <w:t xml:space="preserve">Paint formulating point source category. </w:t>
      </w:r>
      <w:r>
        <w:rPr>
          <w:rFonts w:ascii="Times New Roman" w:hAnsi="Times New Roman"/>
          <w:b w:val="false"/>
          <w:i w:val="false"/>
          <w:color w:val="000000"/>
          <w:sz w:val="22"/>
        </w:rPr>
        <w:t>The following is adopted by reference: 40 CFR Part 446.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62.4(47)</w:t>
      </w:r>
      <w:r>
        <w:rPr>
          <w:rFonts w:ascii="Times New Roman" w:hAnsi="Times New Roman"/>
          <w:b w:val="false"/>
          <w:i w:val="false"/>
          <w:color w:val="000000"/>
          <w:sz w:val="22"/>
        </w:rPr>
        <w:t> </w:t>
      </w:r>
      <w:r>
        <w:rPr>
          <w:rFonts w:ascii="Times New Roman" w:hAnsi="Times New Roman"/>
          <w:b w:val="false"/>
          <w:i/>
          <w:color w:val="000000"/>
          <w:sz w:val="22"/>
        </w:rPr>
        <w:t xml:space="preserve">Ink formulating point source category. </w:t>
      </w:r>
      <w:r>
        <w:rPr>
          <w:rFonts w:ascii="Times New Roman" w:hAnsi="Times New Roman"/>
          <w:b w:val="false"/>
          <w:i w:val="false"/>
          <w:color w:val="000000"/>
          <w:sz w:val="22"/>
        </w:rPr>
        <w:t>The following is adopted by reference: 40 CFR Part 447.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62.4(48)</w:t>
      </w:r>
      <w:r>
        <w:rPr>
          <w:rFonts w:ascii="Times New Roman" w:hAnsi="Times New Roman"/>
          <w:b w:val="false"/>
          <w:i w:val="false"/>
          <w:color w:val="000000"/>
          <w:sz w:val="22"/>
        </w:rPr>
        <w:t> </w:t>
      </w:r>
      <w:r>
        <w:rPr>
          <w:rFonts w:ascii="Times New Roman" w:hAnsi="Times New Roman"/>
          <w:b w:val="false"/>
          <w:i/>
          <w:color w:val="000000"/>
          <w:sz w:val="22"/>
        </w:rPr>
        <w:t xml:space="preserve">Printing and publishing point source category.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62.4(49)</w:t>
      </w:r>
      <w:r>
        <w:rPr>
          <w:rFonts w:ascii="Times New Roman" w:hAnsi="Times New Roman"/>
          <w:b w:val="false"/>
          <w:i w:val="false"/>
          <w:color w:val="000000"/>
          <w:sz w:val="22"/>
        </w:rPr>
        <w:t> </w:t>
      </w:r>
      <w:r>
        <w:rPr>
          <w:rFonts w:ascii="Times New Roman" w:hAnsi="Times New Roman"/>
          <w:b w:val="false"/>
          <w:i/>
          <w:color w:val="000000"/>
          <w:sz w:val="22"/>
        </w:rPr>
        <w:t xml:space="preserve">Airport de-icing point source category. </w:t>
      </w:r>
      <w:r>
        <w:rPr>
          <w:rFonts w:ascii="Times New Roman" w:hAnsi="Times New Roman"/>
          <w:b w:val="false"/>
          <w:i w:val="false"/>
          <w:color w:val="000000"/>
          <w:sz w:val="22"/>
        </w:rPr>
        <w:t>The following is adopted by reference: 40 CFR Part 449.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62.4(50)</w:t>
      </w:r>
      <w:r>
        <w:rPr>
          <w:rFonts w:ascii="Times New Roman" w:hAnsi="Times New Roman"/>
          <w:b w:val="false"/>
          <w:i w:val="false"/>
          <w:color w:val="000000"/>
          <w:sz w:val="22"/>
        </w:rPr>
        <w:t> </w:t>
      </w:r>
      <w:r>
        <w:rPr>
          <w:rFonts w:ascii="Times New Roman" w:hAnsi="Times New Roman"/>
          <w:b w:val="false"/>
          <w:i/>
          <w:color w:val="000000"/>
          <w:sz w:val="22"/>
        </w:rPr>
        <w:t xml:space="preserve">Construction and development point source category. </w:t>
      </w:r>
      <w:r>
        <w:rPr>
          <w:rFonts w:ascii="Times New Roman" w:hAnsi="Times New Roman"/>
          <w:b w:val="false"/>
          <w:i w:val="false"/>
          <w:color w:val="000000"/>
          <w:sz w:val="22"/>
        </w:rPr>
        <w:t>The following is adopted by reference: 40 CFR Part 450.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62.4(51)</w:t>
      </w:r>
      <w:r>
        <w:rPr>
          <w:rFonts w:ascii="Times New Roman" w:hAnsi="Times New Roman"/>
          <w:b w:val="false"/>
          <w:i w:val="false"/>
          <w:color w:val="000000"/>
          <w:sz w:val="22"/>
        </w:rPr>
        <w:t> </w:t>
      </w:r>
      <w:r>
        <w:rPr>
          <w:rFonts w:ascii="Times New Roman" w:hAnsi="Times New Roman"/>
          <w:b w:val="false"/>
          <w:i/>
          <w:color w:val="000000"/>
          <w:sz w:val="22"/>
        </w:rPr>
        <w:t xml:space="preserve">Concentrated aquatic animal production point source category. </w:t>
      </w:r>
      <w:r>
        <w:rPr>
          <w:rFonts w:ascii="Times New Roman" w:hAnsi="Times New Roman"/>
          <w:b w:val="false"/>
          <w:i w:val="false"/>
          <w:color w:val="000000"/>
          <w:sz w:val="22"/>
        </w:rPr>
        <w:t>The following is adopted by reference: 40 CFR Part 451.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62.4(52)</w:t>
      </w:r>
      <w:r>
        <w:rPr>
          <w:rFonts w:ascii="Times New Roman" w:hAnsi="Times New Roman"/>
          <w:b w:val="false"/>
          <w:i w:val="false"/>
          <w:color w:val="000000"/>
          <w:sz w:val="22"/>
        </w:rPr>
        <w:t> </w:t>
      </w:r>
      <w:r>
        <w:rPr>
          <w:rFonts w:ascii="Times New Roman" w:hAnsi="Times New Roman"/>
          <w:b w:val="false"/>
          <w:i/>
          <w:color w:val="000000"/>
          <w:sz w:val="22"/>
        </w:rPr>
        <w:t xml:space="preserve">Concrete products point source category.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62.4(53)</w:t>
      </w:r>
      <w:r>
        <w:rPr>
          <w:rFonts w:ascii="Times New Roman" w:hAnsi="Times New Roman"/>
          <w:b w:val="false"/>
          <w:i w:val="false"/>
          <w:color w:val="000000"/>
          <w:sz w:val="22"/>
        </w:rPr>
        <w:t> </w:t>
      </w:r>
      <w:r>
        <w:rPr>
          <w:rFonts w:ascii="Times New Roman" w:hAnsi="Times New Roman"/>
          <w:b w:val="false"/>
          <w:i/>
          <w:color w:val="000000"/>
          <w:sz w:val="22"/>
        </w:rPr>
        <w:t xml:space="preserve">Shore receptor and bulk terminals point source category.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62.4(54)</w:t>
      </w:r>
      <w:r>
        <w:rPr>
          <w:rFonts w:ascii="Times New Roman" w:hAnsi="Times New Roman"/>
          <w:b w:val="false"/>
          <w:i w:val="false"/>
          <w:color w:val="000000"/>
          <w:sz w:val="22"/>
        </w:rPr>
        <w:t> </w:t>
      </w:r>
      <w:r>
        <w:rPr>
          <w:rFonts w:ascii="Times New Roman" w:hAnsi="Times New Roman"/>
          <w:b w:val="false"/>
          <w:i/>
          <w:color w:val="000000"/>
          <w:sz w:val="22"/>
        </w:rPr>
        <w:t xml:space="preserve">Gum and wood chemicals manufacturing point source category. </w:t>
      </w:r>
      <w:r>
        <w:rPr>
          <w:rFonts w:ascii="Times New Roman" w:hAnsi="Times New Roman"/>
          <w:b w:val="false"/>
          <w:i w:val="false"/>
          <w:color w:val="000000"/>
          <w:sz w:val="22"/>
        </w:rPr>
        <w:t>The following is adopted by reference: 40 CFR Part 454.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62.4(55)</w:t>
      </w:r>
      <w:r>
        <w:rPr>
          <w:rFonts w:ascii="Times New Roman" w:hAnsi="Times New Roman"/>
          <w:b w:val="false"/>
          <w:i w:val="false"/>
          <w:color w:val="000000"/>
          <w:sz w:val="22"/>
        </w:rPr>
        <w:t> </w:t>
      </w:r>
      <w:r>
        <w:rPr>
          <w:rFonts w:ascii="Times New Roman" w:hAnsi="Times New Roman"/>
          <w:b w:val="false"/>
          <w:i/>
          <w:color w:val="000000"/>
          <w:sz w:val="22"/>
        </w:rPr>
        <w:t xml:space="preserve">Pesticide chemicals. </w:t>
      </w:r>
      <w:r>
        <w:rPr>
          <w:rFonts w:ascii="Times New Roman" w:hAnsi="Times New Roman"/>
          <w:b w:val="false"/>
          <w:i w:val="false"/>
          <w:color w:val="000000"/>
          <w:sz w:val="22"/>
        </w:rPr>
        <w:t>The following is adopted by reference: 40 CFR Part 455.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62.4(56)</w:t>
      </w:r>
      <w:r>
        <w:rPr>
          <w:rFonts w:ascii="Times New Roman" w:hAnsi="Times New Roman"/>
          <w:b w:val="false"/>
          <w:i w:val="false"/>
          <w:color w:val="000000"/>
          <w:sz w:val="22"/>
        </w:rPr>
        <w:t> </w:t>
      </w:r>
      <w:r>
        <w:rPr>
          <w:rFonts w:ascii="Times New Roman" w:hAnsi="Times New Roman"/>
          <w:b w:val="false"/>
          <w:i/>
          <w:color w:val="000000"/>
          <w:sz w:val="22"/>
        </w:rPr>
        <w:t xml:space="preserve">Adhesives and sealants industry point source category.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62.4(57)</w:t>
      </w:r>
      <w:r>
        <w:rPr>
          <w:rFonts w:ascii="Times New Roman" w:hAnsi="Times New Roman"/>
          <w:b w:val="false"/>
          <w:i w:val="false"/>
          <w:color w:val="000000"/>
          <w:sz w:val="22"/>
        </w:rPr>
        <w:t> </w:t>
      </w:r>
      <w:r>
        <w:rPr>
          <w:rFonts w:ascii="Times New Roman" w:hAnsi="Times New Roman"/>
          <w:b w:val="false"/>
          <w:i/>
          <w:color w:val="000000"/>
          <w:sz w:val="22"/>
        </w:rPr>
        <w:t xml:space="preserve">Explosives manufacturing point source category. </w:t>
      </w:r>
      <w:r>
        <w:rPr>
          <w:rFonts w:ascii="Times New Roman" w:hAnsi="Times New Roman"/>
          <w:b w:val="false"/>
          <w:i w:val="false"/>
          <w:color w:val="000000"/>
          <w:sz w:val="22"/>
        </w:rPr>
        <w:t>The following is adopted by reference: 40 CFR Part 457.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62.4(58)</w:t>
      </w:r>
      <w:r>
        <w:rPr>
          <w:rFonts w:ascii="Times New Roman" w:hAnsi="Times New Roman"/>
          <w:b w:val="false"/>
          <w:i w:val="false"/>
          <w:color w:val="000000"/>
          <w:sz w:val="22"/>
        </w:rPr>
        <w:t> </w:t>
      </w:r>
      <w:r>
        <w:rPr>
          <w:rFonts w:ascii="Times New Roman" w:hAnsi="Times New Roman"/>
          <w:b w:val="false"/>
          <w:i/>
          <w:color w:val="000000"/>
          <w:sz w:val="22"/>
        </w:rPr>
        <w:t xml:space="preserve">Carbon black manufacturing point source category. </w:t>
      </w:r>
      <w:r>
        <w:rPr>
          <w:rFonts w:ascii="Times New Roman" w:hAnsi="Times New Roman"/>
          <w:b w:val="false"/>
          <w:i w:val="false"/>
          <w:color w:val="000000"/>
          <w:sz w:val="22"/>
        </w:rPr>
        <w:t>The following is adopted by reference: 40 CFR Part 458.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62.4(59)</w:t>
      </w:r>
      <w:r>
        <w:rPr>
          <w:rFonts w:ascii="Times New Roman" w:hAnsi="Times New Roman"/>
          <w:b w:val="false"/>
          <w:i w:val="false"/>
          <w:color w:val="000000"/>
          <w:sz w:val="22"/>
        </w:rPr>
        <w:t> </w:t>
      </w:r>
      <w:r>
        <w:rPr>
          <w:rFonts w:ascii="Times New Roman" w:hAnsi="Times New Roman"/>
          <w:b w:val="false"/>
          <w:i/>
          <w:color w:val="000000"/>
          <w:sz w:val="22"/>
        </w:rPr>
        <w:t xml:space="preserve">Photographic point source category. </w:t>
      </w:r>
      <w:r>
        <w:rPr>
          <w:rFonts w:ascii="Times New Roman" w:hAnsi="Times New Roman"/>
          <w:b w:val="false"/>
          <w:i w:val="false"/>
          <w:color w:val="000000"/>
          <w:sz w:val="22"/>
        </w:rPr>
        <w:t>The following is adopted by reference: 40 CFR Part 459.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62.4(60)</w:t>
      </w:r>
      <w:r>
        <w:rPr>
          <w:rFonts w:ascii="Times New Roman" w:hAnsi="Times New Roman"/>
          <w:b w:val="false"/>
          <w:i w:val="false"/>
          <w:color w:val="000000"/>
          <w:sz w:val="22"/>
        </w:rPr>
        <w:t> </w:t>
      </w:r>
      <w:r>
        <w:rPr>
          <w:rFonts w:ascii="Times New Roman" w:hAnsi="Times New Roman"/>
          <w:b w:val="false"/>
          <w:i/>
          <w:color w:val="000000"/>
          <w:sz w:val="22"/>
        </w:rPr>
        <w:t xml:space="preserve">Hospital point source category. </w:t>
      </w:r>
      <w:r>
        <w:rPr>
          <w:rFonts w:ascii="Times New Roman" w:hAnsi="Times New Roman"/>
          <w:b w:val="false"/>
          <w:i w:val="false"/>
          <w:color w:val="000000"/>
          <w:sz w:val="22"/>
        </w:rPr>
        <w:t>The following is adopted by reference: 40 CFR Part 460.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62.4(61)</w:t>
      </w:r>
      <w:r>
        <w:rPr>
          <w:rFonts w:ascii="Times New Roman" w:hAnsi="Times New Roman"/>
          <w:b w:val="false"/>
          <w:i w:val="false"/>
          <w:color w:val="000000"/>
          <w:sz w:val="22"/>
        </w:rPr>
        <w:t> </w:t>
      </w:r>
      <w:r>
        <w:rPr>
          <w:rFonts w:ascii="Times New Roman" w:hAnsi="Times New Roman"/>
          <w:b w:val="false"/>
          <w:i/>
          <w:color w:val="000000"/>
          <w:sz w:val="22"/>
        </w:rPr>
        <w:t xml:space="preserve">Battery manufacturing point source category. </w:t>
      </w:r>
      <w:r>
        <w:rPr>
          <w:rFonts w:ascii="Times New Roman" w:hAnsi="Times New Roman"/>
          <w:b w:val="false"/>
          <w:i w:val="false"/>
          <w:color w:val="000000"/>
          <w:sz w:val="22"/>
        </w:rPr>
        <w:t>The following is adopted by reference: 40 CFR Part 461.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62.4(62)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62.4(63)</w:t>
      </w:r>
      <w:r>
        <w:rPr>
          <w:rFonts w:ascii="Times New Roman" w:hAnsi="Times New Roman"/>
          <w:b w:val="false"/>
          <w:i w:val="false"/>
          <w:color w:val="000000"/>
          <w:sz w:val="22"/>
        </w:rPr>
        <w:t> </w:t>
      </w:r>
      <w:r>
        <w:rPr>
          <w:rFonts w:ascii="Times New Roman" w:hAnsi="Times New Roman"/>
          <w:b w:val="false"/>
          <w:i/>
          <w:color w:val="000000"/>
          <w:sz w:val="22"/>
        </w:rPr>
        <w:t xml:space="preserve">Plastic molding and forming point source category. </w:t>
      </w:r>
      <w:r>
        <w:rPr>
          <w:rFonts w:ascii="Times New Roman" w:hAnsi="Times New Roman"/>
          <w:b w:val="false"/>
          <w:i w:val="false"/>
          <w:color w:val="000000"/>
          <w:sz w:val="22"/>
        </w:rPr>
        <w:t>The following is adopted by reference: 40 CFR Part 463.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62.4(64)</w:t>
      </w:r>
      <w:r>
        <w:rPr>
          <w:rFonts w:ascii="Times New Roman" w:hAnsi="Times New Roman"/>
          <w:b w:val="false"/>
          <w:i w:val="false"/>
          <w:color w:val="000000"/>
          <w:sz w:val="22"/>
        </w:rPr>
        <w:t> </w:t>
      </w:r>
      <w:r>
        <w:rPr>
          <w:rFonts w:ascii="Times New Roman" w:hAnsi="Times New Roman"/>
          <w:b w:val="false"/>
          <w:i/>
          <w:color w:val="000000"/>
          <w:sz w:val="22"/>
        </w:rPr>
        <w:t xml:space="preserve">Metal molding and castings point source category. </w:t>
      </w:r>
      <w:r>
        <w:rPr>
          <w:rFonts w:ascii="Times New Roman" w:hAnsi="Times New Roman"/>
          <w:b w:val="false"/>
          <w:i w:val="false"/>
          <w:color w:val="000000"/>
          <w:sz w:val="22"/>
        </w:rPr>
        <w:t>The following is adopted by reference: 40 CFR Part 464.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62.4(65)</w:t>
      </w:r>
      <w:r>
        <w:rPr>
          <w:rFonts w:ascii="Times New Roman" w:hAnsi="Times New Roman"/>
          <w:b w:val="false"/>
          <w:i w:val="false"/>
          <w:color w:val="000000"/>
          <w:sz w:val="22"/>
        </w:rPr>
        <w:t> </w:t>
      </w:r>
      <w:r>
        <w:rPr>
          <w:rFonts w:ascii="Times New Roman" w:hAnsi="Times New Roman"/>
          <w:b w:val="false"/>
          <w:i/>
          <w:color w:val="000000"/>
          <w:sz w:val="22"/>
        </w:rPr>
        <w:t xml:space="preserve">Coil coating point source category. </w:t>
      </w:r>
      <w:r>
        <w:rPr>
          <w:rFonts w:ascii="Times New Roman" w:hAnsi="Times New Roman"/>
          <w:b w:val="false"/>
          <w:i w:val="false"/>
          <w:color w:val="000000"/>
          <w:sz w:val="22"/>
        </w:rPr>
        <w:t>The following is adopted by reference: 40 CFR Part 465.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62.4(66)</w:t>
      </w:r>
      <w:r>
        <w:rPr>
          <w:rFonts w:ascii="Times New Roman" w:hAnsi="Times New Roman"/>
          <w:b w:val="false"/>
          <w:i w:val="false"/>
          <w:color w:val="000000"/>
          <w:sz w:val="22"/>
        </w:rPr>
        <w:t> </w:t>
      </w:r>
      <w:r>
        <w:rPr>
          <w:rFonts w:ascii="Times New Roman" w:hAnsi="Times New Roman"/>
          <w:b w:val="false"/>
          <w:i/>
          <w:color w:val="000000"/>
          <w:sz w:val="22"/>
        </w:rPr>
        <w:t xml:space="preserve">Porcelain enameling point source category. </w:t>
      </w:r>
      <w:r>
        <w:rPr>
          <w:rFonts w:ascii="Times New Roman" w:hAnsi="Times New Roman"/>
          <w:b w:val="false"/>
          <w:i w:val="false"/>
          <w:color w:val="000000"/>
          <w:sz w:val="22"/>
        </w:rPr>
        <w:t>The following is adopted by reference: 40 CFR Part 466.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62.4(67)</w:t>
      </w:r>
      <w:r>
        <w:rPr>
          <w:rFonts w:ascii="Times New Roman" w:hAnsi="Times New Roman"/>
          <w:b w:val="false"/>
          <w:i w:val="false"/>
          <w:color w:val="000000"/>
          <w:sz w:val="22"/>
        </w:rPr>
        <w:t> </w:t>
      </w:r>
      <w:r>
        <w:rPr>
          <w:rFonts w:ascii="Times New Roman" w:hAnsi="Times New Roman"/>
          <w:b w:val="false"/>
          <w:i/>
          <w:color w:val="000000"/>
          <w:sz w:val="22"/>
        </w:rPr>
        <w:t xml:space="preserve">Aluminum forming point source category. </w:t>
      </w:r>
      <w:r>
        <w:rPr>
          <w:rFonts w:ascii="Times New Roman" w:hAnsi="Times New Roman"/>
          <w:b w:val="false"/>
          <w:i w:val="false"/>
          <w:color w:val="000000"/>
          <w:sz w:val="22"/>
        </w:rPr>
        <w:t>The following is adopted by reference: 40 CFR Part 467.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62.4(68)</w:t>
      </w:r>
      <w:r>
        <w:rPr>
          <w:rFonts w:ascii="Times New Roman" w:hAnsi="Times New Roman"/>
          <w:b w:val="false"/>
          <w:i w:val="false"/>
          <w:color w:val="000000"/>
          <w:sz w:val="22"/>
        </w:rPr>
        <w:t> </w:t>
      </w:r>
      <w:r>
        <w:rPr>
          <w:rFonts w:ascii="Times New Roman" w:hAnsi="Times New Roman"/>
          <w:b w:val="false"/>
          <w:i/>
          <w:color w:val="000000"/>
          <w:sz w:val="22"/>
        </w:rPr>
        <w:t xml:space="preserve">Copper forming point source category. </w:t>
      </w:r>
      <w:r>
        <w:rPr>
          <w:rFonts w:ascii="Times New Roman" w:hAnsi="Times New Roman"/>
          <w:b w:val="false"/>
          <w:i w:val="false"/>
          <w:color w:val="000000"/>
          <w:sz w:val="22"/>
        </w:rPr>
        <w:t>The following is adopted by reference: 40 CFR Part 468.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62.4(69)</w:t>
      </w:r>
      <w:r>
        <w:rPr>
          <w:rFonts w:ascii="Times New Roman" w:hAnsi="Times New Roman"/>
          <w:b w:val="false"/>
          <w:i w:val="false"/>
          <w:color w:val="000000"/>
          <w:sz w:val="22"/>
        </w:rPr>
        <w:t> </w:t>
      </w:r>
      <w:r>
        <w:rPr>
          <w:rFonts w:ascii="Times New Roman" w:hAnsi="Times New Roman"/>
          <w:b w:val="false"/>
          <w:i/>
          <w:color w:val="000000"/>
          <w:sz w:val="22"/>
        </w:rPr>
        <w:t xml:space="preserve">Electrical and electronic components point source category. </w:t>
      </w:r>
      <w:r>
        <w:rPr>
          <w:rFonts w:ascii="Times New Roman" w:hAnsi="Times New Roman"/>
          <w:b w:val="false"/>
          <w:i w:val="false"/>
          <w:color w:val="000000"/>
          <w:sz w:val="22"/>
        </w:rPr>
        <w:t>The following is adopted by reference: 40 CFR Part 469.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62.4(70)</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62.4(71)</w:t>
      </w:r>
      <w:r>
        <w:rPr>
          <w:rFonts w:ascii="Times New Roman" w:hAnsi="Times New Roman"/>
          <w:b w:val="false"/>
          <w:i w:val="false"/>
          <w:color w:val="000000"/>
          <w:sz w:val="22"/>
        </w:rPr>
        <w:t> </w:t>
      </w:r>
      <w:r>
        <w:rPr>
          <w:rFonts w:ascii="Times New Roman" w:hAnsi="Times New Roman"/>
          <w:b w:val="false"/>
          <w:i/>
          <w:color w:val="000000"/>
          <w:sz w:val="22"/>
        </w:rPr>
        <w:t xml:space="preserve">Nonferrous metals forming and metal powders point source category. </w:t>
      </w:r>
      <w:r>
        <w:rPr>
          <w:rFonts w:ascii="Times New Roman" w:hAnsi="Times New Roman"/>
          <w:b w:val="false"/>
          <w:i w:val="false"/>
          <w:color w:val="000000"/>
          <w:sz w:val="22"/>
        </w:rPr>
        <w:t>The following is adopted by reference: 40 CFR Part 471.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2482C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 xml:space="preserve">; </w:t>
      </w:r>
      <w:r>
        <w:rPr>
          <w:rFonts w:ascii="Times New Roman" w:hAnsi="Times New Roman"/>
          <w:b/>
          <w:i w:val="false"/>
          <w:color w:val="000000"/>
          <w:sz w:val="16"/>
        </w:rPr>
        <w:t>ARC 6191C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567—62.5</w:t>
      </w:r>
      <w:r>
        <w:rPr>
          <w:rFonts w:ascii="Times New Roman" w:hAnsi="Times New Roman"/>
          <w:b/>
          <w:i w:val="false"/>
          <w:color w:val="000000"/>
          <w:sz w:val="22"/>
        </w:rPr>
        <w:t xml:space="preserve">(455B) </w:t>
      </w:r>
      <w:r>
        <w:rPr>
          <w:rFonts w:ascii="Times New Roman" w:hAnsi="Times New Roman"/>
          <w:b/>
          <w:i w:val="false"/>
          <w:color w:val="000000"/>
          <w:sz w:val="22"/>
        </w:rPr>
        <w:t xml:space="preserve">Federal toxic effluent standards. </w:t>
      </w:r>
      <w:r>
        <w:rPr>
          <w:rFonts w:ascii="Times New Roman" w:hAnsi="Times New Roman"/>
          <w:b w:val="false"/>
          <w:i w:val="false"/>
          <w:color w:val="000000"/>
          <w:sz w:val="22"/>
        </w:rPr>
        <w:t>The following is adopted by reference: 40 CFR Part 129.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2482C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567—62.6</w:t>
      </w:r>
      <w:r>
        <w:rPr>
          <w:rFonts w:ascii="Times New Roman" w:hAnsi="Times New Roman"/>
          <w:b/>
          <w:i w:val="false"/>
          <w:color w:val="000000"/>
          <w:sz w:val="22"/>
        </w:rPr>
        <w:t xml:space="preserve">(455B) </w:t>
      </w:r>
      <w:r>
        <w:rPr>
          <w:rFonts w:ascii="Times New Roman" w:hAnsi="Times New Roman"/>
          <w:b/>
          <w:i w:val="false"/>
          <w:color w:val="000000"/>
          <w:sz w:val="22"/>
        </w:rPr>
        <w:t xml:space="preserve">Effluent limitations and pretreatment requirements for sources for which there are no federal effluent or pretreatment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“Average” </w:t>
      </w:r>
      <w:r>
        <w:rPr>
          <w:rFonts w:ascii="Times New Roman" w:hAnsi="Times New Roman"/>
          <w:b w:val="false"/>
          <w:i w:val="false"/>
          <w:color w:val="000000"/>
          <w:sz w:val="22"/>
        </w:rPr>
        <w:t>means the sum of the total daily discharges by weight, volume or concentration during the reporting period (as specified in the operation permit) divided by the total number of days during the reporting period when the facility was in operation. With respect to the monitoring requirements, the “daily average” discharge shall be determined by the summation of all the measured daily discharges by weight, volume or concentration divided by the number of days during the reporting period when the measurements were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“Maximum” </w:t>
      </w:r>
      <w:r>
        <w:rPr>
          <w:rFonts w:ascii="Times New Roman" w:hAnsi="Times New Roman"/>
          <w:b w:val="false"/>
          <w:i w:val="false"/>
          <w:color w:val="000000"/>
          <w:sz w:val="22"/>
        </w:rPr>
        <w:t>means the total discharge by weight, volume or concentration which cannot be exceeded during a 24-hour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“Best engineering judgment” </w:t>
      </w:r>
      <w:r>
        <w:rPr>
          <w:rFonts w:ascii="Times New Roman" w:hAnsi="Times New Roman"/>
          <w:b w:val="false"/>
          <w:i w:val="false"/>
          <w:color w:val="000000"/>
          <w:sz w:val="22"/>
        </w:rPr>
        <w:t>means a judgment that considers any or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Known state-of-the-art (i.e., demonstrated treatment that is being done or can be done);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Published technical articles and research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Engineering reference books;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Consultation with acknowledged experts in the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Availability of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Known or suspected toxicity of the pollutants;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Safety, welfare and aesthetic effects on persons who may come in contact with the discharge;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Standards and rules of other regulatory agencies and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62.6(2)</w:t>
      </w:r>
      <w:r>
        <w:rPr>
          <w:rFonts w:ascii="Times New Roman" w:hAnsi="Times New Roman"/>
          <w:b w:val="false"/>
          <w:i w:val="false"/>
          <w:color w:val="000000"/>
          <w:sz w:val="22"/>
        </w:rPr>
        <w:t> </w:t>
      </w:r>
      <w:r>
        <w:rPr>
          <w:rFonts w:ascii="Times New Roman" w:hAnsi="Times New Roman"/>
          <w:b w:val="false"/>
          <w:i/>
          <w:color w:val="000000"/>
          <w:sz w:val="22"/>
        </w:rPr>
        <w:t xml:space="preserve">Time of compliance. </w:t>
      </w:r>
      <w:r>
        <w:rPr>
          <w:rFonts w:ascii="Times New Roman" w:hAnsi="Times New Roman"/>
          <w:b w:val="false"/>
          <w:i w:val="false"/>
          <w:color w:val="000000"/>
          <w:sz w:val="22"/>
        </w:rPr>
        <w:t>Effluent limitations and pretreatment limitations established pursuant to this rule shall be achieved within a reasonable time after receipt of notice from the department of the applicability of these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62.6(3)</w:t>
      </w:r>
      <w:r>
        <w:rPr>
          <w:rFonts w:ascii="Times New Roman" w:hAnsi="Times New Roman"/>
          <w:b w:val="false"/>
          <w:i w:val="false"/>
          <w:color w:val="000000"/>
          <w:sz w:val="22"/>
        </w:rPr>
        <w:t> </w:t>
      </w:r>
      <w:r>
        <w:rPr>
          <w:rFonts w:ascii="Times New Roman" w:hAnsi="Times New Roman"/>
          <w:b w:val="false"/>
          <w:i/>
          <w:color w:val="000000"/>
          <w:sz w:val="22"/>
        </w:rPr>
        <w:t xml:space="preserve">Effluent limitations. </w:t>
      </w:r>
      <w:r>
        <w:rPr>
          <w:rFonts w:ascii="Times New Roman" w:hAnsi="Times New Roman"/>
          <w:b w:val="false"/>
          <w:i w:val="false"/>
          <w:color w:val="000000"/>
          <w:sz w:val="22"/>
        </w:rPr>
        <w:t xml:space="preserve">This subrule establishes effluent limitations on the discharge of pollutants from sources other than publicly owned treatment works and semipublic sewage disposal systems that are not subject to the federal effluent standards adopted by reference in </w:t>
      </w:r>
      <w:hyperlink r:id="rId43">
        <w:r>
          <w:rPr>
            <w:rStyle w:val="Hyperlink"/>
            <w:rFonts w:ascii="Times New Roman" w:hAnsi="Times New Roman"/>
            <w:b w:val="false"/>
            <w:i w:val="false"/>
            <w:color w:val="000000"/>
            <w:sz w:val="22"/>
          </w:rPr>
          <w:t>62.4(1)</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62.4(3)</w:t>
        </w:r>
      </w:hyperlink>
      <w:r>
        <w:rPr>
          <w:rFonts w:ascii="Times New Roman" w:hAnsi="Times New Roman"/>
          <w:b w:val="false"/>
          <w:i w:val="false"/>
          <w:color w:val="000000"/>
          <w:sz w:val="22"/>
        </w:rPr>
        <w:t xml:space="preserve"> to </w:t>
      </w:r>
      <w:hyperlink r:id="rId45">
        <w:r>
          <w:rPr>
            <w:rStyle w:val="Hyperlink"/>
            <w:rFonts w:ascii="Times New Roman" w:hAnsi="Times New Roman"/>
            <w:b w:val="false"/>
            <w:i w:val="false"/>
            <w:color w:val="000000"/>
            <w:sz w:val="22"/>
          </w:rPr>
          <w:t>62.4(71)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shall be established an effluent limitation that represents the best engineering judgment of the department of the degree of effluent reduction consistent with the Act and Iowa Code chapter </w:t>
      </w:r>
      <w:hyperlink r:id="rId46">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wastes shall not be introduced into privately owned treatment works subject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Wastes that create a fire or explosion hazard in the treatment works.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Wastes at a flow rate or pollutant discharge rate, or both, which is excessive over relatively short time periods so that there is a treatment process upset and subsequent loss of treatment efficiency such that the effluent limitations in the permit of the treatment works are violated.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62.6(4)</w:t>
      </w:r>
      <w:r>
        <w:rPr>
          <w:rFonts w:ascii="Times New Roman" w:hAnsi="Times New Roman"/>
          <w:b w:val="false"/>
          <w:i w:val="false"/>
          <w:color w:val="000000"/>
          <w:sz w:val="22"/>
        </w:rPr>
        <w:t> </w:t>
      </w:r>
      <w:r>
        <w:rPr>
          <w:rFonts w:ascii="Times New Roman" w:hAnsi="Times New Roman"/>
          <w:b w:val="false"/>
          <w:i/>
          <w:color w:val="000000"/>
          <w:sz w:val="22"/>
        </w:rPr>
        <w:t xml:space="preserve">Pretreatment requirements for incompatible wastes. </w:t>
      </w:r>
      <w:r>
        <w:rPr>
          <w:rFonts w:ascii="Times New Roman" w:hAnsi="Times New Roman"/>
          <w:b w:val="false"/>
          <w:i w:val="false"/>
          <w:color w:val="000000"/>
          <w:sz w:val="22"/>
        </w:rPr>
        <w:t xml:space="preserve">This subrule establishes pretreatment requirements for incompatible pollutants that apply to sources other than significant industrial users as defined in </w:t>
      </w:r>
      <w:hyperlink r:id="rId47">
        <w:r>
          <w:rPr>
            <w:rStyle w:val="Hyperlink"/>
            <w:rFonts w:ascii="Times New Roman" w:hAnsi="Times New Roman"/>
            <w:b w:val="false"/>
            <w:i w:val="false"/>
            <w:color w:val="000000"/>
            <w:sz w:val="22"/>
          </w:rPr>
          <w:t>567—60.2</w:t>
        </w:r>
      </w:hyperlink>
      <w:r>
        <w:rPr>
          <w:rFonts w:ascii="Times New Roman" w:hAnsi="Times New Roman"/>
          <w:b w:val="false"/>
          <w:i w:val="false"/>
          <w:color w:val="000000"/>
          <w:sz w:val="22"/>
        </w:rPr>
        <w:t>(455B), and to sources that are new or existing significant industrial users for which there is no federal pretreatment standard (i.e., sources which do not fall within a point source category or, if they do fall within a point source category, sources for which the administrator has not yet promulgated a pretreatment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sources that are within a point source category adopted by reference in </w:t>
      </w:r>
      <w:hyperlink r:id="rId48">
        <w:r>
          <w:rPr>
            <w:rStyle w:val="Hyperlink"/>
            <w:rFonts w:ascii="Times New Roman" w:hAnsi="Times New Roman"/>
            <w:b w:val="false"/>
            <w:i w:val="false"/>
            <w:color w:val="000000"/>
            <w:sz w:val="22"/>
          </w:rPr>
          <w:t>567—62.4</w:t>
        </w:r>
      </w:hyperlink>
      <w:r>
        <w:rPr>
          <w:rFonts w:ascii="Times New Roman" w:hAnsi="Times New Roman"/>
          <w:b w:val="false"/>
          <w:i w:val="false"/>
          <w:color w:val="000000"/>
          <w:sz w:val="22"/>
        </w:rPr>
        <w:t>(455B) for which there are promulgated effluent limitation guidelines, but no promulgated pretreatment standards, the pretreatment standard for incompatible pollutants shall be the promulgated effluent limitation guideline.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sources that are not subject to paragraph </w:t>
      </w:r>
      <w:r>
        <w:rPr>
          <w:rFonts w:ascii="Times New Roman" w:hAnsi="Times New Roman"/>
          <w:b w:val="false"/>
          <w:i/>
          <w:color w:val="000000"/>
          <w:sz w:val="22"/>
        </w:rPr>
        <w:t>“a,”</w:t>
      </w:r>
      <w:r>
        <w:rPr>
          <w:rFonts w:ascii="Times New Roman" w:hAnsi="Times New Roman"/>
          <w:b w:val="false"/>
          <w:i w:val="false"/>
          <w:color w:val="000000"/>
          <w:sz w:val="22"/>
        </w:rPr>
        <w:t xml:space="preserve"> the department shall establish an effluent limitation that represents the best professional judgment for effluent reduction that is consistent with the Act and Iowa Code chapter </w:t>
      </w:r>
      <w:hyperlink r:id="rId49">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7625B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567—62.7</w:t>
      </w:r>
      <w:r>
        <w:rPr>
          <w:rFonts w:ascii="Times New Roman" w:hAnsi="Times New Roman"/>
          <w:b/>
          <w:i w:val="false"/>
          <w:color w:val="000000"/>
          <w:sz w:val="22"/>
        </w:rPr>
        <w:t xml:space="preserve">(455B) </w:t>
      </w:r>
      <w:r>
        <w:rPr>
          <w:rFonts w:ascii="Times New Roman" w:hAnsi="Times New Roman"/>
          <w:b/>
          <w:i w:val="false"/>
          <w:color w:val="000000"/>
          <w:sz w:val="22"/>
        </w:rPr>
        <w:t xml:space="preserve">Effluent limitations less stringent than the effluent limitation guidelines. </w:t>
      </w:r>
      <w:r>
        <w:rPr>
          <w:rFonts w:ascii="Times New Roman" w:hAnsi="Times New Roman"/>
          <w:b w:val="false"/>
          <w:i w:val="false"/>
          <w:color w:val="000000"/>
          <w:sz w:val="22"/>
        </w:rPr>
        <w:t xml:space="preserve">An effluent limitation less stringent than the effluent limitation guideline (adopted by reference in </w:t>
      </w:r>
      <w:hyperlink r:id="rId50">
        <w:r>
          <w:rPr>
            <w:rStyle w:val="Hyperlink"/>
            <w:rFonts w:ascii="Times New Roman" w:hAnsi="Times New Roman"/>
            <w:b w:val="false"/>
            <w:i w:val="false"/>
            <w:color w:val="000000"/>
            <w:sz w:val="22"/>
          </w:rPr>
          <w:t>567—62.4</w:t>
        </w:r>
      </w:hyperlink>
      <w:r>
        <w:rPr>
          <w:rFonts w:ascii="Times New Roman" w:hAnsi="Times New Roman"/>
          <w:b w:val="false"/>
          <w:i w:val="false"/>
          <w:color w:val="000000"/>
          <w:sz w:val="22"/>
        </w:rPr>
        <w:t>(455B)) representing the degree of effluent reduction achievable by application of the best practicable control technology currently available may be allowed in an NPDES permit if the factors relating to the equipment or facilities involved, the process applied, or other such factors related to the discharger are fundamentally different from the factors considered by the administrator in the establishment of the guidelines. An individual discharger or other interested person may submit evidence concerning such factors to the director. On the basis of such evidence or other available information and in accordance with 40 CFR 125.31, the director will make a written finding that such factors are or are not fundamentally different from the facility compared to those specified in the development document. Any such less stringent effluent limitations must, as a condition precedent, be approved by the administrator.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7625B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567—62.8</w:t>
      </w:r>
      <w:r>
        <w:rPr>
          <w:rFonts w:ascii="Times New Roman" w:hAnsi="Times New Roman"/>
          <w:b/>
          <w:i w:val="false"/>
          <w:color w:val="000000"/>
          <w:sz w:val="22"/>
        </w:rPr>
        <w:t xml:space="preserve">(455B) </w:t>
      </w:r>
      <w:r>
        <w:rPr>
          <w:rFonts w:ascii="Times New Roman" w:hAnsi="Times New Roman"/>
          <w:b/>
          <w:i w:val="false"/>
          <w:color w:val="000000"/>
          <w:sz w:val="22"/>
        </w:rPr>
        <w:t xml:space="preserve">Effluent limitations or pretreatment requirements more stringent than the effluent or pretreatment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62.8(1)</w:t>
      </w:r>
      <w:r>
        <w:rPr>
          <w:rFonts w:ascii="Times New Roman" w:hAnsi="Times New Roman"/>
          <w:b w:val="false"/>
          <w:i w:val="false"/>
          <w:color w:val="000000"/>
          <w:sz w:val="22"/>
        </w:rPr>
        <w:t> </w:t>
      </w:r>
      <w:r>
        <w:rPr>
          <w:rFonts w:ascii="Times New Roman" w:hAnsi="Times New Roman"/>
          <w:b w:val="false"/>
          <w:i/>
          <w:color w:val="000000"/>
          <w:sz w:val="22"/>
        </w:rPr>
        <w:t xml:space="preserve">Effluent limitations more stringent than the effluent limitation guidelines. </w:t>
      </w:r>
      <w:r>
        <w:rPr>
          <w:rFonts w:ascii="Times New Roman" w:hAnsi="Times New Roman"/>
          <w:b w:val="false"/>
          <w:i w:val="false"/>
          <w:color w:val="000000"/>
          <w:sz w:val="22"/>
        </w:rPr>
        <w:t>An effluent limitation more stringent than the effluent limitation guidelines representing the degree of effluent reduction achievable by application of the best practicable control technology currently available may be required in an NPDES permit if the factors relating to the equipment or facilities involved, the process applied, or other such factors related to the discharger are fundamentally different from the factors considered by the administrator in the establishment of the guidelines. An individual discharger or other interested person may submit evidence concerning such factors to the director. On the basis of such evidence or other information available to the director, the director will make a written finding that such factors are or are not fundamentally different for the facility compared to those specified in the development document. Any such more stringent effluent limitation must, as a condition precedent, be approved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62.8(2)</w:t>
      </w:r>
      <w:r>
        <w:rPr>
          <w:rFonts w:ascii="Times New Roman" w:hAnsi="Times New Roman"/>
          <w:b w:val="false"/>
          <w:i w:val="false"/>
          <w:color w:val="000000"/>
          <w:sz w:val="22"/>
        </w:rPr>
        <w:t> </w:t>
      </w:r>
      <w:r>
        <w:rPr>
          <w:rFonts w:ascii="Times New Roman" w:hAnsi="Times New Roman"/>
          <w:b w:val="false"/>
          <w:i/>
          <w:color w:val="000000"/>
          <w:sz w:val="22"/>
        </w:rPr>
        <w:t xml:space="preserve">Effluent limitations necessary to meet water quality standards. </w:t>
      </w:r>
      <w:r>
        <w:rPr>
          <w:rFonts w:ascii="Times New Roman" w:hAnsi="Times New Roman"/>
          <w:b w:val="false"/>
          <w:i w:val="false"/>
          <w:color w:val="000000"/>
          <w:sz w:val="22"/>
        </w:rPr>
        <w:t xml:space="preserve">No effluent, alone or in combination with the effluent of other sources, shall cause a violation of any applicable water quality standard. When it is found that a discharge that would comply with applicable effluent standards in </w:t>
      </w:r>
      <w:hyperlink r:id="rId51">
        <w:r>
          <w:rPr>
            <w:rStyle w:val="Hyperlink"/>
            <w:rFonts w:ascii="Times New Roman" w:hAnsi="Times New Roman"/>
            <w:b w:val="false"/>
            <w:i w:val="false"/>
            <w:color w:val="000000"/>
            <w:sz w:val="22"/>
          </w:rPr>
          <w:t>567—62.3</w:t>
        </w:r>
      </w:hyperlink>
      <w:r>
        <w:rPr>
          <w:rFonts w:ascii="Times New Roman" w:hAnsi="Times New Roman"/>
          <w:b w:val="false"/>
          <w:i w:val="false"/>
          <w:color w:val="000000"/>
          <w:sz w:val="22"/>
        </w:rPr>
        <w:t xml:space="preserve">(455B), </w:t>
      </w:r>
      <w:hyperlink r:id="rId52">
        <w:r>
          <w:rPr>
            <w:rStyle w:val="Hyperlink"/>
            <w:rFonts w:ascii="Times New Roman" w:hAnsi="Times New Roman"/>
            <w:b w:val="false"/>
            <w:i w:val="false"/>
            <w:color w:val="000000"/>
            <w:sz w:val="22"/>
          </w:rPr>
          <w:t>567—62.4</w:t>
        </w:r>
      </w:hyperlink>
      <w:r>
        <w:rPr>
          <w:rFonts w:ascii="Times New Roman" w:hAnsi="Times New Roman"/>
          <w:b w:val="false"/>
          <w:i w:val="false"/>
          <w:color w:val="000000"/>
          <w:sz w:val="22"/>
        </w:rPr>
        <w:t xml:space="preserve">(455B) or </w:t>
      </w:r>
      <w:hyperlink r:id="rId53">
        <w:r>
          <w:rPr>
            <w:rStyle w:val="Hyperlink"/>
            <w:rFonts w:ascii="Times New Roman" w:hAnsi="Times New Roman"/>
            <w:b w:val="false"/>
            <w:i w:val="false"/>
            <w:color w:val="000000"/>
            <w:sz w:val="22"/>
          </w:rPr>
          <w:t>567—62.5</w:t>
        </w:r>
      </w:hyperlink>
      <w:r>
        <w:rPr>
          <w:rFonts w:ascii="Times New Roman" w:hAnsi="Times New Roman"/>
          <w:b w:val="false"/>
          <w:i w:val="false"/>
          <w:color w:val="000000"/>
          <w:sz w:val="22"/>
        </w:rPr>
        <w:t xml:space="preserve">(455B) or effluent limitations in </w:t>
      </w:r>
      <w:hyperlink r:id="rId54">
        <w:r>
          <w:rPr>
            <w:rStyle w:val="Hyperlink"/>
            <w:rFonts w:ascii="Times New Roman" w:hAnsi="Times New Roman"/>
            <w:b w:val="false"/>
            <w:i w:val="false"/>
            <w:color w:val="000000"/>
            <w:sz w:val="22"/>
          </w:rPr>
          <w:t>567—62.6</w:t>
        </w:r>
      </w:hyperlink>
      <w:r>
        <w:rPr>
          <w:rFonts w:ascii="Times New Roman" w:hAnsi="Times New Roman"/>
          <w:b w:val="false"/>
          <w:i w:val="false"/>
          <w:color w:val="000000"/>
          <w:sz w:val="22"/>
        </w:rPr>
        <w:t xml:space="preserve">(455B) would cause a violation of water quality standards, the discharge will be required to meet the water quality-based effluent limits (WQBELs) necessary to achieve the applicable water quality standards as established in </w:t>
      </w:r>
      <w:hyperlink r:id="rId55">
        <w:r>
          <w:rPr>
            <w:rStyle w:val="Hyperlink"/>
            <w:rFonts w:ascii="Times New Roman" w:hAnsi="Times New Roman"/>
            <w:b w:val="false"/>
            <w:i w:val="false"/>
            <w:color w:val="000000"/>
            <w:sz w:val="22"/>
          </w:rPr>
          <w:t>567—Chapter 61</w:t>
        </w:r>
      </w:hyperlink>
      <w:r>
        <w:rPr>
          <w:rFonts w:ascii="Times New Roman" w:hAnsi="Times New Roman"/>
          <w:b w:val="false"/>
          <w:i w:val="false"/>
          <w:color w:val="000000"/>
          <w:sz w:val="22"/>
        </w:rPr>
        <w:t xml:space="preserve">. Any such effluent limit shall be derived from the calculated waste load allocation, as described in “Iowa Wasteload Allocation (WLA) Procedure,” as revised on February 21, 2018, or the waste load allocation as required by a total maximum daily load, whichever is more stringent. The translation of waste load allocations to WQBELs shall use Iowa permit derivation methods, as described in the “Iowa Wasteload Allocation (WLA) Procedure,” as revised on February 21, 2018, except that the daily sample maximum criteria for </w:t>
      </w:r>
      <w:r>
        <w:rPr>
          <w:rFonts w:ascii="Times New Roman" w:hAnsi="Times New Roman"/>
          <w:b w:val="false"/>
          <w:i/>
          <w:color w:val="000000"/>
          <w:sz w:val="22"/>
        </w:rPr>
        <w:t>E. coli</w:t>
      </w:r>
      <w:r>
        <w:rPr>
          <w:rFonts w:ascii="Times New Roman" w:hAnsi="Times New Roman"/>
          <w:b w:val="false"/>
          <w:i w:val="false"/>
          <w:color w:val="000000"/>
          <w:sz w:val="22"/>
        </w:rPr>
        <w:t xml:space="preserve"> set forth in 567—Chapter 61 shall not be used as an end-of-pipe permit limitation.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62.8(3)</w:t>
      </w:r>
      <w:r>
        <w:rPr>
          <w:rFonts w:ascii="Times New Roman" w:hAnsi="Times New Roman"/>
          <w:b w:val="false"/>
          <w:i w:val="false"/>
          <w:color w:val="000000"/>
          <w:sz w:val="22"/>
        </w:rPr>
        <w:t> </w:t>
      </w:r>
      <w:r>
        <w:rPr>
          <w:rFonts w:ascii="Times New Roman" w:hAnsi="Times New Roman"/>
          <w:b w:val="false"/>
          <w:i/>
          <w:color w:val="000000"/>
          <w:sz w:val="22"/>
        </w:rPr>
        <w:t xml:space="preserve">Pretreatment requirements more stringent than pretreatment standards or requirements. </w:t>
      </w:r>
      <w:r>
        <w:rPr>
          <w:rFonts w:ascii="Times New Roman" w:hAnsi="Times New Roman"/>
          <w:b w:val="false"/>
          <w:i w:val="false"/>
          <w:color w:val="000000"/>
          <w:sz w:val="22"/>
        </w:rPr>
        <w:t xml:space="preserve">The department or the publicly owned treatment works may impose pretreatment requirements more stringent than the applicable pretreatment standard of </w:t>
      </w:r>
      <w:hyperlink r:id="rId56">
        <w:r>
          <w:rPr>
            <w:rStyle w:val="Hyperlink"/>
            <w:rFonts w:ascii="Times New Roman" w:hAnsi="Times New Roman"/>
            <w:b w:val="false"/>
            <w:i w:val="false"/>
            <w:color w:val="000000"/>
            <w:sz w:val="22"/>
          </w:rPr>
          <w:t>567—62.4(455B)</w:t>
        </w:r>
      </w:hyperlink>
      <w:r>
        <w:rPr>
          <w:rFonts w:ascii="Times New Roman" w:hAnsi="Times New Roman"/>
          <w:b w:val="false"/>
          <w:i w:val="false"/>
          <w:color w:val="000000"/>
          <w:sz w:val="22"/>
        </w:rPr>
        <w:t xml:space="preserve"> or pretreatment requirements of </w:t>
      </w:r>
      <w:hyperlink r:id="rId57">
        <w:r>
          <w:rPr>
            <w:rStyle w:val="Hyperlink"/>
            <w:rFonts w:ascii="Times New Roman" w:hAnsi="Times New Roman"/>
            <w:b w:val="false"/>
            <w:i w:val="false"/>
            <w:color w:val="000000"/>
            <w:sz w:val="22"/>
          </w:rPr>
          <w:t>567—62.6</w:t>
        </w:r>
      </w:hyperlink>
      <w:r>
        <w:rPr>
          <w:rFonts w:ascii="Times New Roman" w:hAnsi="Times New Roman"/>
          <w:b w:val="false"/>
          <w:i w:val="false"/>
          <w:color w:val="000000"/>
          <w:sz w:val="22"/>
        </w:rPr>
        <w:t>(455B) if such more stringent requirements are necessary to prevent violations of water quality standards, interference, or pass through.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62.8(4)</w:t>
      </w:r>
      <w:r>
        <w:rPr>
          <w:rFonts w:ascii="Times New Roman" w:hAnsi="Times New Roman"/>
          <w:b w:val="false"/>
          <w:i w:val="false"/>
          <w:color w:val="000000"/>
          <w:sz w:val="22"/>
        </w:rPr>
        <w:t> </w:t>
      </w:r>
      <w:r>
        <w:rPr>
          <w:rFonts w:ascii="Times New Roman" w:hAnsi="Times New Roman"/>
          <w:b w:val="false"/>
          <w:i/>
          <w:color w:val="000000"/>
          <w:sz w:val="22"/>
        </w:rPr>
        <w:t xml:space="preserve">Effluent limitations or pretreatment requirements in approved areawide waste treatment management plans. </w:t>
      </w:r>
      <w:r>
        <w:rPr>
          <w:rFonts w:ascii="Times New Roman" w:hAnsi="Times New Roman"/>
          <w:b w:val="false"/>
          <w:i w:val="false"/>
          <w:color w:val="000000"/>
          <w:sz w:val="22"/>
        </w:rPr>
        <w:t xml:space="preserve">Effluent limitations or pretreatment requirements more stringent than applicable effluent or pretreatment standards in </w:t>
      </w:r>
      <w:hyperlink r:id="rId58">
        <w:r>
          <w:rPr>
            <w:rStyle w:val="Hyperlink"/>
            <w:rFonts w:ascii="Times New Roman" w:hAnsi="Times New Roman"/>
            <w:b w:val="false"/>
            <w:i w:val="false"/>
            <w:color w:val="000000"/>
            <w:sz w:val="22"/>
          </w:rPr>
          <w:t>567—62.3</w:t>
        </w:r>
      </w:hyperlink>
      <w:r>
        <w:rPr>
          <w:rFonts w:ascii="Times New Roman" w:hAnsi="Times New Roman"/>
          <w:b w:val="false"/>
          <w:i w:val="false"/>
          <w:color w:val="000000"/>
          <w:sz w:val="22"/>
        </w:rPr>
        <w:t xml:space="preserve">(455B) to </w:t>
      </w:r>
      <w:hyperlink r:id="rId59">
        <w:r>
          <w:rPr>
            <w:rStyle w:val="Hyperlink"/>
            <w:rFonts w:ascii="Times New Roman" w:hAnsi="Times New Roman"/>
            <w:b w:val="false"/>
            <w:i w:val="false"/>
            <w:color w:val="000000"/>
            <w:sz w:val="22"/>
          </w:rPr>
          <w:t>567—62.5</w:t>
        </w:r>
      </w:hyperlink>
      <w:r>
        <w:rPr>
          <w:rFonts w:ascii="Times New Roman" w:hAnsi="Times New Roman"/>
          <w:b w:val="false"/>
          <w:i w:val="false"/>
          <w:color w:val="000000"/>
          <w:sz w:val="22"/>
        </w:rPr>
        <w:t xml:space="preserve">(455B) or effluent limitations or pretreatment requirements in </w:t>
      </w:r>
      <w:hyperlink r:id="rId60">
        <w:r>
          <w:rPr>
            <w:rStyle w:val="Hyperlink"/>
            <w:rFonts w:ascii="Times New Roman" w:hAnsi="Times New Roman"/>
            <w:b w:val="false"/>
            <w:i w:val="false"/>
            <w:color w:val="000000"/>
            <w:sz w:val="22"/>
          </w:rPr>
          <w:t>567—62.6</w:t>
        </w:r>
      </w:hyperlink>
      <w:r>
        <w:rPr>
          <w:rFonts w:ascii="Times New Roman" w:hAnsi="Times New Roman"/>
          <w:b w:val="false"/>
          <w:i w:val="false"/>
          <w:color w:val="000000"/>
          <w:sz w:val="22"/>
        </w:rPr>
        <w:t>(455B) may be imposed by the department if the more stringent effluent limitations or pretreatment requirements are required by an approved areawide waste treatment management (208(b))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62.8(5)</w:t>
      </w:r>
      <w:r>
        <w:rPr>
          <w:rFonts w:ascii="Times New Roman" w:hAnsi="Times New Roman"/>
          <w:b w:val="false"/>
          <w:i w:val="false"/>
          <w:color w:val="000000"/>
          <w:sz w:val="22"/>
        </w:rPr>
        <w:t> </w:t>
      </w:r>
      <w:r>
        <w:rPr>
          <w:rFonts w:ascii="Times New Roman" w:hAnsi="Times New Roman"/>
          <w:b w:val="false"/>
          <w:i/>
          <w:color w:val="000000"/>
          <w:sz w:val="22"/>
        </w:rPr>
        <w:t xml:space="preserve">Effluent limitations for pollutants not covered by effluent or pretreatment standards. </w:t>
      </w:r>
      <w:r>
        <w:rPr>
          <w:rFonts w:ascii="Times New Roman" w:hAnsi="Times New Roman"/>
          <w:b w:val="false"/>
          <w:i w:val="false"/>
          <w:color w:val="000000"/>
          <w:sz w:val="22"/>
        </w:rPr>
        <w:t xml:space="preserve">An effluent limitation on a pollutant not otherwise regulated under </w:t>
      </w:r>
      <w:hyperlink r:id="rId61">
        <w:r>
          <w:rPr>
            <w:rStyle w:val="Hyperlink"/>
            <w:rFonts w:ascii="Times New Roman" w:hAnsi="Times New Roman"/>
            <w:b w:val="false"/>
            <w:i w:val="false"/>
            <w:color w:val="000000"/>
            <w:sz w:val="22"/>
          </w:rPr>
          <w:t>567—62.3</w:t>
        </w:r>
      </w:hyperlink>
      <w:r>
        <w:rPr>
          <w:rFonts w:ascii="Times New Roman" w:hAnsi="Times New Roman"/>
          <w:b w:val="false"/>
          <w:i w:val="false"/>
          <w:color w:val="000000"/>
          <w:sz w:val="22"/>
        </w:rPr>
        <w:t xml:space="preserve">(455B) to </w:t>
      </w:r>
      <w:hyperlink r:id="rId62">
        <w:r>
          <w:rPr>
            <w:rStyle w:val="Hyperlink"/>
            <w:rFonts w:ascii="Times New Roman" w:hAnsi="Times New Roman"/>
            <w:b w:val="false"/>
            <w:i w:val="false"/>
            <w:color w:val="000000"/>
            <w:sz w:val="22"/>
          </w:rPr>
          <w:t>567—62.6</w:t>
        </w:r>
      </w:hyperlink>
      <w:r>
        <w:rPr>
          <w:rFonts w:ascii="Times New Roman" w:hAnsi="Times New Roman"/>
          <w:b w:val="false"/>
          <w:i w:val="false"/>
          <w:color w:val="000000"/>
          <w:sz w:val="22"/>
        </w:rPr>
        <w:t>(455B) (e.g., polybrominated biphenyls, PBBs) may be imposed on a case-by-case basis. Such limitation shall be based on effect of the pollutant in water and the feasibility and reasonableness of treating such pollutant.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7625B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 xml:space="preserve">; </w:t>
      </w:r>
      <w:r>
        <w:rPr>
          <w:rFonts w:ascii="Times New Roman" w:hAnsi="Times New Roman"/>
          <w:b/>
          <w:i w:val="false"/>
          <w:color w:val="000000"/>
          <w:sz w:val="16"/>
        </w:rPr>
        <w:t>ARC 8123B</w:t>
      </w:r>
      <w:r>
        <w:rPr>
          <w:rFonts w:ascii="Times New Roman" w:hAnsi="Times New Roman"/>
          <w:b w:val="false"/>
          <w:i w:val="false"/>
          <w:color w:val="000000"/>
          <w:sz w:val="16"/>
        </w:rPr>
        <w:t>, IAB 9/9/09, effective 10/14/09</w:t>
      </w:r>
      <w:r>
        <w:rPr>
          <w:rFonts w:ascii="Times New Roman" w:hAnsi="Times New Roman"/>
          <w:b w:val="false"/>
          <w:i w:val="false"/>
          <w:color w:val="000000"/>
          <w:sz w:val="16"/>
        </w:rPr>
        <w:t xml:space="preserve">; </w:t>
      </w:r>
      <w:r>
        <w:rPr>
          <w:rFonts w:ascii="Times New Roman" w:hAnsi="Times New Roman"/>
          <w:b/>
          <w:i w:val="false"/>
          <w:color w:val="000000"/>
          <w:sz w:val="16"/>
        </w:rPr>
        <w:t>ARC 8214B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 xml:space="preserve">; </w:t>
      </w:r>
      <w:r>
        <w:rPr>
          <w:rFonts w:ascii="Times New Roman" w:hAnsi="Times New Roman"/>
          <w:b/>
          <w:i w:val="false"/>
          <w:color w:val="000000"/>
          <w:sz w:val="16"/>
        </w:rPr>
        <w:t>ARC 3583C</w:t>
      </w:r>
      <w:r>
        <w:rPr>
          <w:rFonts w:ascii="Times New Roman" w:hAnsi="Times New Roman"/>
          <w:b w:val="false"/>
          <w:i w:val="false"/>
          <w:color w:val="000000"/>
          <w:sz w:val="16"/>
        </w:rPr>
        <w:t>, IAB 1/17/18, effective 2/21/18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567—62.9</w:t>
      </w:r>
      <w:r>
        <w:rPr>
          <w:rFonts w:ascii="Times New Roman" w:hAnsi="Times New Roman"/>
          <w:b/>
          <w:i w:val="false"/>
          <w:color w:val="000000"/>
          <w:sz w:val="22"/>
        </w:rPr>
        <w:t xml:space="preserve">(455B) </w:t>
      </w:r>
      <w:r>
        <w:rPr>
          <w:rFonts w:ascii="Times New Roman" w:hAnsi="Times New Roman"/>
          <w:b/>
          <w:i w:val="false"/>
          <w:color w:val="000000"/>
          <w:sz w:val="22"/>
        </w:rPr>
        <w:t xml:space="preserve">Disposal of pollutants into wells. </w:t>
      </w:r>
      <w:r>
        <w:rPr>
          <w:rFonts w:ascii="Times New Roman" w:hAnsi="Times New Roman"/>
          <w:b w:val="false"/>
          <w:i w:val="false"/>
          <w:color w:val="000000"/>
          <w:sz w:val="22"/>
        </w:rPr>
        <w:t>Commencing September 1, 1977, there shall be no disposal of a pollutant other than heat into wells within Iowa. Any disposal of heat shall be sufficiently controlled to protect the public health and welfare and to prevent pollution of ground and surface water resources. In reviewing any permits proposed to be issued for the disposal into wells, the director shall consider, among other things, any policies, technical information, or requirements specified by the administrator in regulations issued pursuant to the Act or in directives issued to EPA regional offices.</w:t>
      </w:r>
    </w:p>
    <w:p>
      <w:pPr>
        <w:spacing w:before="0" w:after="0"/>
        <w:ind w:left="120"/>
        <w:jc w:val="both"/>
      </w:pPr>
      <w:r>
        <w:rPr>
          <w:rFonts w:ascii="Times New Roman" w:hAnsi="Times New Roman"/>
          <w:b/>
          <w:i w:val="false"/>
          <w:color w:val="000000"/>
          <w:sz w:val="22"/>
        </w:rPr>
        <w:t>567—62.10</w:t>
      </w:r>
      <w:r>
        <w:rPr>
          <w:rFonts w:ascii="Times New Roman" w:hAnsi="Times New Roman"/>
          <w:b/>
          <w:i w:val="false"/>
          <w:color w:val="000000"/>
          <w:sz w:val="22"/>
        </w:rPr>
        <w:t xml:space="preserve">(455B) </w:t>
      </w:r>
      <w:r>
        <w:rPr>
          <w:rFonts w:ascii="Times New Roman" w:hAnsi="Times New Roman"/>
          <w:b/>
          <w:i w:val="false"/>
          <w:color w:val="000000"/>
          <w:sz w:val="22"/>
        </w:rPr>
        <w:t xml:space="preserve">Effluent reuse. </w:t>
      </w:r>
      <w:r>
        <w:rPr>
          <w:rFonts w:ascii="Times New Roman" w:hAnsi="Times New Roman"/>
          <w:b w:val="false"/>
          <w:i w:val="false"/>
          <w:color w:val="000000"/>
          <w:sz w:val="22"/>
        </w:rPr>
        <w:t xml:space="preserve">Treated final effluent may be reused in a manner noted in </w:t>
      </w:r>
      <w:hyperlink r:id="rId63">
        <w:r>
          <w:rPr>
            <w:rStyle w:val="Hyperlink"/>
            <w:rFonts w:ascii="Times New Roman" w:hAnsi="Times New Roman"/>
            <w:b w:val="false"/>
            <w:i w:val="false"/>
            <w:color w:val="000000"/>
            <w:sz w:val="22"/>
          </w:rPr>
          <w:t>62.10(1)</w:t>
        </w:r>
      </w:hyperlink>
      <w:r>
        <w:rPr>
          <w:rFonts w:ascii="Times New Roman" w:hAnsi="Times New Roman"/>
          <w:b w:val="false"/>
          <w:i w:val="false"/>
          <w:color w:val="000000"/>
          <w:sz w:val="22"/>
        </w:rPr>
        <w:t xml:space="preserve"> or as specified in the NPDES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62.10(1)</w:t>
      </w:r>
      <w:r>
        <w:rPr>
          <w:rFonts w:ascii="Times New Roman" w:hAnsi="Times New Roman"/>
          <w:b w:val="false"/>
          <w:i w:val="false"/>
          <w:color w:val="000000"/>
          <w:sz w:val="22"/>
        </w:rPr>
        <w:t> </w:t>
      </w:r>
      <w:r>
        <w:rPr>
          <w:rFonts w:ascii="Times New Roman" w:hAnsi="Times New Roman"/>
          <w:b w:val="false"/>
          <w:i w:val="false"/>
          <w:color w:val="000000"/>
          <w:sz w:val="22"/>
        </w:rPr>
        <w:t xml:space="preserve">Reuse for golf course irrigation. Treated final effluent may be reused for golf course irrigation if the conditions described in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treated final effluent must meet one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minimum total residual chlorine level of 0.5 mg/l must be maintained at a minimum of 15 minutes contact time of chlorine to wastewater prior to the irrigation of the golf course with treatment plant effluent;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Disinfected effluent shall be held in a retention pond with a detention time of at least 20 days prior to reuse as irrigation on a golf course. For this purpose, effluent may be disinfected using any common treatment technology, and either an existing pond or a pond constructed specifically for effluent retention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golf course utilizing treated final effluent shall take all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Clearly state on all scorecards that treated final effluent is used for irrigation of the golf course and oral contact with golf balls and tees should be avoided;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Post signs that warn against consumption of water at all water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Color code, label, or tag all piping and sprinklers associated with the distribution or transmission of the treated final effluent to clearly warn against the consumptive use of the contents;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Restrict the access of the public to any area of the golf course where spraying is being conducted.</w:t>
      </w:r>
    </w:p>
    <w:p>
      <w:pPr>
        <w:spacing w:before="0" w:after="0"/>
        <w:ind w:left="120"/>
        <w:jc w:val="both"/>
      </w:pPr>
      <w:r>
        <w:rPr>
          <w:rFonts w:ascii="Times New Roman" w:hAnsi="Times New Roman"/>
          <w:b w:val="false"/>
          <w:i w:val="false"/>
          <w:color w:val="000000"/>
          <w:sz w:val="22"/>
        </w:rPr>
        <w:t>All four of the above conditions must be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62.10(2)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7625B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4">
        <w:r>
          <w:rPr>
            <w:rStyle w:val="Hyperlink"/>
            <w:rFonts w:ascii="Times New Roman" w:hAnsi="Times New Roman"/>
            <w:b w:val="false"/>
            <w:i w:val="false"/>
            <w:color w:val="000000"/>
            <w:sz w:val="22"/>
          </w:rPr>
          <w:t>455B, division III, part 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5/10/66; amended 11/8/71]</w:t>
      </w:r>
    </w:p>
    <w:p>
      <w:pPr>
        <w:spacing w:before="0" w:after="0"/>
        <w:ind w:left="120"/>
        <w:jc w:val="center"/>
      </w:pPr>
      <w:r>
        <w:rPr>
          <w:rFonts w:ascii="Times New Roman" w:hAnsi="Times New Roman"/>
          <w:b w:val="false"/>
          <w:i w:val="false"/>
          <w:color w:val="000000"/>
          <w:sz w:val="21"/>
        </w:rPr>
        <w:t>[Filed 7/1/77, Notice 3/23/77—published 7/27/77, effective 8/31/77]</w:t>
      </w:r>
    </w:p>
    <w:p>
      <w:pPr>
        <w:spacing w:before="0" w:after="0"/>
        <w:ind w:left="120"/>
        <w:jc w:val="center"/>
      </w:pPr>
      <w:r>
        <w:rPr>
          <w:rFonts w:ascii="Times New Roman" w:hAnsi="Times New Roman"/>
          <w:b w:val="false"/>
          <w:i w:val="false"/>
          <w:color w:val="000000"/>
          <w:sz w:val="21"/>
        </w:rPr>
        <w:t>[Filed without Notice 2/2/79—published 2/21/79, effective 3/28/79]</w:t>
      </w:r>
    </w:p>
    <w:p>
      <w:pPr>
        <w:spacing w:before="0" w:after="0"/>
        <w:ind w:left="120"/>
        <w:jc w:val="center"/>
      </w:pPr>
      <w:r>
        <w:rPr>
          <w:rFonts w:ascii="Times New Roman" w:hAnsi="Times New Roman"/>
          <w:b w:val="false"/>
          <w:i w:val="false"/>
          <w:color w:val="000000"/>
          <w:sz w:val="21"/>
        </w:rPr>
        <w:t>[Filed 8/3/79, Notice 5/2/79—published 8/22/79, effective 9/26/79]</w:t>
      </w:r>
    </w:p>
    <w:p>
      <w:pPr>
        <w:spacing w:before="0" w:after="0"/>
        <w:ind w:left="120"/>
        <w:jc w:val="center"/>
      </w:pPr>
      <w:r>
        <w:rPr>
          <w:rFonts w:ascii="Times New Roman" w:hAnsi="Times New Roman"/>
          <w:b w:val="false"/>
          <w:i w:val="false"/>
          <w:color w:val="000000"/>
          <w:sz w:val="21"/>
        </w:rPr>
        <w:t>[Filed 10/26/79, Notice 6/27/79—published 11/14/79, effective 12/19/79]</w:t>
      </w:r>
    </w:p>
    <w:p>
      <w:pPr>
        <w:spacing w:before="0" w:after="0"/>
        <w:ind w:left="120"/>
        <w:jc w:val="center"/>
      </w:pPr>
      <w:r>
        <w:rPr>
          <w:rFonts w:ascii="Times New Roman" w:hAnsi="Times New Roman"/>
          <w:b w:val="false"/>
          <w:i w:val="false"/>
          <w:color w:val="000000"/>
          <w:sz w:val="21"/>
        </w:rPr>
        <w:t>[Filed without Notice 2/1/80—published 2/20/80, effective 3/26/80]</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12/2/83, Notice 6/22/83—published 12/21/83, effective 1/25/84]</w:t>
      </w:r>
    </w:p>
    <w:p>
      <w:pPr>
        <w:spacing w:before="0" w:after="0"/>
        <w:ind w:left="120"/>
        <w:jc w:val="center"/>
      </w:pPr>
      <w:r>
        <w:rPr>
          <w:rFonts w:ascii="Times New Roman" w:hAnsi="Times New Roman"/>
          <w:b w:val="false"/>
          <w:i w:val="false"/>
          <w:color w:val="000000"/>
          <w:sz w:val="21"/>
        </w:rPr>
        <w:t>[Filed 10/19/84, Notice 7/18/84—published 11/7/84, effective 12/12/84]</w:t>
      </w:r>
    </w:p>
    <w:p>
      <w:pPr>
        <w:spacing w:before="0" w:after="0"/>
        <w:ind w:left="120"/>
        <w:jc w:val="center"/>
      </w:pPr>
      <w:r>
        <w:rPr>
          <w:rFonts w:ascii="Times New Roman" w:hAnsi="Times New Roman"/>
          <w:b w:val="false"/>
          <w:i w:val="false"/>
          <w:color w:val="000000"/>
          <w:sz w:val="21"/>
        </w:rPr>
        <w:t>[Filed 4/30/86, Notice 9/11/85—published 5/21/86, effective 6/25/86]</w:t>
      </w:r>
    </w:p>
    <w:p>
      <w:pPr>
        <w:spacing w:before="0" w:after="0"/>
        <w:ind w:left="120"/>
        <w:jc w:val="center"/>
      </w:pPr>
      <w:r>
        <w:rPr>
          <w:rFonts w:ascii="Times New Roman" w:hAnsi="Times New Roman"/>
          <w:b w:val="false"/>
          <w:i w:val="false"/>
          <w:color w:val="000000"/>
          <w:sz w:val="21"/>
        </w:rPr>
        <w:t>[Filed without Notice 8/22/86—published 9/10/86, effective 10/15/86]</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without Notice 7/24/87—published 8/12/87, effective 9/16/87]</w:t>
      </w:r>
    </w:p>
    <w:p>
      <w:pPr>
        <w:spacing w:before="0" w:after="0"/>
        <w:ind w:left="120"/>
        <w:jc w:val="center"/>
      </w:pPr>
      <w:r>
        <w:rPr>
          <w:rFonts w:ascii="Times New Roman" w:hAnsi="Times New Roman"/>
          <w:b w:val="false"/>
          <w:i w:val="false"/>
          <w:color w:val="000000"/>
          <w:sz w:val="21"/>
        </w:rPr>
        <w:t>[Filed 8/31/89, Notice 6/14/89—published 9/20/89, effective 10/25/89]</w:t>
      </w:r>
    </w:p>
    <w:p>
      <w:pPr>
        <w:spacing w:before="0" w:after="0"/>
        <w:ind w:left="120"/>
        <w:jc w:val="center"/>
      </w:pPr>
      <w:r>
        <w:rPr>
          <w:rFonts w:ascii="Times New Roman" w:hAnsi="Times New Roman"/>
          <w:b w:val="false"/>
          <w:i w:val="false"/>
          <w:color w:val="000000"/>
          <w:sz w:val="21"/>
        </w:rPr>
        <w:t>[Filed 3/30/90, Notice 8/9/90—published 4/18/90, effective 5/23/90]</w:t>
      </w:r>
    </w:p>
    <w:p>
      <w:pPr>
        <w:spacing w:before="0" w:after="0"/>
        <w:ind w:left="120"/>
        <w:jc w:val="center"/>
      </w:pPr>
      <w:r>
        <w:rPr>
          <w:rFonts w:ascii="Times New Roman" w:hAnsi="Times New Roman"/>
          <w:b w:val="false"/>
          <w:i w:val="false"/>
          <w:color w:val="000000"/>
          <w:sz w:val="21"/>
        </w:rPr>
        <w:t>[Filed 10/26/90, Notice 8/8/90—published 11/14/90, effective 12/19/90]</w:t>
      </w:r>
    </w:p>
    <w:p>
      <w:pPr>
        <w:spacing w:before="0" w:after="0"/>
        <w:ind w:left="120"/>
        <w:jc w:val="center"/>
      </w:pPr>
      <w:r>
        <w:rPr>
          <w:rFonts w:ascii="Times New Roman" w:hAnsi="Times New Roman"/>
          <w:b w:val="false"/>
          <w:i w:val="false"/>
          <w:color w:val="000000"/>
          <w:sz w:val="21"/>
        </w:rPr>
        <w:t>[Filed without Notice 6/21/91—published 7/10/91, effective 8/14/91]</w:t>
      </w:r>
    </w:p>
    <w:p>
      <w:pPr>
        <w:spacing w:before="0" w:after="0"/>
        <w:ind w:left="120"/>
        <w:jc w:val="center"/>
      </w:pPr>
      <w:r>
        <w:rPr>
          <w:rFonts w:ascii="Times New Roman" w:hAnsi="Times New Roman"/>
          <w:b w:val="false"/>
          <w:i w:val="false"/>
          <w:color w:val="000000"/>
          <w:sz w:val="21"/>
        </w:rPr>
        <w:t>[Filed without Notice 8/28/92—published 9/16/92, effective 10/21/92]</w:t>
      </w:r>
    </w:p>
    <w:p>
      <w:pPr>
        <w:spacing w:before="0" w:after="0"/>
        <w:ind w:left="120"/>
        <w:jc w:val="center"/>
      </w:pPr>
      <w:r>
        <w:rPr>
          <w:rFonts w:ascii="Times New Roman" w:hAnsi="Times New Roman"/>
          <w:b w:val="false"/>
          <w:i w:val="false"/>
          <w:color w:val="000000"/>
          <w:sz w:val="21"/>
        </w:rPr>
        <w:t>[Filed without Notice 8/27/93—published 9/15/93, effective 10/20/93]</w:t>
      </w:r>
    </w:p>
    <w:p>
      <w:pPr>
        <w:spacing w:before="0" w:after="0"/>
        <w:ind w:left="120"/>
        <w:jc w:val="center"/>
      </w:pPr>
      <w:r>
        <w:rPr>
          <w:rFonts w:ascii="Times New Roman" w:hAnsi="Times New Roman"/>
          <w:b w:val="false"/>
          <w:i w:val="false"/>
          <w:color w:val="000000"/>
          <w:sz w:val="21"/>
        </w:rPr>
        <w:t>[Filed without Notice 8/26/94—published 9/14/94, effective 10/19/94]</w:t>
      </w:r>
    </w:p>
    <w:p>
      <w:pPr>
        <w:spacing w:before="0" w:after="0"/>
        <w:ind w:left="120"/>
        <w:jc w:val="center"/>
      </w:pPr>
      <w:r>
        <w:rPr>
          <w:rFonts w:ascii="Times New Roman" w:hAnsi="Times New Roman"/>
          <w:b w:val="false"/>
          <w:i w:val="false"/>
          <w:color w:val="000000"/>
          <w:sz w:val="21"/>
        </w:rPr>
        <w:t>[Filed without Notice 9/22/95—published 10/11/95, effective 11/15/95]</w:t>
      </w:r>
    </w:p>
    <w:p>
      <w:pPr>
        <w:spacing w:before="0" w:after="0"/>
        <w:ind w:left="120"/>
        <w:jc w:val="center"/>
      </w:pPr>
      <w:r>
        <w:rPr>
          <w:rFonts w:ascii="Times New Roman" w:hAnsi="Times New Roman"/>
          <w:b w:val="false"/>
          <w:i w:val="false"/>
          <w:color w:val="000000"/>
          <w:sz w:val="21"/>
        </w:rPr>
        <w:t>[Filed without Notice 9/20/96—published 10/9/96, effective 11/13/96]</w:t>
      </w:r>
    </w:p>
    <w:p>
      <w:pPr>
        <w:spacing w:before="0" w:after="0"/>
        <w:ind w:left="120"/>
        <w:jc w:val="center"/>
      </w:pPr>
      <w:r>
        <w:rPr>
          <w:rFonts w:ascii="Times New Roman" w:hAnsi="Times New Roman"/>
          <w:b w:val="false"/>
          <w:i w:val="false"/>
          <w:color w:val="000000"/>
          <w:sz w:val="21"/>
        </w:rPr>
        <w:t>[Filed without Notice 9/19/97—published 10/8/97, effective 11/12/97]</w:t>
      </w:r>
    </w:p>
    <w:p>
      <w:pPr>
        <w:spacing w:before="0" w:after="0"/>
        <w:ind w:left="120"/>
        <w:jc w:val="center"/>
      </w:pPr>
      <w:r>
        <w:rPr>
          <w:rFonts w:ascii="Times New Roman" w:hAnsi="Times New Roman"/>
          <w:b w:val="false"/>
          <w:i w:val="false"/>
          <w:color w:val="000000"/>
          <w:sz w:val="21"/>
        </w:rPr>
        <w:t>[Filed without Notice 2/5/99—published 2/24/99, effective 3/31/99]</w:t>
      </w:r>
    </w:p>
    <w:p>
      <w:pPr>
        <w:spacing w:before="0" w:after="0"/>
        <w:ind w:left="120"/>
        <w:jc w:val="center"/>
      </w:pPr>
      <w:r>
        <w:rPr>
          <w:rFonts w:ascii="Times New Roman" w:hAnsi="Times New Roman"/>
          <w:b w:val="false"/>
          <w:i w:val="false"/>
          <w:color w:val="000000"/>
          <w:sz w:val="21"/>
        </w:rPr>
        <w:t>[Filed without Notice 10/28/99—published 11/17/99, effective 12/22/99]</w:t>
      </w:r>
    </w:p>
    <w:p>
      <w:pPr>
        <w:spacing w:before="0" w:after="0"/>
        <w:ind w:left="120"/>
        <w:jc w:val="center"/>
      </w:pPr>
      <w:r>
        <w:rPr>
          <w:rFonts w:ascii="Times New Roman" w:hAnsi="Times New Roman"/>
          <w:b w:val="false"/>
          <w:i w:val="false"/>
          <w:color w:val="000000"/>
          <w:sz w:val="21"/>
        </w:rPr>
        <w:t>[Filed without Notice 10/27/00—published 11/15/00, effective 12/20/00]</w:t>
      </w:r>
    </w:p>
    <w:p>
      <w:pPr>
        <w:spacing w:before="0" w:after="0"/>
        <w:ind w:left="120"/>
        <w:jc w:val="center"/>
      </w:pPr>
      <w:r>
        <w:rPr>
          <w:rFonts w:ascii="Times New Roman" w:hAnsi="Times New Roman"/>
          <w:b w:val="false"/>
          <w:i w:val="false"/>
          <w:color w:val="000000"/>
          <w:sz w:val="21"/>
        </w:rPr>
        <w:t>[Filed without Notice 9/27/01—published 10/17/01, effective 11/21/01]</w:t>
      </w:r>
    </w:p>
    <w:p>
      <w:pPr>
        <w:spacing w:before="0" w:after="0"/>
        <w:ind w:left="120"/>
        <w:jc w:val="center"/>
      </w:pPr>
      <w:r>
        <w:rPr>
          <w:rFonts w:ascii="Times New Roman" w:hAnsi="Times New Roman"/>
          <w:b w:val="false"/>
          <w:i w:val="false"/>
          <w:color w:val="000000"/>
          <w:sz w:val="21"/>
        </w:rPr>
        <w:t>[Filed 5/24/02, Notice 1/9/02—published 6/12/02, effective 7/17/02]</w:t>
      </w:r>
    </w:p>
    <w:p>
      <w:pPr>
        <w:spacing w:before="0" w:after="0"/>
        <w:ind w:left="120"/>
        <w:jc w:val="center"/>
      </w:pPr>
      <w:r>
        <w:rPr>
          <w:rFonts w:ascii="Times New Roman" w:hAnsi="Times New Roman"/>
          <w:b w:val="false"/>
          <w:i w:val="false"/>
          <w:color w:val="000000"/>
          <w:sz w:val="21"/>
        </w:rPr>
        <w:t>[Filed without Notice 9/25/02—published 10/16/02, effective 11/20/02]</w:t>
      </w:r>
    </w:p>
    <w:p>
      <w:pPr>
        <w:spacing w:before="0" w:after="0"/>
        <w:ind w:left="120"/>
        <w:jc w:val="center"/>
      </w:pPr>
      <w:r>
        <w:rPr>
          <w:rFonts w:ascii="Times New Roman" w:hAnsi="Times New Roman"/>
          <w:b w:val="false"/>
          <w:i w:val="false"/>
          <w:color w:val="000000"/>
          <w:sz w:val="21"/>
        </w:rPr>
        <w:t>[Filed 5/22/03, Notice 1/8/03—published 6/11/03, effective 7/16/03]</w:t>
      </w:r>
    </w:p>
    <w:p>
      <w:pPr>
        <w:spacing w:before="0" w:after="0"/>
        <w:ind w:left="120"/>
        <w:jc w:val="center"/>
      </w:pPr>
      <w:r>
        <w:rPr>
          <w:rFonts w:ascii="Times New Roman" w:hAnsi="Times New Roman"/>
          <w:b w:val="false"/>
          <w:i w:val="false"/>
          <w:color w:val="000000"/>
          <w:sz w:val="21"/>
        </w:rPr>
        <w:t>[Filed without Notice 9/25/03—published 10/15/03, effective 11/19/03]</w:t>
      </w:r>
    </w:p>
    <w:p>
      <w:pPr>
        <w:spacing w:before="0" w:after="0"/>
        <w:ind w:left="120"/>
        <w:jc w:val="center"/>
      </w:pPr>
      <w:r>
        <w:rPr>
          <w:rFonts w:ascii="Times New Roman" w:hAnsi="Times New Roman"/>
          <w:b w:val="false"/>
          <w:i w:val="false"/>
          <w:color w:val="000000"/>
          <w:sz w:val="21"/>
        </w:rPr>
        <w:t>[Filed 4/23/04, Notice 9/17/03—published 5/12/04, effective 6/16/04]</w:t>
      </w:r>
    </w:p>
    <w:p>
      <w:pPr>
        <w:spacing w:before="0" w:after="0"/>
        <w:ind w:left="120"/>
        <w:jc w:val="center"/>
      </w:pPr>
      <w:r>
        <w:rPr>
          <w:rFonts w:ascii="Times New Roman" w:hAnsi="Times New Roman"/>
          <w:b w:val="false"/>
          <w:i w:val="false"/>
          <w:color w:val="000000"/>
          <w:sz w:val="21"/>
        </w:rPr>
        <w:t>[Filed without Notice 11/17/04—published 12/8/04, effective 1/12/05]</w:t>
      </w:r>
    </w:p>
    <w:p>
      <w:pPr>
        <w:spacing w:before="0" w:after="0"/>
        <w:ind w:left="120"/>
        <w:jc w:val="center"/>
      </w:pPr>
      <w:r>
        <w:rPr>
          <w:rFonts w:ascii="Times New Roman" w:hAnsi="Times New Roman"/>
          <w:b w:val="false"/>
          <w:i w:val="false"/>
          <w:color w:val="000000"/>
          <w:sz w:val="21"/>
        </w:rPr>
        <w:t>[Filed without Notice 10/21/05—published 11/9/05, effective 12/14/05]</w:t>
      </w:r>
    </w:p>
    <w:p>
      <w:pPr>
        <w:spacing w:before="0" w:after="0"/>
        <w:ind w:left="120"/>
        <w:jc w:val="center"/>
      </w:pPr>
      <w:r>
        <w:rPr>
          <w:rFonts w:ascii="Times New Roman" w:hAnsi="Times New Roman"/>
          <w:b w:val="false"/>
          <w:i w:val="false"/>
          <w:color w:val="000000"/>
          <w:sz w:val="21"/>
        </w:rPr>
        <w:t>[Filed without Notice 9/21/06—published 10/11/06, effective 11/15/06]</w:t>
      </w:r>
    </w:p>
    <w:p>
      <w:pPr>
        <w:spacing w:before="0" w:after="0"/>
        <w:ind w:left="120"/>
        <w:jc w:val="center"/>
      </w:pPr>
      <w:r>
        <w:rPr>
          <w:rFonts w:ascii="Times New Roman" w:hAnsi="Times New Roman"/>
          <w:b w:val="false"/>
          <w:i w:val="false"/>
          <w:color w:val="000000"/>
          <w:sz w:val="21"/>
        </w:rPr>
        <w:t>[Filed without Notice 11/14/07—published 12/5/07, effective 1/9/08]</w:t>
      </w:r>
    </w:p>
    <w:p>
      <w:pPr>
        <w:spacing w:before="0" w:after="0"/>
        <w:ind w:left="120"/>
        <w:jc w:val="center"/>
      </w:pPr>
      <w:r>
        <w:rPr>
          <w:rFonts w:ascii="Times New Roman" w:hAnsi="Times New Roman"/>
          <w:b w:val="false"/>
          <w:i w:val="false"/>
          <w:color w:val="000000"/>
          <w:sz w:val="21"/>
        </w:rPr>
        <w:t>[Filed ARC 7625B</w:t>
      </w:r>
      <w:r>
        <w:rPr>
          <w:rFonts w:ascii="Times New Roman" w:hAnsi="Times New Roman"/>
          <w:b w:val="false"/>
          <w:i w:val="false"/>
          <w:color w:val="000000"/>
          <w:sz w:val="21"/>
        </w:rPr>
        <w:t xml:space="preserve"> (Notice ARC 7152B, IAB 9/10/08)</w:t>
      </w:r>
      <w:r>
        <w:rPr>
          <w:rFonts w:ascii="Times New Roman" w:hAnsi="Times New Roman"/>
          <w:b w:val="false"/>
          <w:i w:val="false"/>
          <w:color w:val="000000"/>
          <w:sz w:val="21"/>
        </w:rPr>
        <w:t>, IAB 3/11/09, effective 4/15/09]</w:t>
      </w:r>
    </w:p>
    <w:p>
      <w:pPr>
        <w:spacing w:before="0" w:after="0"/>
        <w:ind w:left="120"/>
        <w:jc w:val="center"/>
      </w:pPr>
      <w:r>
        <w:rPr>
          <w:rFonts w:ascii="Times New Roman" w:hAnsi="Times New Roman"/>
          <w:b w:val="false"/>
          <w:i w:val="false"/>
          <w:color w:val="000000"/>
          <w:sz w:val="21"/>
        </w:rPr>
        <w:t>[Filed ARC 8123B</w:t>
      </w:r>
      <w:r>
        <w:rPr>
          <w:rFonts w:ascii="Times New Roman" w:hAnsi="Times New Roman"/>
          <w:b w:val="false"/>
          <w:i w:val="false"/>
          <w:color w:val="000000"/>
          <w:sz w:val="21"/>
        </w:rPr>
        <w:t xml:space="preserve"> (Notice ARC 7813B, IAB 6/3/09)</w:t>
      </w:r>
      <w:r>
        <w:rPr>
          <w:rFonts w:ascii="Times New Roman" w:hAnsi="Times New Roman"/>
          <w:b w:val="false"/>
          <w:i w:val="false"/>
          <w:color w:val="000000"/>
          <w:sz w:val="21"/>
        </w:rPr>
        <w:t>, IAB 9/9/09, effective 10/14/09]</w:t>
      </w:r>
    </w:p>
    <w:p>
      <w:pPr>
        <w:spacing w:before="0" w:after="0"/>
        <w:ind w:left="120"/>
        <w:jc w:val="center"/>
      </w:pPr>
      <w:r>
        <w:rPr>
          <w:rFonts w:ascii="Times New Roman" w:hAnsi="Times New Roman"/>
          <w:b w:val="false"/>
          <w:i w:val="false"/>
          <w:color w:val="000000"/>
          <w:sz w:val="21"/>
        </w:rPr>
        <w:t>[Filed ARC 8214B</w:t>
      </w:r>
      <w:r>
        <w:rPr>
          <w:rFonts w:ascii="Times New Roman" w:hAnsi="Times New Roman"/>
          <w:b w:val="false"/>
          <w:i w:val="false"/>
          <w:color w:val="000000"/>
          <w:sz w:val="21"/>
        </w:rPr>
        <w:t xml:space="preserve"> (Notice ARC 7853B, IAB 6/17/09)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2482C</w:t>
      </w:r>
      <w:r>
        <w:rPr>
          <w:rFonts w:ascii="Times New Roman" w:hAnsi="Times New Roman"/>
          <w:b w:val="false"/>
          <w:i w:val="false"/>
          <w:color w:val="000000"/>
          <w:sz w:val="21"/>
        </w:rPr>
        <w:t xml:space="preserve"> (Notice ARC 2353C, IAB 1/6/16)</w:t>
      </w:r>
      <w:r>
        <w:rPr>
          <w:rFonts w:ascii="Times New Roman" w:hAnsi="Times New Roman"/>
          <w:b w:val="false"/>
          <w:i w:val="false"/>
          <w:color w:val="000000"/>
          <w:sz w:val="21"/>
        </w:rPr>
        <w:t>, IAB 4/13/16, effective 5/18/16]</w:t>
      </w:r>
    </w:p>
    <w:p>
      <w:pPr>
        <w:spacing w:before="0" w:after="0"/>
        <w:ind w:left="120"/>
        <w:jc w:val="center"/>
      </w:pPr>
      <w:r>
        <w:rPr>
          <w:rFonts w:ascii="Times New Roman" w:hAnsi="Times New Roman"/>
          <w:b w:val="false"/>
          <w:i w:val="false"/>
          <w:color w:val="000000"/>
          <w:sz w:val="21"/>
        </w:rPr>
        <w:t>[Filed ARC 3583C</w:t>
      </w:r>
      <w:r>
        <w:rPr>
          <w:rFonts w:ascii="Times New Roman" w:hAnsi="Times New Roman"/>
          <w:b w:val="false"/>
          <w:i w:val="false"/>
          <w:color w:val="000000"/>
          <w:sz w:val="21"/>
        </w:rPr>
        <w:t xml:space="preserve"> (Notice ARC 3202C, IAB 7/19/17)</w:t>
      </w:r>
      <w:r>
        <w:rPr>
          <w:rFonts w:ascii="Times New Roman" w:hAnsi="Times New Roman"/>
          <w:b w:val="false"/>
          <w:i w:val="false"/>
          <w:color w:val="000000"/>
          <w:sz w:val="21"/>
        </w:rPr>
        <w:t>, IAB 1/17/18, effective 2/21/18]</w:t>
      </w:r>
    </w:p>
    <w:p>
      <w:pPr>
        <w:spacing w:before="0" w:after="0"/>
        <w:ind w:left="120"/>
        <w:jc w:val="center"/>
      </w:pPr>
      <w:r>
        <w:rPr>
          <w:rFonts w:ascii="Times New Roman" w:hAnsi="Times New Roman"/>
          <w:b w:val="false"/>
          <w:i w:val="false"/>
          <w:color w:val="000000"/>
          <w:sz w:val="21"/>
        </w:rPr>
        <w:t>[Filed ARC 6191C</w:t>
      </w:r>
      <w:r>
        <w:rPr>
          <w:rFonts w:ascii="Times New Roman" w:hAnsi="Times New Roman"/>
          <w:b w:val="false"/>
          <w:i w:val="false"/>
          <w:color w:val="000000"/>
          <w:sz w:val="21"/>
        </w:rPr>
        <w:t xml:space="preserve"> (Notice ARC 6041C, IAB 11/17/21)</w:t>
      </w:r>
      <w:r>
        <w:rPr>
          <w:rFonts w:ascii="Times New Roman" w:hAnsi="Times New Roman"/>
          <w:b w:val="false"/>
          <w:i w:val="false"/>
          <w:color w:val="000000"/>
          <w:sz w:val="21"/>
        </w:rPr>
        <w:t>, IAB 2/9/22, effective 3/16/22]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67.64.3.pdf" Type="http://schemas.openxmlformats.org/officeDocument/2006/relationships/hyperlink" Id="rId5"/>
    <Relationship TargetMode="External" Target="https://www.legis.iowa.gov/docs/ico/chapter/17A.4.pdf" Type="http://schemas.openxmlformats.org/officeDocument/2006/relationships/hyperlink" Id="rId6"/>
    <Relationship TargetMode="External" Target="https://www.legis.iowa.gov/docs/ico/chapter/17A.4.pdf" Type="http://schemas.openxmlformats.org/officeDocument/2006/relationships/hyperlink" Id="rId7"/>
    <Relationship TargetMode="External" Target="https://www.legis.iowa.gov/docs/ico/chapter/17A.4.pdf" Type="http://schemas.openxmlformats.org/officeDocument/2006/relationships/hyperlink" Id="rId8"/>
    <Relationship TargetMode="External" Target="https://www.legis.iowa.gov/docs/ico/chapter/455B.173.pdf" Type="http://schemas.openxmlformats.org/officeDocument/2006/relationships/hyperlink" Id="rId9"/>
    <Relationship TargetMode="External" Target="https://www.legis.iowa.gov/docs/iac/rule/567.62.3.pdf" Type="http://schemas.openxmlformats.org/officeDocument/2006/relationships/hyperlink" Id="rId10"/>
    <Relationship TargetMode="External" Target="https://www.legis.iowa.gov/docs/iac/rule/567.62.3.pdf" Type="http://schemas.openxmlformats.org/officeDocument/2006/relationships/hyperlink" Id="rId11"/>
    <Relationship TargetMode="External" Target="https://www.legis.iowa.gov/docs/iac/rule/567.62.3.pdf" Type="http://schemas.openxmlformats.org/officeDocument/2006/relationships/hyperlink" Id="rId12"/>
    <Relationship TargetMode="External" Target="https://www.legis.iowa.gov/docs/iac/rule/567.62.3.pdf" Type="http://schemas.openxmlformats.org/officeDocument/2006/relationships/hyperlink" Id="rId13"/>
    <Relationship TargetMode="External" Target="https://www.legis.iowa.gov/docs/iac/rule/567.62.3.pdf" Type="http://schemas.openxmlformats.org/officeDocument/2006/relationships/hyperlink" Id="rId14"/>
    <Relationship TargetMode="External" Target="https://www.legis.iowa.gov/docs/iac/rule/567.62.3.pdf" Type="http://schemas.openxmlformats.org/officeDocument/2006/relationships/hyperlink" Id="rId15"/>
    <Relationship TargetMode="External" Target="https://www.legis.iowa.gov/docs/iac/rule/567.62.3.pdf" Type="http://schemas.openxmlformats.org/officeDocument/2006/relationships/hyperlink" Id="rId16"/>
    <Relationship TargetMode="External" Target="https://www.legis.iowa.gov/docs/iac/rule/567.62.3.pdf" Type="http://schemas.openxmlformats.org/officeDocument/2006/relationships/hyperlink" Id="rId17"/>
    <Relationship TargetMode="External" Target="https://www.legis.iowa.gov/docs/iac/rule/567.62.3.pdf" Type="http://schemas.openxmlformats.org/officeDocument/2006/relationships/hyperlink" Id="rId18"/>
    <Relationship TargetMode="External" Target="https://www.legis.iowa.gov/docs/iac/rule/567.62.3.pdf" Type="http://schemas.openxmlformats.org/officeDocument/2006/relationships/hyperlink" Id="rId19"/>
    <Relationship TargetMode="External" Target="https://www.legis.iowa.gov/docs/iac/rule/567.62.3.pdf" Type="http://schemas.openxmlformats.org/officeDocument/2006/relationships/hyperlink" Id="rId20"/>
    <Relationship TargetMode="External" Target="https://www.legis.iowa.gov/docs/iac/rule/567.62.3.pdf" Type="http://schemas.openxmlformats.org/officeDocument/2006/relationships/hyperlink" Id="rId21"/>
    <Relationship TargetMode="External" Target="https://www.legis.iowa.gov/docs/iac/rule/567.62.3.pdf" Type="http://schemas.openxmlformats.org/officeDocument/2006/relationships/hyperlink" Id="rId22"/>
    <Relationship TargetMode="External" Target="https://www.legis.iowa.gov/docs/iac/rule/567.62.3.pdf" Type="http://schemas.openxmlformats.org/officeDocument/2006/relationships/hyperlink" Id="rId23"/>
    <Relationship TargetMode="External" Target="https://www.legis.iowa.gov/docs/iac/rule/567.62.3.pdf" Type="http://schemas.openxmlformats.org/officeDocument/2006/relationships/hyperlink" Id="rId24"/>
    <Relationship TargetMode="External" Target="https://www.legis.iowa.gov/docs/iac/rule/567.62.3.pdf" Type="http://schemas.openxmlformats.org/officeDocument/2006/relationships/hyperlink" Id="rId25"/>
    <Relationship TargetMode="External" Target="https://www.legis.iowa.gov/docs/iac/rule/567.62.3.pdf" Type="http://schemas.openxmlformats.org/officeDocument/2006/relationships/hyperlink" Id="rId26"/>
    <Relationship TargetMode="External" Target="https://www.legis.iowa.gov/docs/iac/rule/567.62.3.pdf" Type="http://schemas.openxmlformats.org/officeDocument/2006/relationships/hyperlink" Id="rId27"/>
    <Relationship TargetMode="External" Target="https://www.legis.iowa.gov/docs/iac/rule/567.62.3.pdf" Type="http://schemas.openxmlformats.org/officeDocument/2006/relationships/hyperlink" Id="rId28"/>
    <Relationship TargetMode="External" Target="https://www.legis.iowa.gov/docs/iac/rule/567.62.3.pdf" Type="http://schemas.openxmlformats.org/officeDocument/2006/relationships/hyperlink" Id="rId29"/>
    <Relationship TargetMode="External" Target="https://www.legis.iowa.gov/docs/iac/rule/567.62.3.pdf" Type="http://schemas.openxmlformats.org/officeDocument/2006/relationships/hyperlink" Id="rId30"/>
    <Relationship TargetMode="External" Target="https://www.legis.iowa.gov/docs/iac/rule/567.64.2.pdf" Type="http://schemas.openxmlformats.org/officeDocument/2006/relationships/hyperlink" Id="rId31"/>
    <Relationship TargetMode="External" Target="https://www.legis.iowa.gov/docs/iac/rule/567.62.3.pdf" Type="http://schemas.openxmlformats.org/officeDocument/2006/relationships/hyperlink" Id="rId32"/>
    <Relationship TargetMode="External" Target="https://www.legis.iowa.gov/docs/iac/rule/567.62.3.pdf" Type="http://schemas.openxmlformats.org/officeDocument/2006/relationships/hyperlink" Id="rId33"/>
    <Relationship TargetMode="External" Target="https://www.legis.iowa.gov/docs/iac/rule/567.62.3.pdf" Type="http://schemas.openxmlformats.org/officeDocument/2006/relationships/hyperlink" Id="rId34"/>
    <Relationship TargetMode="External" Target="https://www.legis.iowa.gov/docs/iac/rule/567.62.3.pdf" Type="http://schemas.openxmlformats.org/officeDocument/2006/relationships/hyperlink" Id="rId35"/>
    <Relationship TargetMode="External" Target="https://www.legis.iowa.gov/docs/iac/rule/567.62.3.pdf" Type="http://schemas.openxmlformats.org/officeDocument/2006/relationships/hyperlink" Id="rId36"/>
    <Relationship TargetMode="External" Target="https://www.legis.iowa.gov/docs/iac/chapter/567.64.pdf" Type="http://schemas.openxmlformats.org/officeDocument/2006/relationships/hyperlink" Id="rId37"/>
    <Relationship TargetMode="External" Target="https://www.legis.iowa.gov/docs/iac/rule/567.62.3.pdf" Type="http://schemas.openxmlformats.org/officeDocument/2006/relationships/hyperlink" Id="rId38"/>
    <Relationship TargetMode="External" Target="https://www.legis.iowa.gov/docs/iac/rule/567.62.3.pdf" Type="http://schemas.openxmlformats.org/officeDocument/2006/relationships/hyperlink" Id="rId39"/>
    <Relationship TargetMode="External" Target="https://www.legis.iowa.gov/docs/iac/rule/567.62.3.pdf" Type="http://schemas.openxmlformats.org/officeDocument/2006/relationships/hyperlink" Id="rId40"/>
    <Relationship TargetMode="External" Target="https://www.legis.iowa.gov/docs/iac/rule/567.62.3.pdf" Type="http://schemas.openxmlformats.org/officeDocument/2006/relationships/hyperlink" Id="rId41"/>
    <Relationship TargetMode="External" Target="https://www.legis.iowa.gov/docs/iac/rule/567.62.3.pdf" Type="http://schemas.openxmlformats.org/officeDocument/2006/relationships/hyperlink" Id="rId42"/>
    <Relationship TargetMode="External" Target="https://www.legis.iowa.gov/docs/iac/rule/567.62.4.pdf" Type="http://schemas.openxmlformats.org/officeDocument/2006/relationships/hyperlink" Id="rId43"/>
    <Relationship TargetMode="External" Target="https://www.legis.iowa.gov/docs/iac/rule/567.62.4.pdf" Type="http://schemas.openxmlformats.org/officeDocument/2006/relationships/hyperlink" Id="rId44"/>
    <Relationship TargetMode="External" Target="https://www.legis.iowa.gov/docs/iac/rule/567.62.4.pdf" Type="http://schemas.openxmlformats.org/officeDocument/2006/relationships/hyperlink" Id="rId45"/>
    <Relationship TargetMode="External" Target="https://www.legis.iowa.gov/docs/ico/chapter/455B.pdf" Type="http://schemas.openxmlformats.org/officeDocument/2006/relationships/hyperlink" Id="rId46"/>
    <Relationship TargetMode="External" Target="https://www.legis.iowa.gov/docs/iac/rule/567.60.2.pdf" Type="http://schemas.openxmlformats.org/officeDocument/2006/relationships/hyperlink" Id="rId47"/>
    <Relationship TargetMode="External" Target="https://www.legis.iowa.gov/docs/iac/rule/567.62.4.pdf" Type="http://schemas.openxmlformats.org/officeDocument/2006/relationships/hyperlink" Id="rId48"/>
    <Relationship TargetMode="External" Target="https://www.legis.iowa.gov/docs/ico/chapter/455B.pdf" Type="http://schemas.openxmlformats.org/officeDocument/2006/relationships/hyperlink" Id="rId49"/>
    <Relationship TargetMode="External" Target="https://www.legis.iowa.gov/docs/iac/rule/567.62.4.pdf" Type="http://schemas.openxmlformats.org/officeDocument/2006/relationships/hyperlink" Id="rId50"/>
    <Relationship TargetMode="External" Target="https://www.legis.iowa.gov/docs/iac/rule/567.62.3.pdf" Type="http://schemas.openxmlformats.org/officeDocument/2006/relationships/hyperlink" Id="rId51"/>
    <Relationship TargetMode="External" Target="https://www.legis.iowa.gov/docs/iac/rule/567.62.4.pdf" Type="http://schemas.openxmlformats.org/officeDocument/2006/relationships/hyperlink" Id="rId52"/>
    <Relationship TargetMode="External" Target="https://www.legis.iowa.gov/docs/iac/rule/567.62.5.pdf" Type="http://schemas.openxmlformats.org/officeDocument/2006/relationships/hyperlink" Id="rId53"/>
    <Relationship TargetMode="External" Target="https://www.legis.iowa.gov/docs/iac/rule/567.62.6.pdf" Type="http://schemas.openxmlformats.org/officeDocument/2006/relationships/hyperlink" Id="rId54"/>
    <Relationship TargetMode="External" Target="https://www.legis.iowa.gov/docs/iac/chapter/567.61.pdf" Type="http://schemas.openxmlformats.org/officeDocument/2006/relationships/hyperlink" Id="rId55"/>
    <Relationship TargetMode="External" Target="https://www.legis.iowa.gov/docs/iac/rule/567.62.4.pdf" Type="http://schemas.openxmlformats.org/officeDocument/2006/relationships/hyperlink" Id="rId56"/>
    <Relationship TargetMode="External" Target="https://www.legis.iowa.gov/docs/iac/rule/567.62.6.pdf" Type="http://schemas.openxmlformats.org/officeDocument/2006/relationships/hyperlink" Id="rId57"/>
    <Relationship TargetMode="External" Target="https://www.legis.iowa.gov/docs/iac/rule/567.62.3.pdf" Type="http://schemas.openxmlformats.org/officeDocument/2006/relationships/hyperlink" Id="rId58"/>
    <Relationship TargetMode="External" Target="https://www.legis.iowa.gov/docs/iac/rule/567.62.5.pdf" Type="http://schemas.openxmlformats.org/officeDocument/2006/relationships/hyperlink" Id="rId59"/>
    <Relationship TargetMode="External" Target="https://www.legis.iowa.gov/docs/iac/rule/567.62.6.pdf" Type="http://schemas.openxmlformats.org/officeDocument/2006/relationships/hyperlink" Id="rId60"/>
    <Relationship TargetMode="External" Target="https://www.legis.iowa.gov/docs/iac/rule/567.62.3.pdf" Type="http://schemas.openxmlformats.org/officeDocument/2006/relationships/hyperlink" Id="rId61"/>
    <Relationship TargetMode="External" Target="https://www.legis.iowa.gov/docs/iac/rule/567.62.6.pdf" Type="http://schemas.openxmlformats.org/officeDocument/2006/relationships/hyperlink" Id="rId62"/>
    <Relationship TargetMode="External" Target="https://www.legis.iowa.gov/docs/iac/rule/567.62.10.pdf" Type="http://schemas.openxmlformats.org/officeDocument/2006/relationships/hyperlink" Id="rId63"/>
    <Relationship TargetMode="External" Target="https://www.legis.iowa.gov/docs/ico/chapter/455B.pdf" Type="http://schemas.openxmlformats.org/officeDocument/2006/relationships/hyperlink" Id="rId6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