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IV</w:t>
      </w:r>
    </w:p>
    <w:p>
      <w:pPr>
        <w:pBdr>
          <w:bottom w:space="3"/>
        </w:pBdr>
        <w:spacing w:before="0" w:after="0"/>
        <w:ind w:left="120"/>
        <w:jc w:val="center"/>
      </w:pPr>
      <w:r>
        <w:rPr>
          <w:rFonts w:ascii="Times New Roman" w:hAnsi="Times New Roman"/>
          <w:b w:val="false"/>
          <w:i/>
          <w:color w:val="000000"/>
          <w:sz w:val="16"/>
        </w:rPr>
        <w:t>WASTEWATER TREATMENT AND DISPOSAL</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w:t>
      </w:r>
    </w:p>
    <w:p>
      <w:pPr>
        <w:spacing w:before="0" w:after="0"/>
        <w:ind w:left="120"/>
        <w:jc w:val="center"/>
      </w:pPr>
      <w:r>
        <w:rPr>
          <w:rFonts w:ascii="Times New Roman" w:hAnsi="Times New Roman"/>
          <w:b w:val="false"/>
          <w:i w:val="false"/>
          <w:color w:val="000000"/>
          <w:sz w:val="21"/>
        </w:rPr>
        <w:t>SCOPE OF TITLE—DEFINITIONS—FORMS—RULES OF PRACTICE</w:t>
      </w:r>
    </w:p>
    <w:p>
      <w:pPr>
        <w:spacing w:before="0" w:after="0"/>
        <w:ind w:left="120"/>
        <w:jc w:val="center"/>
      </w:pPr>
      <w:r>
        <w:rPr>
          <w:rFonts w:ascii="Times New Roman" w:hAnsi="Times New Roman"/>
          <w:b w:val="false"/>
          <w:i w:val="false"/>
          <w:color w:val="000000"/>
          <w:sz w:val="14"/>
        </w:rPr>
        <w:t>[Prior to 7/1/83, see DEQ Chs 15 and 24]</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567—60.1</w:t>
      </w:r>
      <w:r>
        <w:rPr>
          <w:rFonts w:ascii="Times New Roman" w:hAnsi="Times New Roman"/>
          <w:b/>
          <w:i w:val="false"/>
          <w:color w:val="000000"/>
          <w:sz w:val="22"/>
        </w:rPr>
        <w:t xml:space="preserve">(455B,17A) </w:t>
      </w:r>
      <w:r>
        <w:rPr>
          <w:rFonts w:ascii="Times New Roman" w:hAnsi="Times New Roman"/>
          <w:b/>
          <w:i w:val="false"/>
          <w:color w:val="000000"/>
          <w:sz w:val="22"/>
        </w:rPr>
        <w:t xml:space="preserve">Scope of title. </w:t>
      </w:r>
      <w:r>
        <w:rPr>
          <w:rFonts w:ascii="Times New Roman" w:hAnsi="Times New Roman"/>
          <w:b w:val="false"/>
          <w:i w:val="false"/>
          <w:color w:val="000000"/>
          <w:sz w:val="22"/>
        </w:rPr>
        <w:t>The department has jurisdiction over the surface water and groundwater of the state to prevent, abate and control water pollution by establishing standards for water quality and for direct or indirect discharges of wastewater to waters of the state and by regulating potential sources of water pollution through a system of general rules or specific permits. The construction and operation of any wastewater disposal system and the discharge of any pollutant to a water of the state require a specific permit from the department, unless exempted by the department.</w:t>
      </w:r>
    </w:p>
    <w:p>
      <w:pPr>
        <w:spacing w:before="0" w:after="0"/>
        <w:ind w:left="120"/>
        <w:jc w:val="both"/>
      </w:pPr>
      <w:r>
        <w:rPr>
          <w:rFonts w:ascii="Times New Roman" w:hAnsi="Times New Roman"/>
          <w:b w:val="false"/>
          <w:i w:val="false"/>
          <w:color w:val="000000"/>
          <w:sz w:val="22"/>
        </w:rPr>
        <w:t>This chapter provides general definitions applicable in this title and rules of practice, including forms, applicable to the public in the department’s administration of the subject matter of this title.</w:t>
      </w:r>
    </w:p>
    <w:p>
      <w:pPr>
        <w:spacing w:before="0" w:after="0"/>
        <w:ind w:left="120"/>
        <w:jc w:val="both"/>
      </w:pPr>
      <w:hyperlink r:id="rId5">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 xml:space="preserve"> contains the water quality standards of the state, including classification of surface waters. </w:t>
      </w:r>
      <w:hyperlink r:id="rId6">
        <w:r>
          <w:rPr>
            <w:rStyle w:val="Hyperlink"/>
            <w:rFonts w:ascii="Times New Roman" w:hAnsi="Times New Roman"/>
            <w:b w:val="false"/>
            <w:i w:val="false"/>
            <w:color w:val="000000"/>
            <w:sz w:val="22"/>
          </w:rPr>
          <w:t>567—Chapter 62</w:t>
        </w:r>
      </w:hyperlink>
      <w:r>
        <w:rPr>
          <w:rFonts w:ascii="Times New Roman" w:hAnsi="Times New Roman"/>
          <w:b w:val="false"/>
          <w:i w:val="false"/>
          <w:color w:val="000000"/>
          <w:sz w:val="22"/>
        </w:rPr>
        <w:t xml:space="preserve"> contains the standards or methods for establishing standards relevant to the discharge of pollutants to waters of the state. </w:t>
      </w:r>
      <w:hyperlink r:id="rId7">
        <w:r>
          <w:rPr>
            <w:rStyle w:val="Hyperlink"/>
            <w:rFonts w:ascii="Times New Roman" w:hAnsi="Times New Roman"/>
            <w:b w:val="false"/>
            <w:i w:val="false"/>
            <w:color w:val="000000"/>
            <w:sz w:val="22"/>
          </w:rPr>
          <w:t>567—Chapter 63</w:t>
        </w:r>
      </w:hyperlink>
      <w:r>
        <w:rPr>
          <w:rFonts w:ascii="Times New Roman" w:hAnsi="Times New Roman"/>
          <w:b w:val="false"/>
          <w:i w:val="false"/>
          <w:color w:val="000000"/>
          <w:sz w:val="22"/>
        </w:rPr>
        <w:t xml:space="preserve"> identifies monitoring, analytical and reporting requirements pertaining to permits for the operation of wastewater disposal systems. </w:t>
      </w:r>
      <w:hyperlink r:id="rId8">
        <w:r>
          <w:rPr>
            <w:rStyle w:val="Hyperlink"/>
            <w:rFonts w:ascii="Times New Roman" w:hAnsi="Times New Roman"/>
            <w:b w:val="false"/>
            <w:i w:val="false"/>
            <w:color w:val="000000"/>
            <w:sz w:val="22"/>
          </w:rPr>
          <w:t>567—Chapter 64</w:t>
        </w:r>
      </w:hyperlink>
      <w:r>
        <w:rPr>
          <w:rFonts w:ascii="Times New Roman" w:hAnsi="Times New Roman"/>
          <w:b w:val="false"/>
          <w:i w:val="false"/>
          <w:color w:val="000000"/>
          <w:sz w:val="22"/>
        </w:rPr>
        <w:t xml:space="preserve"> contains the standards and procedures for obtaining construction, operation and NPDES permits for wastewater disposal systems other than those associated with animal feeding operations. </w:t>
      </w:r>
      <w:hyperlink r:id="rId9">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xml:space="preserve"> specifies minimum waste control requirements and permit requirements for animal feeding operations. </w:t>
      </w:r>
      <w:hyperlink r:id="rId10">
        <w:r>
          <w:rPr>
            <w:rStyle w:val="Hyperlink"/>
            <w:rFonts w:ascii="Times New Roman" w:hAnsi="Times New Roman"/>
            <w:b w:val="false"/>
            <w:i w:val="false"/>
            <w:color w:val="000000"/>
            <w:sz w:val="22"/>
          </w:rPr>
          <w:t>567—Chapter 66</w:t>
        </w:r>
      </w:hyperlink>
      <w:r>
        <w:rPr>
          <w:rFonts w:ascii="Times New Roman" w:hAnsi="Times New Roman"/>
          <w:b w:val="false"/>
          <w:i w:val="false"/>
          <w:color w:val="000000"/>
          <w:sz w:val="22"/>
        </w:rPr>
        <w:t xml:space="preserve"> specifies restrictions on pesticide application to waters. </w:t>
      </w:r>
      <w:hyperlink r:id="rId11">
        <w:r>
          <w:rPr>
            <w:rStyle w:val="Hyperlink"/>
            <w:rFonts w:ascii="Times New Roman" w:hAnsi="Times New Roman"/>
            <w:b w:val="false"/>
            <w:i w:val="false"/>
            <w:color w:val="000000"/>
            <w:sz w:val="22"/>
          </w:rPr>
          <w:t>567—Chapter 67</w:t>
        </w:r>
      </w:hyperlink>
      <w:r>
        <w:rPr>
          <w:rFonts w:ascii="Times New Roman" w:hAnsi="Times New Roman"/>
          <w:b w:val="false"/>
          <w:i w:val="false"/>
          <w:color w:val="000000"/>
          <w:sz w:val="22"/>
        </w:rPr>
        <w:t xml:space="preserve"> contains standards for the land application of sewage sludge. </w:t>
      </w:r>
      <w:hyperlink r:id="rId12">
        <w:r>
          <w:rPr>
            <w:rStyle w:val="Hyperlink"/>
            <w:rFonts w:ascii="Times New Roman" w:hAnsi="Times New Roman"/>
            <w:b w:val="false"/>
            <w:i w:val="false"/>
            <w:color w:val="000000"/>
            <w:sz w:val="22"/>
          </w:rPr>
          <w:t>567—Chapter 68</w:t>
        </w:r>
      </w:hyperlink>
      <w:r>
        <w:rPr>
          <w:rFonts w:ascii="Times New Roman" w:hAnsi="Times New Roman"/>
          <w:b w:val="false"/>
          <w:i w:val="false"/>
          <w:color w:val="000000"/>
          <w:sz w:val="22"/>
        </w:rPr>
        <w:t xml:space="preserve"> contains standards and licensing requirements applicable to commercial septic tank cleaners. </w:t>
      </w:r>
      <w:hyperlink r:id="rId13">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 xml:space="preserve"> specifies guidelines for private sewage disposal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567—60.2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title, unless otherwise specified in the particular chapter of this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Federal Water Pollution Control Act as amended through July 1, 2021, 33 U.S.C. §1251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“Acute toxicity” </w:t>
      </w:r>
      <w:r>
        <w:rPr>
          <w:rFonts w:ascii="Times New Roman" w:hAnsi="Times New Roman"/>
          <w:b w:val="false"/>
          <w:i w:val="false"/>
          <w:color w:val="000000"/>
          <w:sz w:val="22"/>
        </w:rPr>
        <w:t>means that level of pollutants which would rapidly induce a severe and unacceptable impact on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for a construction permit” </w:t>
      </w:r>
      <w:r>
        <w:rPr>
          <w:rFonts w:ascii="Times New Roman" w:hAnsi="Times New Roman"/>
          <w:b w:val="false"/>
          <w:i w:val="false"/>
          <w:color w:val="000000"/>
          <w:sz w:val="22"/>
        </w:rPr>
        <w:t>means the engineering report, plans and specifications and other data deemed necessary by the department for the construction of a proposed wastewater disposal system or part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for an operation permit” </w:t>
      </w:r>
      <w:r>
        <w:rPr>
          <w:rFonts w:ascii="Times New Roman" w:hAnsi="Times New Roman"/>
          <w:b w:val="false"/>
          <w:i w:val="false"/>
          <w:color w:val="000000"/>
          <w:sz w:val="22"/>
        </w:rPr>
        <w:t>means a written application for an operation or NPDES permit made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pretreatment program” </w:t>
      </w:r>
      <w:r>
        <w:rPr>
          <w:rFonts w:ascii="Times New Roman" w:hAnsi="Times New Roman"/>
          <w:b w:val="false"/>
          <w:i w:val="false"/>
          <w:color w:val="000000"/>
          <w:sz w:val="22"/>
        </w:rPr>
        <w:t>means a program administered by a publicly owned treatment works that meets the criteria established in 40 CFR Part 403 and which has been approved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“Aquatic pesticide” </w:t>
      </w:r>
      <w:r>
        <w:rPr>
          <w:rFonts w:ascii="Times New Roman" w:hAnsi="Times New Roman"/>
          <w:b w:val="false"/>
          <w:i w:val="false"/>
          <w:color w:val="000000"/>
          <w:sz w:val="22"/>
        </w:rPr>
        <w:t xml:space="preserve">means any pesticide, as defined in Iowa Code section </w:t>
      </w:r>
      <w:hyperlink r:id="rId14">
        <w:r>
          <w:rPr>
            <w:rStyle w:val="Hyperlink"/>
            <w:rFonts w:ascii="Times New Roman" w:hAnsi="Times New Roman"/>
            <w:b w:val="false"/>
            <w:i w:val="false"/>
            <w:color w:val="000000"/>
            <w:sz w:val="22"/>
          </w:rPr>
          <w:t>206.2</w:t>
        </w:r>
      </w:hyperlink>
      <w:r>
        <w:rPr>
          <w:rFonts w:ascii="Times New Roman" w:hAnsi="Times New Roman"/>
          <w:b w:val="false"/>
          <w:i w:val="false"/>
          <w:color w:val="000000"/>
          <w:sz w:val="22"/>
        </w:rPr>
        <w:t>, that is labeled for application to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“ASTM” </w:t>
      </w:r>
      <w:r>
        <w:rPr>
          <w:rFonts w:ascii="Times New Roman" w:hAnsi="Times New Roman"/>
          <w:b w:val="false"/>
          <w:i w:val="false"/>
          <w:color w:val="000000"/>
          <w:sz w:val="22"/>
        </w:rPr>
        <w:t>means “Annual Book of Standards, Part 31, Water.” The publication is available from the American Society for Testing and Materials, 1916 Race St., Philadelphia, Pennsylvania 19103.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dry weather flow”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“ADW” </w:t>
      </w:r>
      <w:r>
        <w:rPr>
          <w:rFonts w:ascii="Times New Roman" w:hAnsi="Times New Roman"/>
          <w:b w:val="false"/>
          <w:i w:val="false"/>
          <w:color w:val="000000"/>
          <w:sz w:val="22"/>
        </w:rPr>
        <w:t>means the daily average flow when the groundwater is at or near normal and runoff is not occurring.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wet weather flow”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“AWW” </w:t>
      </w:r>
      <w:r>
        <w:rPr>
          <w:rFonts w:ascii="Times New Roman" w:hAnsi="Times New Roman"/>
          <w:b w:val="false"/>
          <w:i w:val="false"/>
          <w:color w:val="000000"/>
          <w:sz w:val="22"/>
        </w:rPr>
        <w:t>means the daily average flow for the wettest 30 consecutive days for mechanical plants or for the wettest 180 consecutive days for controlled discharge lagoons.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“Best management practice (BMP)” </w:t>
      </w:r>
      <w:r>
        <w:rPr>
          <w:rFonts w:ascii="Times New Roman" w:hAnsi="Times New Roman"/>
          <w:b w:val="false"/>
          <w:i w:val="false"/>
          <w:color w:val="000000"/>
          <w:sz w:val="22"/>
        </w:rPr>
        <w:t>means a practice or combination of practices that is determined, after problem assessment, examination of alternative practices, and appropriate public participation, to be the most effective, practicable (including technological, economic and institutional considerations) means of preventing or reducing the amount of pollution generated by nonpoint sources to a level compatible with water quality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“Biochemical oxygen demand (five-day)” </w:t>
      </w:r>
      <w:r>
        <w:rPr>
          <w:rFonts w:ascii="Times New Roman" w:hAnsi="Times New Roman"/>
          <w:b w:val="false"/>
          <w:i w:val="false"/>
          <w:color w:val="000000"/>
          <w:sz w:val="22"/>
        </w:rPr>
        <w:t>means the amount of oxygen consumed in the biological processes that break down organic matter in water by aerobic biochemical action in five days at 20°C.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“Bypass” </w:t>
      </w:r>
      <w:r>
        <w:rPr>
          <w:rFonts w:ascii="Times New Roman" w:hAnsi="Times New Roman"/>
          <w:b w:val="false"/>
          <w:i w:val="false"/>
          <w:color w:val="000000"/>
          <w:sz w:val="22"/>
        </w:rPr>
        <w:t>means the diversion of waste streams from any portion of a treatment facility or collection system. A bypass does not include internal operational waste stream diversions that are part of the design of the treatment facility, maintenance diversions where redundancy is provided, diversions of wastewater from one point in a collection system to another point in a collection system, or wastewater backups into buildings that are caused in the building lateral or private sewer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“Carbonaceous biochemical oxygen demand (five-day)” </w:t>
      </w:r>
      <w:r>
        <w:rPr>
          <w:rFonts w:ascii="Times New Roman" w:hAnsi="Times New Roman"/>
          <w:b w:val="false"/>
          <w:i w:val="false"/>
          <w:color w:val="000000"/>
          <w:sz w:val="22"/>
        </w:rPr>
        <w:t>means the amount of oxygen consumed in the biological processes that break down carbonaceous organic matter in water by aerobic biochemical action in five days at 20°C.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 xml:space="preserve">or </w:t>
      </w:r>
      <w:r>
        <w:rPr>
          <w:rFonts w:ascii="Times New Roman" w:hAnsi="Times New Roman"/>
          <w:b w:val="false"/>
          <w:i/>
          <w:color w:val="000000"/>
          <w:sz w:val="22"/>
        </w:rPr>
        <w:t>“Code of Federal Regulations”</w:t>
      </w:r>
      <w:r>
        <w:rPr>
          <w:rFonts w:ascii="Times New Roman" w:hAnsi="Times New Roman"/>
          <w:b w:val="false"/>
          <w:i w:val="false"/>
          <w:color w:val="000000"/>
          <w:sz w:val="22"/>
        </w:rPr>
        <w:t xml:space="preserve"> means the federal administrative rules adopted by the United States in effect as of July 1, 2021. The amendment of the date contained in this definition shall constitute the amendment of all CFR references contained in </w:t>
      </w:r>
      <w:hyperlink r:id="rId15">
        <w:r>
          <w:rPr>
            <w:rStyle w:val="Hyperlink"/>
            <w:rFonts w:ascii="Times New Roman" w:hAnsi="Times New Roman"/>
            <w:b w:val="false"/>
            <w:i w:val="false"/>
            <w:color w:val="000000"/>
            <w:sz w:val="22"/>
          </w:rPr>
          <w:t>567—Chapters 60</w:t>
        </w:r>
      </w:hyperlink>
      <w:r>
        <w:rPr>
          <w:rFonts w:ascii="Times New Roman" w:hAnsi="Times New Roman"/>
          <w:b w:val="false"/>
          <w:i w:val="false"/>
          <w:color w:val="000000"/>
          <w:sz w:val="22"/>
        </w:rPr>
        <w:t xml:space="preserve"> to 69, Title IV, unless a date of adoption is set forth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toxicity” </w:t>
      </w:r>
      <w:r>
        <w:rPr>
          <w:rFonts w:ascii="Times New Roman" w:hAnsi="Times New Roman"/>
          <w:b w:val="false"/>
          <w:i w:val="false"/>
          <w:color w:val="000000"/>
          <w:sz w:val="22"/>
        </w:rPr>
        <w:t>means that level of pollutants which would, over long durations or recurring exposure, cause a continuous, adverse or unacceptable response in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“Combined sewer overflow” </w:t>
      </w:r>
      <w:r>
        <w:rPr>
          <w:rFonts w:ascii="Times New Roman" w:hAnsi="Times New Roman"/>
          <w:b w:val="false"/>
          <w:i w:val="false"/>
          <w:color w:val="000000"/>
          <w:sz w:val="22"/>
        </w:rPr>
        <w:t>means the discharge from a combined sewer system at a point prior to the treatment 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“Combined sewer system” </w:t>
      </w:r>
      <w:r>
        <w:rPr>
          <w:rFonts w:ascii="Times New Roman" w:hAnsi="Times New Roman"/>
          <w:b w:val="false"/>
          <w:i w:val="false"/>
          <w:color w:val="000000"/>
          <w:sz w:val="22"/>
        </w:rPr>
        <w:t>means a wastewater collection system owned by a municipality which conveys sanitary wastewater (domestic, commercial, and industrial) and storm water through a single pipe system to the treatment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w:t>
      </w:r>
      <w:r>
        <w:rPr>
          <w:rFonts w:ascii="Times New Roman" w:hAnsi="Times New Roman"/>
          <w:b w:val="false"/>
          <w:i w:val="false"/>
          <w:color w:val="000000"/>
          <w:sz w:val="22"/>
        </w:rPr>
        <w:t>means a written approval from the director to construct a wastewater disposal system or part thereof in accordance with the plans and specifications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planning process (CPP)” </w:t>
      </w:r>
      <w:r>
        <w:rPr>
          <w:rFonts w:ascii="Times New Roman" w:hAnsi="Times New Roman"/>
          <w:b w:val="false"/>
          <w:i w:val="false"/>
          <w:color w:val="000000"/>
          <w:sz w:val="22"/>
        </w:rPr>
        <w:t>means the continuing planning process, including any revision thereto, required by Sections 208 and 303(e) of the Act (33 U.S.C. §§1288 and 1313(e)) for state water pollution control agencies. The continuing planning process is a time-phased process by which the department, working cooperatively with designated areawide planning agencies: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Develops a water quality management decision-making process involving elected officials of state and local units of government and representatives of state and local executive departments that conduct activities related to water quality management.</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Establishes an intergovernmental process which provides for water quality management decisions to be made on an areawide or local basis and for the incorporation of such decisions into a comprehensive and cohesive statewide program. Through this process, state regulatory programs and activities will be incorporated into the areawide water quality management decision process.</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Develops a broad-based public participation (such as utilization of such mechanisms as basin advisory committees composed of local elected officials, representatives of areawide planning agencies, the public at large, and conservancy district committees) aimed at both informing and involving the public in the water quality management program.</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Prepares and implements water quality management plans, which identify water quality goals and established state water quality standards, defines specific programs, priorities and targets for preventing and controlling water pollution in individual approved planning areas and establishes policies which guide decision making over at least a 20-year span of time (in increments of 5 years).</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Based on the results of the statewide (state and areawide) planning process, develops the state strategy to be updated annually, which sets the state’s major objectives, approach, and priorities for preventing and controlling pollution over a five-year period.</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Translates the state strategy into the annual state program plan (required under Section 106 of the federal Act), which establishes the program objectives, identifies the resources committed for the state program each year, and provides a mechanism for reporting progress toward achievement of program objectives.</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Periodically reviews and revises water quality standards as required under Section 303(c) of the federal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“Crossover point” </w:t>
      </w:r>
      <w:r>
        <w:rPr>
          <w:rFonts w:ascii="Times New Roman" w:hAnsi="Times New Roman"/>
          <w:b w:val="false"/>
          <w:i w:val="false"/>
          <w:color w:val="000000"/>
          <w:sz w:val="22"/>
        </w:rPr>
        <w:t>means that location in a river or stream in which the flow shifts from being principally along one bank to the opposite bank. This crossover point usually occurs within two curves or an S-shaped curve of a water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“Culture water” </w:t>
      </w:r>
      <w:r>
        <w:rPr>
          <w:rFonts w:ascii="Times New Roman" w:hAnsi="Times New Roman"/>
          <w:b w:val="false"/>
          <w:i w:val="false"/>
          <w:color w:val="000000"/>
          <w:sz w:val="22"/>
        </w:rPr>
        <w:t>means reconstituted water or other acceptable water used for culturing test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“Deep well” </w:t>
      </w:r>
      <w:r>
        <w:rPr>
          <w:rFonts w:ascii="Times New Roman" w:hAnsi="Times New Roman"/>
          <w:b w:val="false"/>
          <w:i w:val="false"/>
          <w:color w:val="000000"/>
          <w:sz w:val="22"/>
        </w:rPr>
        <w:t>means a well located and constructed in such a manner that there is a continuous layer of low permeability soil or rock at least 5 feet thick located at least 25 feet below the normal ground surface and above the aquifer from which water is to be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“Diluted effluent sample” </w:t>
      </w:r>
      <w:r>
        <w:rPr>
          <w:rFonts w:ascii="Times New Roman" w:hAnsi="Times New Roman"/>
          <w:b w:val="false"/>
          <w:i w:val="false"/>
          <w:color w:val="000000"/>
          <w:sz w:val="22"/>
        </w:rPr>
        <w:t xml:space="preserve">means a sample of effluent diluted with culture water at the same ratio as the dry weather design flow to the applicable receiving stream flow contained in the zone of initial dilution as allowed in </w:t>
      </w:r>
      <w:hyperlink r:id="rId16">
        <w:r>
          <w:rPr>
            <w:rStyle w:val="Hyperlink"/>
            <w:rFonts w:ascii="Times New Roman" w:hAnsi="Times New Roman"/>
            <w:b w:val="false"/>
            <w:i w:val="false"/>
            <w:color w:val="000000"/>
            <w:sz w:val="22"/>
          </w:rPr>
          <w:t>567—subrule 61.2(4)</w:t>
        </w:r>
      </w:hyperlink>
      <w:r>
        <w:rPr>
          <w:rFonts w:ascii="Times New Roman" w:hAnsi="Times New Roman"/>
          <w:b w:val="false"/>
          <w:i w:val="false"/>
          <w:color w:val="000000"/>
          <w:sz w:val="22"/>
        </w:rPr>
        <w:t xml:space="preserve">, regulatory mixing zones, including paragraphs </w:t>
      </w:r>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“Dilution ratio” </w:t>
      </w:r>
      <w:r>
        <w:rPr>
          <w:rFonts w:ascii="Times New Roman" w:hAnsi="Times New Roman"/>
          <w:b w:val="false"/>
          <w:i w:val="false"/>
          <w:color w:val="000000"/>
          <w:sz w:val="22"/>
        </w:rPr>
        <w:t>means, for a specific wastewater discharger, the ratio of the seven-day, ten-year low stream flow to the effluent design flow, e.g., a dilution ratio of 2:1 has two parts stream flow to one part effluent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“Discharge of a pollutant” </w:t>
      </w:r>
      <w:r>
        <w:rPr>
          <w:rFonts w:ascii="Times New Roman" w:hAnsi="Times New Roman"/>
          <w:b w:val="false"/>
          <w:i w:val="false"/>
          <w:color w:val="000000"/>
          <w:sz w:val="22"/>
        </w:rPr>
        <w:t>means any addition of any pollutant or combination of pollutants to navigable waters or waters of the state from any point source. “Discharge of a pollutant” includes additions of pollutants into navigable waters or waters of the state from surface runoff which is collected or channeled by human activity; discharges through pipes, sewers, or other conveyances owned by a state, municipality, or other person which do not lead to a treatment works; and discharges through pipes, sewers, or other conveyances, leading into privately owned treatment works. “Discharge of a pollutant” does not include an addition of pollutants by any indirect discharger.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“Disposal system” </w:t>
      </w:r>
      <w:r>
        <w:rPr>
          <w:rFonts w:ascii="Times New Roman" w:hAnsi="Times New Roman"/>
          <w:b w:val="false"/>
          <w:i w:val="false"/>
          <w:color w:val="000000"/>
          <w:sz w:val="22"/>
        </w:rPr>
        <w:t>means a system for disposing of sewage, industrial waste, or other wastes, or for the use or disposal of sewage sludge. “Disposal system” includes sewer systems, treatment works, point sources, dispersal systems, and any systems designed for the usage or disposal of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“Effluent toxicity test” </w:t>
      </w:r>
      <w:r>
        <w:rPr>
          <w:rFonts w:ascii="Times New Roman" w:hAnsi="Times New Roman"/>
          <w:b w:val="false"/>
          <w:i w:val="false"/>
          <w:color w:val="000000"/>
          <w:sz w:val="22"/>
        </w:rPr>
        <w:t>means a test to determine the toxicity of a chemical or chemicals contained in a wastewater discharge on living organisms in a static 48-hour exposure under laboratory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“Excessive infiltration/inflow (I/I)” </w:t>
      </w:r>
      <w:r>
        <w:rPr>
          <w:rFonts w:ascii="Times New Roman" w:hAnsi="Times New Roman"/>
          <w:b w:val="false"/>
          <w:i w:val="false"/>
          <w:color w:val="000000"/>
          <w:sz w:val="22"/>
        </w:rPr>
        <w:t xml:space="preserve">as referred to in the discussion of secondary treatment is the quantity of I/I which is more economical to remove from the sewer system than to transport and treat at a wastewater facility. Within the cost-effectiveness analysis performed to determine excessive I/I, the transportation and treatment costs will be based on the percent removal requirements specified in the appropriate subrule, </w:t>
      </w:r>
      <w:hyperlink r:id="rId17">
        <w:r>
          <w:rPr>
            <w:rStyle w:val="Hyperlink"/>
            <w:rFonts w:ascii="Times New Roman" w:hAnsi="Times New Roman"/>
            <w:b w:val="false"/>
            <w:i w:val="false"/>
            <w:color w:val="000000"/>
            <w:sz w:val="22"/>
          </w:rPr>
          <w:t>567—subrule 62.3(1)</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62.3(3)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“Fecal coliform” </w:t>
      </w:r>
      <w:r>
        <w:rPr>
          <w:rFonts w:ascii="Times New Roman" w:hAnsi="Times New Roman"/>
          <w:b w:val="false"/>
          <w:i w:val="false"/>
          <w:color w:val="000000"/>
          <w:sz w:val="22"/>
        </w:rPr>
        <w:t>means the portion of the coliform group which is present in the gut or the feces of warm-blooded animals. It includes organisms which are capable of producing gas from lactose broth in a suitable culture medium within 24 hours at 44.5 + / - 0.2°C.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 </w:t>
      </w:r>
      <w:r>
        <w:rPr>
          <w:rFonts w:ascii="Times New Roman" w:hAnsi="Times New Roman"/>
          <w:b w:val="false"/>
          <w:i w:val="false"/>
          <w:color w:val="000000"/>
          <w:sz w:val="22"/>
        </w:rPr>
        <w:t>means the Federal Register, published daily by the Office of the Federal Register, National Archives and Record Service, General Services Administration, Washington, D.C. 20408 and distributed by the Superintendent of Documents, U.S. Government Printing Office, Washington, D.C. 20402.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permit” </w:t>
      </w:r>
      <w:r>
        <w:rPr>
          <w:rFonts w:ascii="Times New Roman" w:hAnsi="Times New Roman"/>
          <w:b w:val="false"/>
          <w:i w:val="false"/>
          <w:color w:val="000000"/>
          <w:sz w:val="22"/>
        </w:rPr>
        <w:t>means an NPDES permit issued to a class of facilities which could be conditioned and described by a single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“Human health criteria” </w:t>
      </w:r>
      <w:r>
        <w:rPr>
          <w:rFonts w:ascii="Times New Roman" w:hAnsi="Times New Roman"/>
          <w:b w:val="false"/>
          <w:i w:val="false"/>
          <w:color w:val="000000"/>
          <w:sz w:val="22"/>
        </w:rPr>
        <w:t>means that level of pollution which, in the case of noncarcinogens, prevents adverse health effects in humans, and in the case of carcinogens, represents a level of incremental cancer risk of 1 in 100,000. The numerical criteria are based on the human consumption of an average of 6.5 grams of fish and shellfish per day by a 70-kilogram individual for a life span of 70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“Indirect discharger” </w:t>
      </w:r>
      <w:r>
        <w:rPr>
          <w:rFonts w:ascii="Times New Roman" w:hAnsi="Times New Roman"/>
          <w:b w:val="false"/>
          <w:i w:val="false"/>
          <w:color w:val="000000"/>
          <w:sz w:val="22"/>
        </w:rPr>
        <w:t>means a non-domestic discharger introducing pollutants to a publicly owned treatment 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non-storm water permit” </w:t>
      </w:r>
      <w:r>
        <w:rPr>
          <w:rFonts w:ascii="Times New Roman" w:hAnsi="Times New Roman"/>
          <w:b w:val="false"/>
          <w:i w:val="false"/>
          <w:color w:val="000000"/>
          <w:sz w:val="22"/>
        </w:rPr>
        <w:t>means a site-specific NPDES or operation permit that is not an individual storm water permit and that authorizes discharges of sewage, industrial waste, or other waste and allowable discharges of storm water associated with industrial activity, as specifically noted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storm water permit” </w:t>
      </w:r>
      <w:r>
        <w:rPr>
          <w:rFonts w:ascii="Times New Roman" w:hAnsi="Times New Roman"/>
          <w:b w:val="false"/>
          <w:i w:val="false"/>
          <w:color w:val="000000"/>
          <w:sz w:val="22"/>
        </w:rPr>
        <w:t>means an individual site-specific NPDES permit that authorizes discharges composed entirely of storm water associated with industrial activity or construction activity and other allowable non-storm water discharges as specifically noted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waste” </w:t>
      </w:r>
      <w:r>
        <w:rPr>
          <w:rFonts w:ascii="Times New Roman" w:hAnsi="Times New Roman"/>
          <w:b w:val="false"/>
          <w:i w:val="false"/>
          <w:color w:val="000000"/>
          <w:sz w:val="22"/>
        </w:rPr>
        <w:t>means any liquid, gaseous, radioactive, or solid waste substance resulting from any process of industry, manufacturing, trade, or business, or from the development of any natural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“Interference” </w:t>
      </w:r>
      <w:r>
        <w:rPr>
          <w:rFonts w:ascii="Times New Roman" w:hAnsi="Times New Roman"/>
          <w:b w:val="false"/>
          <w:i w:val="false"/>
          <w:color w:val="000000"/>
          <w:sz w:val="22"/>
        </w:rPr>
        <w:t>means a discharge which, alone or in conjunction with a discharge or discharges from other sources, both: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Inhibits or disrupts a POTW, its treatment process or operations, or its sludge processes, use or disposal;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 cause of a violation of any requirement of a POTW NPDES permit including an increase in the magnitude or duration of a violation or the prevention of sewage sludge use 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“Intermittent watercourses” </w:t>
      </w:r>
      <w:r>
        <w:rPr>
          <w:rFonts w:ascii="Times New Roman" w:hAnsi="Times New Roman"/>
          <w:b w:val="false"/>
          <w:i w:val="false"/>
          <w:color w:val="000000"/>
          <w:sz w:val="22"/>
        </w:rPr>
        <w:t>means watercourses which contain flow associated with rainfall/runoff events and which periodically go dry even in pooled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public works department” </w:t>
      </w:r>
      <w:r>
        <w:rPr>
          <w:rFonts w:ascii="Times New Roman" w:hAnsi="Times New Roman"/>
          <w:b w:val="false"/>
          <w:i w:val="false"/>
          <w:color w:val="000000"/>
          <w:sz w:val="22"/>
        </w:rPr>
        <w:t xml:space="preserve">means a city or county public works department, a board of trustees of a city utility organized pursuant to Iowa Code chapter </w:t>
      </w:r>
      <w:hyperlink r:id="rId19">
        <w:r>
          <w:rPr>
            <w:rStyle w:val="Hyperlink"/>
            <w:rFonts w:ascii="Times New Roman" w:hAnsi="Times New Roman"/>
            <w:b w:val="false"/>
            <w:i w:val="false"/>
            <w:color w:val="000000"/>
            <w:sz w:val="22"/>
          </w:rPr>
          <w:t>388</w:t>
        </w:r>
      </w:hyperlink>
      <w:r>
        <w:rPr>
          <w:rFonts w:ascii="Times New Roman" w:hAnsi="Times New Roman"/>
          <w:b w:val="false"/>
          <w:i w:val="false"/>
          <w:color w:val="000000"/>
          <w:sz w:val="22"/>
        </w:rPr>
        <w:t xml:space="preserve">, or a sanitary sewer district organized pursuant to Iowa Code chapter </w:t>
      </w:r>
      <w:hyperlink r:id="rId20">
        <w:r>
          <w:rPr>
            <w:rStyle w:val="Hyperlink"/>
            <w:rFonts w:ascii="Times New Roman" w:hAnsi="Times New Roman"/>
            <w:b w:val="false"/>
            <w:i w:val="false"/>
            <w:color w:val="000000"/>
            <w:sz w:val="22"/>
          </w:rPr>
          <w:t>358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“Losing streams” </w:t>
      </w:r>
      <w:r>
        <w:rPr>
          <w:rFonts w:ascii="Times New Roman" w:hAnsi="Times New Roman"/>
          <w:b w:val="false"/>
          <w:i w:val="false"/>
          <w:color w:val="000000"/>
          <w:sz w:val="22"/>
        </w:rPr>
        <w:t>means streams which lose 30 percent or more of their flow during the seven-day, ten-year low stream flow periods to cracks and crevices of rock formations, sand and gravel deposits, or sinkholes in the streambed.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 permeability” </w:t>
      </w:r>
      <w:r>
        <w:rPr>
          <w:rFonts w:ascii="Times New Roman" w:hAnsi="Times New Roman"/>
          <w:b w:val="false"/>
          <w:i w:val="false"/>
          <w:color w:val="000000"/>
          <w:sz w:val="22"/>
        </w:rPr>
        <w:t>means a soil layer of well-sorted, fine grain-sized sediments or of rock that under normal hydrostatic pressures would not be significantly permeable. Low permeability soils may include homogeneous clays below the zone of weathering, mudstone, claystone, shale, and some glacial till.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w:t>
      </w:r>
      <w:r>
        <w:rPr>
          <w:rFonts w:ascii="Times New Roman" w:hAnsi="Times New Roman"/>
          <w:b w:val="false"/>
          <w:i w:val="false"/>
          <w:color w:val="000000"/>
          <w:sz w:val="22"/>
        </w:rPr>
        <w:t>for municipalities, means a facility having an average wet weather design flow of 1.0 million gallons per day (MGD) or greater. For industries “major” means a facility which is designated by EPA as being a major industry based on the EPA point rating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permit amendment”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“major modification” </w:t>
      </w:r>
      <w:r>
        <w:rPr>
          <w:rFonts w:ascii="Times New Roman" w:hAnsi="Times New Roman"/>
          <w:b w:val="false"/>
          <w:i w:val="false"/>
          <w:color w:val="000000"/>
          <w:sz w:val="22"/>
        </w:rPr>
        <w:t>means a permit modification that is not a minor permit amendment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wet weather flow”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“MWW” </w:t>
      </w:r>
      <w:r>
        <w:rPr>
          <w:rFonts w:ascii="Times New Roman" w:hAnsi="Times New Roman"/>
          <w:b w:val="false"/>
          <w:i w:val="false"/>
          <w:color w:val="000000"/>
          <w:sz w:val="22"/>
        </w:rPr>
        <w:t>means the total maximum flow received during any 24-hour period when the groundwater is high and runoff is occurring.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“Milligrams per liter (mg/l)” </w:t>
      </w:r>
      <w:r>
        <w:rPr>
          <w:rFonts w:ascii="Times New Roman" w:hAnsi="Times New Roman"/>
          <w:b w:val="false"/>
          <w:i w:val="false"/>
          <w:color w:val="000000"/>
          <w:sz w:val="22"/>
        </w:rPr>
        <w:t>means milligrams of solute per liter of solution (equivalent to parts per million-assuming unit density). A microgram (ug) is 1/1000 of a milligram.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flow” </w:t>
      </w:r>
      <w:r>
        <w:rPr>
          <w:rFonts w:ascii="Times New Roman" w:hAnsi="Times New Roman"/>
          <w:b w:val="false"/>
          <w:i w:val="false"/>
          <w:color w:val="000000"/>
          <w:sz w:val="22"/>
        </w:rPr>
        <w:t xml:space="preserve">means that established stream flow in lieu of the seven-day, ten-year low stream flow to which the provisions of </w:t>
      </w:r>
      <w:hyperlink r:id="rId21">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w:t>
      </w:r>
      <w:r>
        <w:rPr>
          <w:rFonts w:ascii="Times New Roman" w:hAnsi="Times New Roman"/>
          <w:b w:val="false"/>
          <w:i w:val="false"/>
          <w:color w:val="000000"/>
          <w:sz w:val="22"/>
        </w:rPr>
        <w:t>means all remaining municipal and industrial facilities which have wastewater discharge flows and which are not designated as major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permit amendment”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“minor modification” </w:t>
      </w:r>
      <w:r>
        <w:rPr>
          <w:rFonts w:ascii="Times New Roman" w:hAnsi="Times New Roman"/>
          <w:b w:val="false"/>
          <w:i w:val="false"/>
          <w:color w:val="000000"/>
          <w:sz w:val="22"/>
        </w:rPr>
        <w:t>means a permit modification made with the consent of the permittee that occurs as a result of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Correction of a typographical error;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Modification of the monitoring and reporting requirements in the permit to include more frequent monitoring or reporting;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Revision of an interim date in a compliance schedule, provided that the new date is not more than 120 days after the date specified in the permit and does not interfere with the attainment of the final compliance date;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Change in facility name or ownership;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Deletion of a point source outfall that does not result in the discharge of pollutants from other outfalls;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Incorporation of an approved local pretreatment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“Mixing zone” </w:t>
      </w:r>
      <w:r>
        <w:rPr>
          <w:rFonts w:ascii="Times New Roman" w:hAnsi="Times New Roman"/>
          <w:b w:val="false"/>
          <w:i w:val="false"/>
          <w:color w:val="000000"/>
          <w:sz w:val="22"/>
        </w:rPr>
        <w:t xml:space="preserve">means a delineated portion of a stream or river in which wastewater discharges will be allowed to combine and disperse into the water body. The chronic criteria of </w:t>
      </w:r>
      <w:hyperlink r:id="rId22">
        <w:r>
          <w:rPr>
            <w:rStyle w:val="Hyperlink"/>
            <w:rFonts w:ascii="Times New Roman" w:hAnsi="Times New Roman"/>
            <w:b w:val="false"/>
            <w:i w:val="false"/>
            <w:color w:val="000000"/>
            <w:sz w:val="22"/>
          </w:rPr>
          <w:t>567—subrule 61.3(3)</w:t>
        </w:r>
      </w:hyperlink>
      <w:r>
        <w:rPr>
          <w:rFonts w:ascii="Times New Roman" w:hAnsi="Times New Roman"/>
          <w:b w:val="false"/>
          <w:i w:val="false"/>
          <w:color w:val="000000"/>
          <w:sz w:val="22"/>
        </w:rPr>
        <w:t xml:space="preserve"> will apply at the boundary of this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“Mortality” </w:t>
      </w:r>
      <w:r>
        <w:rPr>
          <w:rFonts w:ascii="Times New Roman" w:hAnsi="Times New Roman"/>
          <w:b w:val="false"/>
          <w:i w:val="false"/>
          <w:color w:val="000000"/>
          <w:sz w:val="22"/>
        </w:rPr>
        <w:t>means, for the purpose of the 48-hour acute toxicity test, death, immobilization, or serious incapacitation of the test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“Navigable water” </w:t>
      </w:r>
      <w:r>
        <w:rPr>
          <w:rFonts w:ascii="Times New Roman" w:hAnsi="Times New Roman"/>
          <w:b w:val="false"/>
          <w:i w:val="false"/>
          <w:color w:val="000000"/>
          <w:sz w:val="22"/>
        </w:rPr>
        <w:t>means a water of the United States as defined in 40 CFR Part 122.2.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“Nephelometric” </w:t>
      </w:r>
      <w:r>
        <w:rPr>
          <w:rFonts w:ascii="Times New Roman" w:hAnsi="Times New Roman"/>
          <w:b w:val="false"/>
          <w:i w:val="false"/>
          <w:color w:val="000000"/>
          <w:sz w:val="22"/>
        </w:rPr>
        <w:t>means the nephelometric method of determining turbidity as stated in Standard Methods, pp.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132-134.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discharger” </w:t>
      </w:r>
      <w:r>
        <w:rPr>
          <w:rFonts w:ascii="Times New Roman" w:hAnsi="Times New Roman"/>
          <w:b w:val="false"/>
          <w:i w:val="false"/>
          <w:color w:val="000000"/>
          <w:sz w:val="22"/>
        </w:rPr>
        <w:t>means any building, structure, facility, or installation: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From which there is or may be a “discharge of pollutants”;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did not commence the “discharge of pollutants” at a particular “site” prior to August 13, 1979;</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Which is not a “new source”;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Which has never received a finally effective NPDES permit for discharges at that “site.”</w:t>
      </w:r>
    </w:p>
    <w:p>
      <w:pPr>
        <w:spacing w:before="0" w:after="0"/>
        <w:ind w:left="120"/>
        <w:jc w:val="both"/>
      </w:pPr>
      <w:r>
        <w:rPr>
          <w:rFonts w:ascii="Times New Roman" w:hAnsi="Times New Roman"/>
          <w:b w:val="false"/>
          <w:i w:val="false"/>
          <w:color w:val="000000"/>
          <w:sz w:val="22"/>
        </w:rPr>
        <w:t>This definition includes an “indirect discharger” which commences discharging into “waters of the United States” after August 13, 1979. It also includes any existing mobile point source (other than an offshore or coastal oil and gas exploratory drilling rig or a coastal oil and gas developmental drilling rig) such as a seafood processing rig, seafood processing vessel, or aggregate plant that begins discharging at a “site” for which it does not have a permit; and any offshore or coastal mobile oil and gas exploratory drilling rig or coastal mobile oil and gas developmental drilling rig that commences the discharge of pollutants after August 13, 1979, at a “site” under EPA’s permitting jurisdiction for which it is not covered by an individual or general permit and which is located in an area determined by the Regional Administrator in the issuance of a final permit to be an area of biological concern. In determining whether an area is an area of biological concern, the Regional Administrator shall consider the factors specified in 40 CFR 125.122(a)(1) through (10).</w:t>
      </w:r>
    </w:p>
    <w:p>
      <w:pPr>
        <w:spacing w:before="0" w:after="0"/>
        <w:ind w:left="120"/>
        <w:jc w:val="both"/>
      </w:pPr>
      <w:r>
        <w:rPr>
          <w:rFonts w:ascii="Times New Roman" w:hAnsi="Times New Roman"/>
          <w:b w:val="false"/>
          <w:i w:val="false"/>
          <w:color w:val="000000"/>
          <w:sz w:val="22"/>
        </w:rPr>
        <w:t>An offshore or coastal mobile exploratory drilling rig or coastal mobile developmental drilling rig will be considered a “new discharger” only for the duration of its discharge in an area of biological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source” </w:t>
      </w:r>
      <w:r>
        <w:rPr>
          <w:rFonts w:ascii="Times New Roman" w:hAnsi="Times New Roman"/>
          <w:b w:val="false"/>
          <w:i w:val="false"/>
          <w:color w:val="000000"/>
          <w:sz w:val="22"/>
        </w:rPr>
        <w:t>means any building, structure, facility or installation from which there is or may be a discharge of pollutants to a navigable water, the construction of which commenced after the promulgation of standards of performance under Section 306 of the Act which are applicable to such source,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building, structure, facility or installation is constructed at a site at which no other source is located; the building, structure, facility or installation totally replaces the process or production equipment that causes the discharge of pollutants at an existing source; or the production or wastewater generating processes of the building, structure, facility or installation are substantially independent of an existing source at the same site. In determining whether these are substantially independent, factors, such as the extent to which the new facility is integrated with the existing plant and the extent to which the new facility is engaged in the same general type of activity as the existing source, should be considered.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Construction on a site at which an existing source is located results in a modification rather than a new source if the construction does not create a new building, structure, facility or installation meeting the criteria of paragraph “1” but otherwise alters, replaces, or adds to existing process or production equipment.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Construction of a new source as defined pursuant to this rule has commenced if the owner or operator has: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Begun, or caused to begin, as part of a continuous on-site construction program, any placement, assembly, or installation of facilities or equipment; or significant site preparation work including clearing, excavation, or removal of existing buildings, structures, or facilities which is necessary for the placement, assembly, or installation of new source facilities or equipment;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Entered into a binding contractual obligation for the purchase of facilities or equipment which is intended to be used in the operation of the new source within a reasonable time. Options to purchase or contracts which can be terminated or modified without substantial loss, and contracts for feasibility, engineering, and design studies do not constitute a contractual obligation under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“Nonpoint source” </w:t>
      </w:r>
      <w:r>
        <w:rPr>
          <w:rFonts w:ascii="Times New Roman" w:hAnsi="Times New Roman"/>
          <w:b w:val="false"/>
          <w:i w:val="false"/>
          <w:color w:val="000000"/>
          <w:sz w:val="22"/>
        </w:rPr>
        <w:t>means a source of pollutants that is not a point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“NPDES permit” </w:t>
      </w:r>
      <w:r>
        <w:rPr>
          <w:rFonts w:ascii="Times New Roman" w:hAnsi="Times New Roman"/>
          <w:b w:val="false"/>
          <w:i w:val="false"/>
          <w:color w:val="000000"/>
          <w:sz w:val="22"/>
        </w:rPr>
        <w:t>means an operation permit, issued after the department has obtained approval of its National Pollutant Discharge Elimination System (NPDES) program from the administrator, that authorizes the discharge of any pollutant into a navigable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“Operation permit” </w:t>
      </w:r>
      <w:r>
        <w:rPr>
          <w:rFonts w:ascii="Times New Roman" w:hAnsi="Times New Roman"/>
          <w:b w:val="false"/>
          <w:i w:val="false"/>
          <w:color w:val="000000"/>
          <w:sz w:val="22"/>
        </w:rPr>
        <w:t>means a written permit by the director authorizing the operation of a wastewater disposal system or part thereof or discharge source and, if applicable, the discharge of wastes from the disposal system or part thereof or discharge source to waters of the state. An NPDES permit will constitute the operation permit in cases where there is a discharge to a water of the United States and an NPDES permit is required by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“Other waste” </w:t>
      </w:r>
      <w:r>
        <w:rPr>
          <w:rFonts w:ascii="Times New Roman" w:hAnsi="Times New Roman"/>
          <w:b w:val="false"/>
          <w:i w:val="false"/>
          <w:color w:val="000000"/>
          <w:sz w:val="22"/>
        </w:rPr>
        <w:t>means heat, garbage, municipal refuse, lime, sand, ashes, offal, oil, tar, chemicals, and all other wastes which are not sewage or industrial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 through” </w:t>
      </w:r>
      <w:r>
        <w:rPr>
          <w:rFonts w:ascii="Times New Roman" w:hAnsi="Times New Roman"/>
          <w:b w:val="false"/>
          <w:i w:val="false"/>
          <w:color w:val="000000"/>
          <w:sz w:val="22"/>
        </w:rPr>
        <w:t>means a discharge which, alone or in conjunction with a discharge or discharges entering the treatment facility from other sources, exits a POTW or semipublic sewage disposal system in quantities or concentrations which cause a violation of any requirement of the treatment facility's NPDES permit including an increase in the magnitude or duration of a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“Pathogen” </w:t>
      </w:r>
      <w:r>
        <w:rPr>
          <w:rFonts w:ascii="Times New Roman" w:hAnsi="Times New Roman"/>
          <w:b w:val="false"/>
          <w:i w:val="false"/>
          <w:color w:val="000000"/>
          <w:sz w:val="22"/>
        </w:rPr>
        <w:t>means any microorganism or virus that can cause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rationale” </w:t>
      </w:r>
      <w:r>
        <w:rPr>
          <w:rFonts w:ascii="Times New Roman" w:hAnsi="Times New Roman"/>
          <w:b w:val="false"/>
          <w:i w:val="false"/>
          <w:color w:val="000000"/>
          <w:sz w:val="22"/>
        </w:rPr>
        <w:t>means a document that sets forth the principal facts and the significant factual, legal, methodological, and policy questions considered in preparing a draft operation or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“Pesticide” </w:t>
      </w:r>
      <w:r>
        <w:rPr>
          <w:rFonts w:ascii="Times New Roman" w:hAnsi="Times New Roman"/>
          <w:b w:val="false"/>
          <w:i w:val="false"/>
          <w:color w:val="000000"/>
          <w:sz w:val="22"/>
        </w:rPr>
        <w:t xml:space="preserve">shall have the definition as stated in Iowa Code section </w:t>
      </w:r>
      <w:hyperlink r:id="rId23">
        <w:r>
          <w:rPr>
            <w:rStyle w:val="Hyperlink"/>
            <w:rFonts w:ascii="Times New Roman" w:hAnsi="Times New Roman"/>
            <w:b w:val="false"/>
            <w:i w:val="false"/>
            <w:color w:val="000000"/>
            <w:sz w:val="22"/>
          </w:rPr>
          <w:t>206.2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 </w:t>
      </w:r>
      <w:r>
        <w:rPr>
          <w:rFonts w:ascii="Times New Roman" w:hAnsi="Times New Roman"/>
          <w:b w:val="false"/>
          <w:i w:val="false"/>
          <w:color w:val="000000"/>
          <w:sz w:val="22"/>
        </w:rPr>
        <w:t>means the hydrogen ion activity of a solution expressed as the logarithm of the reciprocal of the hydrogen ion activity in moles per liter at 25°C. pH is a measure of the relative acidity or alkalinity of the solution. The range extends from 0 to 14; 7 being neutral, 0 to 7 being acidic, and 7 to 14 being alkaline.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“Point source” </w:t>
      </w:r>
      <w:r>
        <w:rPr>
          <w:rFonts w:ascii="Times New Roman" w:hAnsi="Times New Roman"/>
          <w:b w:val="false"/>
          <w:i w:val="false"/>
          <w:color w:val="000000"/>
          <w:sz w:val="22"/>
        </w:rPr>
        <w:t>means any discernible, confined and discrete conveyance, including but not limited to any pipe, ditch, channel, tunnel, conduit, well, discrete fissure, container, rolling stock, concentrated animal feeding operation, or vessel or other floating craft, from which pollutants are or may be discharged. This term does not include agricultural storm water discharges and return flows from irrigated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“Pollutant” </w:t>
      </w:r>
      <w:r>
        <w:rPr>
          <w:rFonts w:ascii="Times New Roman" w:hAnsi="Times New Roman"/>
          <w:b w:val="false"/>
          <w:i w:val="false"/>
          <w:color w:val="000000"/>
          <w:sz w:val="22"/>
        </w:rPr>
        <w:t>means sewage, industrial waste, or other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“Population equivalent” </w:t>
      </w:r>
      <w:r>
        <w:rPr>
          <w:rFonts w:ascii="Times New Roman" w:hAnsi="Times New Roman"/>
          <w:b w:val="false"/>
          <w:i w:val="false"/>
          <w:color w:val="000000"/>
          <w:sz w:val="22"/>
        </w:rPr>
        <w:t>means the calculated number of people who would contribute an equivalent amount of biochemical oxygen demand (BOD) per day as the system in question, assuming that each person contributes 0.167 pounds of five-day, 20 degrees Celsius, BOD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“Positive toxicity test result” </w:t>
      </w:r>
      <w:r>
        <w:rPr>
          <w:rFonts w:ascii="Times New Roman" w:hAnsi="Times New Roman"/>
          <w:b w:val="false"/>
          <w:i w:val="false"/>
          <w:color w:val="000000"/>
          <w:sz w:val="22"/>
        </w:rPr>
        <w:t>means a statistical significant difference of mortality rate between the control and the diluted effluent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“POTW”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“publicly owned treatment works” </w:t>
      </w:r>
      <w:r>
        <w:rPr>
          <w:rFonts w:ascii="Times New Roman" w:hAnsi="Times New Roman"/>
          <w:b w:val="false"/>
          <w:i w:val="false"/>
          <w:color w:val="000000"/>
          <w:sz w:val="22"/>
        </w:rPr>
        <w:t>means any device or system used in the treatment of municipal sewage or industrial wastes of a liquid nature which is owned by a municipal corporation or other public body created by or under Iowa law and having jurisdiction over disposal of sewage, industrial wastes or other wastes, or a designated and approved management agency under Section 208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“Pretreatment” </w:t>
      </w:r>
      <w:r>
        <w:rPr>
          <w:rFonts w:ascii="Times New Roman" w:hAnsi="Times New Roman"/>
          <w:b w:val="false"/>
          <w:i w:val="false"/>
          <w:color w:val="000000"/>
          <w:sz w:val="22"/>
        </w:rPr>
        <w:t>means the reduction of the amount of pollutants, the elimination of pollutants, or the alteration of the nature of pollutant properties in wastewater prior to or in lieu of discharging or otherwise introducing such pollutants into a POTW. The reduction or alteration may be obtained by physical, chemical, or biological processes, by process changes, or by other means, except as prohibited in 40 CFR 403.6(d).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“Pretreatment requirements” </w:t>
      </w:r>
      <w:r>
        <w:rPr>
          <w:rFonts w:ascii="Times New Roman" w:hAnsi="Times New Roman"/>
          <w:b w:val="false"/>
          <w:i w:val="false"/>
          <w:color w:val="000000"/>
          <w:sz w:val="22"/>
        </w:rPr>
        <w:t>means any substantive or procedural requirement related to pretreatment, other than a national pretreatment standard, imposed on an industrial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“Pretreatment standard”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“national pretreatment standard” </w:t>
      </w:r>
      <w:r>
        <w:rPr>
          <w:rFonts w:ascii="Times New Roman" w:hAnsi="Times New Roman"/>
          <w:b w:val="false"/>
          <w:i w:val="false"/>
          <w:color w:val="000000"/>
          <w:sz w:val="22"/>
        </w:rPr>
        <w:t>means any regulation containing pollutant discharge limits promulgated by EPA in accordance with Section 307(b) and (c) of the Act, which applies to industrial users. “Pretreatment standard” includes prohibitive discharge limits established pursuant to 40 CFR 403.5.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contact” </w:t>
      </w:r>
      <w:r>
        <w:rPr>
          <w:rFonts w:ascii="Times New Roman" w:hAnsi="Times New Roman"/>
          <w:b w:val="false"/>
          <w:i w:val="false"/>
          <w:color w:val="000000"/>
          <w:sz w:val="22"/>
        </w:rPr>
        <w:t>means any recreational or other water use in which there is direct human contact with the water involving considerable risk of ingestion of water or contact with sensitive body organs such as the eyes, ears and nose, in quantities sufficient to pose a significant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sewage disposal system” </w:t>
      </w:r>
      <w:r>
        <w:rPr>
          <w:rFonts w:ascii="Times New Roman" w:hAnsi="Times New Roman"/>
          <w:b w:val="false"/>
          <w:i w:val="false"/>
          <w:color w:val="000000"/>
          <w:sz w:val="22"/>
        </w:rPr>
        <w:t xml:space="preserve">means a system which provides for the treatment or disposal of domestic sewage from four or fewer dwelling units or the equivalent of less than 16 individuals on a continuing basis, including domestic waste, whether residential or nonresidential, but not including industrial waste of any flow rate except as provided for in </w:t>
      </w:r>
      <w:hyperlink r:id="rId24">
        <w:r>
          <w:rPr>
            <w:rStyle w:val="Hyperlink"/>
            <w:rFonts w:ascii="Times New Roman" w:hAnsi="Times New Roman"/>
            <w:b w:val="false"/>
            <w:i w:val="false"/>
            <w:color w:val="000000"/>
            <w:sz w:val="22"/>
          </w:rPr>
          <w:t>567—68.11</w:t>
        </w:r>
      </w:hyperlink>
      <w:r>
        <w:rPr>
          <w:rFonts w:ascii="Times New Roman" w:hAnsi="Times New Roman"/>
          <w:b w:val="false"/>
          <w:i w:val="false"/>
          <w:color w:val="000000"/>
          <w:sz w:val="22"/>
        </w:rPr>
        <w:t>(455B). “Private sewage disposal system” includes, but is not limited to, septic tanks, holding tanks for waste, chemical toilets, impervious vault toilets and portable toilets.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volunteer” </w:t>
      </w:r>
      <w:r>
        <w:rPr>
          <w:rFonts w:ascii="Times New Roman" w:hAnsi="Times New Roman"/>
          <w:b w:val="false"/>
          <w:i w:val="false"/>
          <w:color w:val="000000"/>
          <w:sz w:val="22"/>
        </w:rPr>
        <w:t>means a person or group of people acting on their own behalf, and not for a government agency or under contract with the department, to produce water quality monitoring data in accordance with a department-approved volunteer monitoring plan. Qualified volunteers must have the training and experience to ensure quality assurance and quality control for the data being produced, or be under the direct supervision of a person having such qualifications. A person or persons identified as participants in a department-approved volunteer monitoring plan will be considered qualified volunteers.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“Records of operation” </w:t>
      </w:r>
      <w:r>
        <w:rPr>
          <w:rFonts w:ascii="Times New Roman" w:hAnsi="Times New Roman"/>
          <w:b w:val="false"/>
          <w:i w:val="false"/>
          <w:color w:val="000000"/>
          <w:sz w:val="22"/>
        </w:rPr>
        <w:t>means department of natural resources report forms or such other report forms, letters or documents which may be acceptable to the department that are designed to indicate specific physical, chemical, or biological values for wastewater during a stated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administrator” </w:t>
      </w:r>
      <w:r>
        <w:rPr>
          <w:rFonts w:ascii="Times New Roman" w:hAnsi="Times New Roman"/>
          <w:b w:val="false"/>
          <w:i w:val="false"/>
          <w:color w:val="000000"/>
          <w:sz w:val="22"/>
        </w:rPr>
        <w:t>means the regional administrator of the United States Environmental Protection Agency, Region VII, 11201 Renner Blvd., Lenexa, Kansas 66219, or the authorized representative of the regional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contact” </w:t>
      </w:r>
      <w:r>
        <w:rPr>
          <w:rFonts w:ascii="Times New Roman" w:hAnsi="Times New Roman"/>
          <w:b w:val="false"/>
          <w:i w:val="false"/>
          <w:color w:val="000000"/>
          <w:sz w:val="22"/>
        </w:rPr>
        <w:t>means any recreational or other water use in which contact with the water is either incidental or accidental and in which the probability of ingesting appreciable quantities of water is minimal, such as fishing, commercial and recreational boating and any limited contact incidental to shoreline activity. This would include users who do not swim or float in the water body while on a boating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“Semipublic sewage disposal system” </w:t>
      </w:r>
      <w:r>
        <w:rPr>
          <w:rFonts w:ascii="Times New Roman" w:hAnsi="Times New Roman"/>
          <w:b w:val="false"/>
          <w:i w:val="false"/>
          <w:color w:val="000000"/>
          <w:sz w:val="22"/>
        </w:rPr>
        <w:t>means a system for the treatment or disposal of domestic sewage which is not a private sewage disposal system and which is not owned by a city, a sanitary sewer district, or a designated and approved management agency under Section 208 of the Act (33 U.S.C. 1288).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“Seven-day average” </w:t>
      </w:r>
      <w:r>
        <w:rPr>
          <w:rFonts w:ascii="Times New Roman" w:hAnsi="Times New Roman"/>
          <w:b w:val="false"/>
          <w:i w:val="false"/>
          <w:color w:val="000000"/>
          <w:sz w:val="22"/>
        </w:rPr>
        <w:t>means the arithmetic mean of pollutant parameter values for samples collected in a period of seven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“Seven-day, ten-year low stream flow” </w:t>
      </w:r>
      <w:r>
        <w:rPr>
          <w:rFonts w:ascii="Times New Roman" w:hAnsi="Times New Roman"/>
          <w:b w:val="false"/>
          <w:i w:val="false"/>
          <w:color w:val="000000"/>
          <w:sz w:val="22"/>
        </w:rPr>
        <w:t>means the lowest average stream flow which would statistically occur for seven consecutive days once every ten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“Severe property damage” </w:t>
      </w:r>
      <w:r>
        <w:rPr>
          <w:rFonts w:ascii="Times New Roman" w:hAnsi="Times New Roman"/>
          <w:b w:val="false"/>
          <w:i w:val="false"/>
          <w:color w:val="000000"/>
          <w:sz w:val="22"/>
        </w:rPr>
        <w:t>means substantial physical damage to property, damage to the treatment facilities which causes them to become inoperable, or substantial and permanent loss of natural resources which can reasonably be expected to occur in the absence of a bypass. “Severe property damage” does not mean economic loss caused by delays in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“Sewage” </w:t>
      </w:r>
      <w:r>
        <w:rPr>
          <w:rFonts w:ascii="Times New Roman" w:hAnsi="Times New Roman"/>
          <w:b w:val="false"/>
          <w:i w:val="false"/>
          <w:color w:val="000000"/>
          <w:sz w:val="22"/>
        </w:rPr>
        <w:t>means the water-carried waste products from residences, public buildings, institutions, or other buildings, including the bodily discharges from human beings or animals together with such groundwater infiltration and surface water as may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“Sewage from vessels” </w:t>
      </w:r>
      <w:r>
        <w:rPr>
          <w:rFonts w:ascii="Times New Roman" w:hAnsi="Times New Roman"/>
          <w:b w:val="false"/>
          <w:i w:val="false"/>
          <w:color w:val="000000"/>
          <w:sz w:val="22"/>
        </w:rPr>
        <w:t>means human body wastes and the wastes from toilets and other receptacles intended to receive or retain body wastes that are discharged from vessels and regulated under Section 312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“Shallow well” </w:t>
      </w:r>
      <w:r>
        <w:rPr>
          <w:rFonts w:ascii="Times New Roman" w:hAnsi="Times New Roman"/>
          <w:b w:val="false"/>
          <w:i w:val="false"/>
          <w:color w:val="000000"/>
          <w:sz w:val="22"/>
        </w:rPr>
        <w:t>means a well located and constructed in such manner that there is not a continuous layer of low permeability soil or rock (or equivalent retarding mechanism acceptable to the department) at least 5 feet thick, the top of which is located at least 25 feet below the normal ground surface and above the aquifer from which water is to be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industrial user” </w:t>
      </w:r>
      <w:r>
        <w:rPr>
          <w:rFonts w:ascii="Times New Roman" w:hAnsi="Times New Roman"/>
          <w:b w:val="false"/>
          <w:i w:val="false"/>
          <w:color w:val="000000"/>
          <w:sz w:val="22"/>
        </w:rPr>
        <w:t>means an industrial user of a POTW that meets any one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Discharges an average of 25,000 gallons per day or more of process wastewater excluding sanitary, noncontact cooling and boiler blowdown wastewater;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Contributes a process waste stream which makes up 5 percent or more of the average dry weather hydraulic or organic capacity of the POTW;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subject to Categorical Pretreatment Standards under 40 CFR 403.6 and 40 CFR Chapter I, Subchapter N;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designated by the department as a significant industrial user on the basis that the contributing industry, either singly or in combination with other contributing industries, has a reasonable potential for adversely affecting the operation of or effluent quality from the POTW or for violating any pretreatment standards or requirements.</w:t>
      </w:r>
    </w:p>
    <w:p>
      <w:pPr>
        <w:spacing w:before="0" w:after="0"/>
        <w:ind w:left="120"/>
        <w:jc w:val="both"/>
      </w:pPr>
      <w:r>
        <w:rPr>
          <w:rFonts w:ascii="Times New Roman" w:hAnsi="Times New Roman"/>
          <w:b w:val="false"/>
          <w:i w:val="false"/>
          <w:color w:val="000000"/>
          <w:sz w:val="22"/>
        </w:rPr>
        <w:t>Upon a finding that an industrial user meeting the criteria in paragraph “1” or “2” of this definition has no reasonable potential for adversely affecting the operation of the POTW or for violating any pretreatment standard or requirement, the department may, at any time on its own initiative or in response to a request received from an industrial user or POTW, determine that an industrial user is not a significant industrial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“Significantly more stringent limitation” </w:t>
      </w:r>
      <w:r>
        <w:rPr>
          <w:rFonts w:ascii="Times New Roman" w:hAnsi="Times New Roman"/>
          <w:b w:val="false"/>
          <w:i w:val="false"/>
          <w:color w:val="000000"/>
          <w:sz w:val="22"/>
        </w:rPr>
        <w:t>relates to secondary treatment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and SS limitations necessary to meet the percent removal requirements of at least 5 mg/l more stringent than the otherwise applicable concentration-based limitations (i.e., less than 20 mg/l in the case of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or the percent removal limitations in </w:t>
      </w:r>
      <w:hyperlink r:id="rId25">
        <w:r>
          <w:rPr>
            <w:rStyle w:val="Hyperlink"/>
            <w:rFonts w:ascii="Times New Roman" w:hAnsi="Times New Roman"/>
            <w:b w:val="false"/>
            <w:i w:val="false"/>
            <w:color w:val="000000"/>
            <w:sz w:val="22"/>
          </w:rPr>
          <w:t>567—subrules 62.3(1)</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62.3(3)</w:t>
        </w:r>
      </w:hyperlink>
      <w:r>
        <w:rPr>
          <w:rFonts w:ascii="Times New Roman" w:hAnsi="Times New Roman"/>
          <w:b w:val="false"/>
          <w:i w:val="false"/>
          <w:color w:val="000000"/>
          <w:sz w:val="22"/>
        </w:rPr>
        <w:t>, if such limits would, by themselves, force significant construction or other significant capital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“Sinkhole” </w:t>
      </w:r>
      <w:r>
        <w:rPr>
          <w:rFonts w:ascii="Times New Roman" w:hAnsi="Times New Roman"/>
          <w:b w:val="false"/>
          <w:i w:val="false"/>
          <w:color w:val="000000"/>
          <w:sz w:val="22"/>
        </w:rPr>
        <w:t>means any depression caused by the dissolution or collapse of subterranean materials in a carbonate formation or in gypsum or rock salt deposits through which water may be drained or lost to the local groundwater system. Such depressions may or may not be open to the surface at times. Intermittently, sinkholes may hold water forming a 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municipal separate storm sewer system” </w:t>
      </w:r>
      <w:r>
        <w:rPr>
          <w:rFonts w:ascii="Times New Roman" w:hAnsi="Times New Roman"/>
          <w:b w:val="false"/>
          <w:i w:val="false"/>
          <w:color w:val="000000"/>
          <w:sz w:val="22"/>
        </w:rPr>
        <w:t>means all separate storm sewer systems that are owned or operated by the United States, the state of Iowa or a city, town, county, district, association or other public body (created by or pursuant to state law) having jurisdiction over disposal of sewage, industrial wastes, storm water, or other wastes, including special districts under state law such as a sewer district, flood control district or drainage district, or similar entity, or a designated and approved management agency under Section 208 of the Clean Water Act that discharges to waters of the United States or of the state of Iowa, and that have a population of less than 100,000 as determined by the 1990 census. This term includes systems similar to separate storm sewer systems in municipalities, such as systems at military bases, large hospital or prison complexes, and highways and other thoroughfares. The term does not include separate storm sewers in very discrete areas such as individual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“Storm water” </w:t>
      </w:r>
      <w:r>
        <w:rPr>
          <w:rFonts w:ascii="Times New Roman" w:hAnsi="Times New Roman"/>
          <w:b w:val="false"/>
          <w:i w:val="false"/>
          <w:color w:val="000000"/>
          <w:sz w:val="22"/>
        </w:rPr>
        <w:t>means storm water runoff, snow melt runoff and surface runoff and drainage. (</w:t>
      </w:r>
      <w:r>
        <w:rPr>
          <w:rFonts w:ascii="Times New Roman" w:hAnsi="Times New Roman"/>
          <w:b w:val="false"/>
          <w:i w:val="false"/>
          <w:color w:val="000000"/>
          <w:sz w:val="22"/>
        </w:rPr>
        <w:t>NOTE:</w:t>
      </w:r>
      <w:r>
        <w:rPr>
          <w:rFonts w:ascii="Times New Roman" w:hAnsi="Times New Roman"/>
          <w:b w:val="false"/>
          <w:i w:val="false"/>
          <w:color w:val="000000"/>
          <w:sz w:val="22"/>
        </w:rPr>
        <w:t xml:space="preserve"> Agricultural storm water runoff is excluded by federal regulation 40 CFR 122.3(e).)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“Storm water discharge associated with industrial activity” </w:t>
      </w:r>
      <w:r>
        <w:rPr>
          <w:rFonts w:ascii="Times New Roman" w:hAnsi="Times New Roman"/>
          <w:b w:val="false"/>
          <w:i w:val="false"/>
          <w:color w:val="000000"/>
          <w:sz w:val="22"/>
        </w:rPr>
        <w:t>means the discharge from any conveyance that is used for collecting and conveying storm water and that is directly related to manufacturing, processing or raw materials storage areas at an industrial plant. The term does not include discharges from facilities or activities excluded from the NPDES program under 40 CFR Part 122. For the categories of industries identified in this definition, the term includes, but is not limited to, storm water discharges from industrial plant yards; immediate access roads and rail lines used or traveled by carriers of raw materials, manufactured products, waste material, or by-products used or created by the facility; material handling sites; refuse sites; sites used for the application or disposal of process wastewaters (as defined at 40 CFR Part 401); sites used for the storage and maintenance of material handling equipment; sites used for residual treatment, storage, or disposal; shipping and receiving areas; manufacturing buildings; storage areas (including tank farms) for raw materials, and intermediate and final products; and areas where industrial activity has taken place in the past and significant materials remain and are exposed to storm water.</w:t>
      </w:r>
    </w:p>
    <w:p>
      <w:pPr>
        <w:spacing w:before="0" w:after="0"/>
        <w:ind w:left="120"/>
        <w:jc w:val="both"/>
      </w:pPr>
      <w:r>
        <w:rPr>
          <w:rFonts w:ascii="Times New Roman" w:hAnsi="Times New Roman"/>
          <w:b w:val="false"/>
          <w:i w:val="false"/>
          <w:color w:val="000000"/>
          <w:sz w:val="22"/>
        </w:rPr>
        <w:t>For the purposes of this definition, material handling activities include storage, loading and unloading, transportation, or conveyance of any raw material, intermediate product, final product, by-product or waste product. The term excludes areas located on plant lands separate from the plant’s industrial activities, such as office buildings and accompanying parking lots as long as the drainage from the excluded areas is not mixed with storm water drained from the above described areas. Industrial facilities (including industrial facilities that are federally, state, or municipally owned or operated that meet the description of the facilities listed in paragraphs “1” to “11” of this definition) include those facilities designated under 40 CFR Section 122.26(a)(1)(v). The following categories of facilities are considered to be engaging in “industrial activity” for purposes of this definition: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Facilities subject to storm water effluent limitations guidelines, new source performance standards, or toxic pollutant effluent standards under 40 CFR Subchapter N (except facilities with toxic pollutant effluent standards which are exempted under paragraph “11” of this definition);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Facilities classified within Standard Industrial Classification 24, Industry Group 241 that are rock crushing, gravel washing, log sorting, or log storage facilities operated in connection with silvicultural activities defined in 40 CFR Sections 122.27(b)(2)-(3) and Industry Groups 242 through 249; 26 (except 265 and 267), 28 (except 283), 29, 311, 32 (except 323), 33, 3441, 373; (not included are all other types of silviculture facilities);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Facilities classified as Standard Industrial Classifications 10 through 14 (mineral industry) including active or inactive mining operations (except for areas of coal mining operations no longer meeting the definition of a reclamation area under 40 CFR Section 434.11(1) because the performance bond issued to the facility by the appropriate SMCRA authority has been released, or except for areas of non-coal mining operations which have been released from applicable state or federal reclamation requirements after December 17, 1990) and oil and gas exploration, production, processing, or treatment operations, or transmission facilities that discharge storm water contaminated by contact with or that has come into contact with, any overburden, raw material, intermediate products, finished products, by-products or waste products located on the site of such operations; (inactive mining operations are mining sites that are not being actively mined, but which have an identifiable owner/operator; inactive mining sites do not include sites where mining claims are being maintained prior to disturbances associated with the extraction, beneficiation, or processing of mined materials, nor sites where minimal activities are undertaken for the sole purpose of maintaining a mining claim);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Hazardous waste treatment, storage, or disposal facilities, including those that are operating under interim status or a permit under Subtitle C of RCRA;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Landfills, land application sites, and open dumps that receive or have received any industrial wastes (waste that is received from any of the facilities described under this definition) including those that are subject to regulation under Subtitle D of RCRA;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Facilities involved in the recycling of materials, including metal scrap yards, battery reclaimers, salvage yards, and automobile junkyards, including, but not limited to, those classified as Standard Industrial Classifications 5015 and 5093;</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Steam electric power generating facilities, including coal handling sites;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Transportation facilities classified as Standard Industrial Classifications 40, 41, 42 (except 4221-4225), 43, 44, 45 and 5171 which have vehicle maintenance shops, equipment cleaning operations, or airport deicing operations. Only those portions of the facility that are either involved in vehicle maintenance (including vehicle rehabilitation, mechanical repairs, painting, fueling, and lubrication), equipment cleaning operations, airport deicing operations, or which are otherwise identified under paragraphs “1” to “7” or “9” to “11” of this definition are associated with industrial activity;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Treatment works treating domestic sewage or any other sewage sludge or wastewater treatment device or system, used in the storage, treatment, recycling, and reclamation of municipal or domestic sewage, including land dedicated to the disposal of sewage sludge that are located within the confines of the facility, with a design flow of 1.0 mgd or more, or required to have an approved pretreatment program under 40 CFR Part 403. Not included are farmlands, domestic gardens or lands used for sludge management where sludge is beneficially reused and which are not physically located in the confines of the facility, or areas that are in compliance with Section 405 of the Clean Water Act;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Construction activity including clearing, grading and excavation, except operations that result in the disturbance of less than one acre of total land area. Construction activity also includes the disturbance of less than one acre of total land area that is a part of a larger common plan of development or sale if the larger common plan will ultimately disturb one acre or more;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Facilities under Standard Industrial Classifications 20, 21, 22, 23, 2434, 25, 265, 267, 27, 283, 285, 30, 31 (except 311), 323, 34 (except 3441), 35, 36, 37 (except 373), 38, 39, and 4221-4225.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“Storm water discharge associated with small construction activity” </w:t>
      </w:r>
      <w:r>
        <w:rPr>
          <w:rFonts w:ascii="Times New Roman" w:hAnsi="Times New Roman"/>
          <w:b w:val="false"/>
          <w:i w:val="false"/>
          <w:color w:val="000000"/>
          <w:sz w:val="22"/>
        </w:rPr>
        <w:t>means the discharge of storm water from: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Construction activities including clearing, grading, and excavating that result in land disturbance of equal to or greater than 1 acre and less than 5 acres. Small construction activity also includes the disturbance of less than 1 acre of total land area that is part of a larger common plan of development or sale if the larger common plan will ultimately disturb an area equal to or greater than 1 acre and less than 5 acres. Small construction activity does not include routine maintenance that is performed to maintain the original line and grade, hydraulic capacity, or original purpose of the facility.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other construction activity designated by the director based on the potential for contribution to a violation of a water quality standard or for significant contribution of pollutants to waters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“Storm water point sources” </w:t>
      </w:r>
      <w:r>
        <w:rPr>
          <w:rFonts w:ascii="Times New Roman" w:hAnsi="Times New Roman"/>
          <w:b w:val="false"/>
          <w:i w:val="false"/>
          <w:color w:val="000000"/>
          <w:sz w:val="22"/>
        </w:rPr>
        <w:t>means point sources that serve to collect, channel, direct, and convey storm water and which are subject to Section 402(p) of the federal Clean Water Act and 40 CFR Parts 122, 123, and 124.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“Temperature” </w:t>
      </w:r>
      <w:r>
        <w:rPr>
          <w:rFonts w:ascii="Times New Roman" w:hAnsi="Times New Roman"/>
          <w:b w:val="false"/>
          <w:i w:val="false"/>
          <w:color w:val="000000"/>
          <w:sz w:val="22"/>
        </w:rPr>
        <w:t>means a measure of the heat content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“Thirty-day average” </w:t>
      </w:r>
      <w:r>
        <w:rPr>
          <w:rFonts w:ascii="Times New Roman" w:hAnsi="Times New Roman"/>
          <w:b w:val="false"/>
          <w:i w:val="false"/>
          <w:color w:val="000000"/>
          <w:sz w:val="22"/>
        </w:rPr>
        <w:t>means the arithmetic mean of pollutant parameter values of samples collected in a period of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“Toxicity reduction evaluation (TRE) program” </w:t>
      </w:r>
      <w:r>
        <w:rPr>
          <w:rFonts w:ascii="Times New Roman" w:hAnsi="Times New Roman"/>
          <w:b w:val="false"/>
          <w:i w:val="false"/>
          <w:color w:val="000000"/>
          <w:sz w:val="22"/>
        </w:rPr>
        <w:t>means a step-wise process, similar to that found in EPA Document/600/2-88/062, which combines effluent toxicity tests and analysis of the chemical characteristics of the effluent to determine the cause of the effluent toxicity or the treatment methods which will reduce the effluent toxicity,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“Turbidity” </w:t>
      </w:r>
      <w:r>
        <w:rPr>
          <w:rFonts w:ascii="Times New Roman" w:hAnsi="Times New Roman"/>
          <w:b w:val="false"/>
          <w:i w:val="false"/>
          <w:color w:val="000000"/>
          <w:sz w:val="22"/>
        </w:rPr>
        <w:t>is a measure of the optical property of the particles of mud, clay, silt, finely divided organic matter, or microscopic organisms suspended in water that interfere with light transmission, causing the light to be scattered and absorbed rather than transmitted through the water in straight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“Uncontrolled sanitary landfill” </w:t>
      </w:r>
      <w:r>
        <w:rPr>
          <w:rFonts w:ascii="Times New Roman" w:hAnsi="Times New Roman"/>
          <w:b w:val="false"/>
          <w:i w:val="false"/>
          <w:color w:val="000000"/>
          <w:sz w:val="22"/>
        </w:rPr>
        <w:t>means a landfill or open dump, whether in operation or closed, that does not meet the requirements for runon or runoff controls established pursuant to subtitle D of the Solid Waste Disposal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“Valid effluent toxicity test” </w:t>
      </w:r>
      <w:r>
        <w:rPr>
          <w:rFonts w:ascii="Times New Roman" w:hAnsi="Times New Roman"/>
          <w:b w:val="false"/>
          <w:i w:val="false"/>
          <w:color w:val="000000"/>
          <w:sz w:val="22"/>
        </w:rPr>
        <w:t xml:space="preserve">means the mortality in the control test is not greater than 10 percent and all test conditions contained in </w:t>
      </w:r>
      <w:hyperlink r:id="rId27">
        <w:r>
          <w:rPr>
            <w:rStyle w:val="Hyperlink"/>
            <w:rFonts w:ascii="Times New Roman" w:hAnsi="Times New Roman"/>
            <w:b w:val="false"/>
            <w:i w:val="false"/>
            <w:color w:val="000000"/>
            <w:sz w:val="22"/>
          </w:rPr>
          <w:t>567—subrule 63.4(2)</w:t>
        </w:r>
      </w:hyperlink>
      <w:r>
        <w:rPr>
          <w:rFonts w:ascii="Times New Roman" w:hAnsi="Times New Roman"/>
          <w:b w:val="false"/>
          <w:i/>
          <w:color w:val="000000"/>
          <w:sz w:val="22"/>
        </w:rPr>
        <w:t>“b”</w:t>
      </w:r>
      <w:r>
        <w:rPr>
          <w:rFonts w:ascii="Times New Roman" w:hAnsi="Times New Roman"/>
          <w:b w:val="false"/>
          <w:i w:val="false"/>
          <w:color w:val="000000"/>
          <w:sz w:val="22"/>
        </w:rPr>
        <w:t xml:space="preserve"> “Standard Operating Procedure: Effluent Toxicity Testing, Iowa Department of Natural Resources”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contact recreational canoeing” </w:t>
      </w:r>
      <w:r>
        <w:rPr>
          <w:rFonts w:ascii="Times New Roman" w:hAnsi="Times New Roman"/>
          <w:b w:val="false"/>
          <w:i w:val="false"/>
          <w:color w:val="000000"/>
          <w:sz w:val="22"/>
        </w:rPr>
        <w:t>means the type of activities associated with canoeing outings in which primary contact with the water does occur. This would include users who swim or float in the water body while on a canoeing outing.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of the state” </w:t>
      </w:r>
      <w:r>
        <w:rPr>
          <w:rFonts w:ascii="Times New Roman" w:hAnsi="Times New Roman"/>
          <w:b w:val="false"/>
          <w:i w:val="false"/>
          <w:color w:val="000000"/>
          <w:sz w:val="22"/>
        </w:rPr>
        <w:t>means any stream, lake, pond, marsh, watercourse, waterway, well, spring, reservoir, aquifer, irrigation system, drainage system, and any other body or accumulation of water, surface or underground, natural or artificial, public or private, which are contained within, flow through or border upon the state or any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quality requirement” </w:t>
      </w:r>
      <w:r>
        <w:rPr>
          <w:rFonts w:ascii="Times New Roman" w:hAnsi="Times New Roman"/>
          <w:b w:val="false"/>
          <w:i w:val="false"/>
          <w:color w:val="000000"/>
          <w:sz w:val="22"/>
        </w:rPr>
        <w:t xml:space="preserve">means the same as defined in 40 CFR §121.1(n).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“Zone of initial dilution” </w:t>
      </w:r>
      <w:r>
        <w:rPr>
          <w:rFonts w:ascii="Times New Roman" w:hAnsi="Times New Roman"/>
          <w:b w:val="false"/>
          <w:i w:val="false"/>
          <w:color w:val="000000"/>
          <w:sz w:val="22"/>
        </w:rPr>
        <w:t xml:space="preserve">means a delineated portion of a mixing zone in which wastewater discharges will be allowed to rapidly combine and begin dispersing into the water body. The acute criteria of </w:t>
      </w:r>
      <w:hyperlink r:id="rId28">
        <w:r>
          <w:rPr>
            <w:rStyle w:val="Hyperlink"/>
            <w:rFonts w:ascii="Times New Roman" w:hAnsi="Times New Roman"/>
            <w:b w:val="false"/>
            <w:i w:val="false"/>
            <w:color w:val="000000"/>
            <w:sz w:val="22"/>
          </w:rPr>
          <w:t>567—subrule 61.3(3)</w:t>
        </w:r>
      </w:hyperlink>
      <w:r>
        <w:rPr>
          <w:rFonts w:ascii="Times New Roman" w:hAnsi="Times New Roman"/>
          <w:b w:val="false"/>
          <w:i w:val="false"/>
          <w:color w:val="000000"/>
          <w:sz w:val="22"/>
        </w:rPr>
        <w:t xml:space="preserve"> will apply at the boundary of this zone.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5679C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6734C</w:t>
      </w:r>
      <w:r>
        <w:rPr>
          <w:rFonts w:ascii="Times New Roman" w:hAnsi="Times New Roman"/>
          <w:b w:val="false"/>
          <w:i w:val="false"/>
          <w:color w:val="000000"/>
          <w:sz w:val="16"/>
        </w:rPr>
        <w:t>, IAB 12/14/22, effective 3/1/23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567—60.3</w:t>
      </w:r>
      <w:r>
        <w:rPr>
          <w:rFonts w:ascii="Times New Roman" w:hAnsi="Times New Roman"/>
          <w:b/>
          <w:i w:val="false"/>
          <w:color w:val="000000"/>
          <w:sz w:val="22"/>
        </w:rPr>
        <w:t xml:space="preserve">(455B,17A) </w:t>
      </w:r>
      <w:r>
        <w:rPr>
          <w:rFonts w:ascii="Times New Roman" w:hAnsi="Times New Roman"/>
          <w:b/>
          <w:i w:val="false"/>
          <w:color w:val="000000"/>
          <w:sz w:val="22"/>
        </w:rPr>
        <w:t xml:space="preserve">Wastewater forms. </w:t>
      </w:r>
      <w:r>
        <w:rPr>
          <w:rFonts w:ascii="Times New Roman" w:hAnsi="Times New Roman"/>
          <w:b w:val="false"/>
          <w:i w:val="false"/>
          <w:color w:val="000000"/>
          <w:sz w:val="22"/>
        </w:rPr>
        <w:t xml:space="preserve">The following construction permit application forms and operation and NPDES permit forms provided by the department shall be used to apply for departmental approvals and permits and to report on activities related to the department’s wastewater programs. Electronic forms may be accessed on the department’s website or obtained from the appropriate regional field office. Paper forms, when available, may be obtained from the department’s website or by contacting the appropriate regional field office. Properly completed application forms, reporting forms, and all attachments shall be submitted in accordance with department instructions.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application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Schedules 28 — “A” to “S”</w:t>
      </w:r>
    </w:p>
    <w:p>
      <w:pPr>
        <w:spacing w:before="0" w:after="0"/>
        <w:ind w:left="120"/>
        <w:jc w:val="both"/>
      </w:pPr>
      <w:r>
        <w:rPr>
          <w:rFonts w:ascii="Times New Roman" w:hAnsi="Times New Roman"/>
          <w:b w:val="false"/>
          <w:i w:val="false"/>
          <w:color w:val="000000"/>
          <w:sz w:val="22"/>
        </w:rPr>
        <w:t>“A” — General Information 542-3129</w:t>
      </w:r>
    </w:p>
    <w:p>
      <w:pPr>
        <w:spacing w:before="0" w:after="0"/>
        <w:ind w:left="120"/>
        <w:jc w:val="both"/>
      </w:pPr>
      <w:r>
        <w:rPr>
          <w:rFonts w:ascii="Times New Roman" w:hAnsi="Times New Roman"/>
          <w:b w:val="false"/>
          <w:i w:val="false"/>
          <w:color w:val="000000"/>
          <w:sz w:val="22"/>
        </w:rPr>
        <w:t>“B” — Collection System 542-3095</w:t>
      </w:r>
    </w:p>
    <w:p>
      <w:pPr>
        <w:spacing w:before="0" w:after="0"/>
        <w:ind w:left="120"/>
        <w:jc w:val="both"/>
      </w:pPr>
      <w:r>
        <w:rPr>
          <w:rFonts w:ascii="Times New Roman" w:hAnsi="Times New Roman"/>
          <w:b w:val="false"/>
          <w:i w:val="false"/>
          <w:color w:val="000000"/>
          <w:sz w:val="22"/>
        </w:rPr>
        <w:t>“C” — Lateral Sewer System 542-3096</w:t>
      </w:r>
    </w:p>
    <w:p>
      <w:pPr>
        <w:spacing w:before="0" w:after="0"/>
        <w:ind w:left="120"/>
        <w:jc w:val="both"/>
      </w:pPr>
      <w:r>
        <w:rPr>
          <w:rFonts w:ascii="Times New Roman" w:hAnsi="Times New Roman"/>
          <w:b w:val="false"/>
          <w:i w:val="false"/>
          <w:color w:val="000000"/>
          <w:sz w:val="22"/>
        </w:rPr>
        <w:t>“D” — Trunk and Interceptor Sewer 542-3097</w:t>
      </w:r>
    </w:p>
    <w:p>
      <w:pPr>
        <w:spacing w:before="0" w:after="0"/>
        <w:ind w:left="120"/>
        <w:jc w:val="both"/>
      </w:pPr>
      <w:r>
        <w:rPr>
          <w:rFonts w:ascii="Times New Roman" w:hAnsi="Times New Roman"/>
          <w:b w:val="false"/>
          <w:i w:val="false"/>
          <w:color w:val="000000"/>
          <w:sz w:val="22"/>
        </w:rPr>
        <w:t>“E” — Pump Station 542-3098</w:t>
      </w:r>
    </w:p>
    <w:p>
      <w:pPr>
        <w:spacing w:before="0" w:after="0"/>
        <w:ind w:left="120"/>
        <w:jc w:val="both"/>
      </w:pPr>
      <w:r>
        <w:rPr>
          <w:rFonts w:ascii="Times New Roman" w:hAnsi="Times New Roman"/>
          <w:b w:val="false"/>
          <w:i w:val="false"/>
          <w:color w:val="000000"/>
          <w:sz w:val="22"/>
        </w:rPr>
        <w:t>“F” — Treatment Project Site Selection 542-3099</w:t>
      </w:r>
    </w:p>
    <w:p>
      <w:pPr>
        <w:spacing w:before="0" w:after="0"/>
        <w:ind w:left="120"/>
        <w:jc w:val="both"/>
      </w:pPr>
      <w:r>
        <w:rPr>
          <w:rFonts w:ascii="Times New Roman" w:hAnsi="Times New Roman"/>
          <w:b w:val="false"/>
          <w:i w:val="false"/>
          <w:color w:val="000000"/>
          <w:sz w:val="22"/>
        </w:rPr>
        <w:t>“G” — Treatment Project Design Data 542-3106</w:t>
      </w:r>
    </w:p>
    <w:p>
      <w:pPr>
        <w:spacing w:before="0" w:after="0"/>
        <w:ind w:left="120"/>
        <w:jc w:val="both"/>
      </w:pPr>
      <w:r>
        <w:rPr>
          <w:rFonts w:ascii="Times New Roman" w:hAnsi="Times New Roman"/>
          <w:b w:val="false"/>
          <w:i w:val="false"/>
          <w:color w:val="000000"/>
          <w:sz w:val="22"/>
        </w:rPr>
        <w:t>“H1” — Schematic Flow Diagram 542-3101</w:t>
      </w:r>
    </w:p>
    <w:p>
      <w:pPr>
        <w:spacing w:before="0" w:after="0"/>
        <w:ind w:left="120"/>
        <w:jc w:val="both"/>
      </w:pPr>
      <w:r>
        <w:rPr>
          <w:rFonts w:ascii="Times New Roman" w:hAnsi="Times New Roman"/>
          <w:b w:val="false"/>
          <w:i w:val="false"/>
          <w:color w:val="000000"/>
          <w:sz w:val="22"/>
        </w:rPr>
        <w:t>“H2” — Treatment Process Removal Efficiency 542-3102</w:t>
      </w:r>
    </w:p>
    <w:p>
      <w:pPr>
        <w:spacing w:before="0" w:after="0"/>
        <w:ind w:left="120"/>
        <w:jc w:val="both"/>
      </w:pPr>
      <w:r>
        <w:rPr>
          <w:rFonts w:ascii="Times New Roman" w:hAnsi="Times New Roman"/>
          <w:b w:val="false"/>
          <w:i w:val="false"/>
          <w:color w:val="000000"/>
          <w:sz w:val="22"/>
        </w:rPr>
        <w:t>“H3” — Mechanical Plant Reliability 542-3239</w:t>
      </w:r>
    </w:p>
    <w:p>
      <w:pPr>
        <w:spacing w:before="0" w:after="0"/>
        <w:ind w:left="120"/>
        <w:jc w:val="both"/>
      </w:pPr>
      <w:r>
        <w:rPr>
          <w:rFonts w:ascii="Times New Roman" w:hAnsi="Times New Roman"/>
          <w:b w:val="false"/>
          <w:i w:val="false"/>
          <w:color w:val="000000"/>
          <w:sz w:val="22"/>
        </w:rPr>
        <w:t>“I” — Screening, Grit Removal and Flow Measurement 542-3089</w:t>
      </w:r>
    </w:p>
    <w:p>
      <w:pPr>
        <w:spacing w:before="0" w:after="0"/>
        <w:ind w:left="120"/>
        <w:jc w:val="both"/>
      </w:pPr>
      <w:r>
        <w:rPr>
          <w:rFonts w:ascii="Times New Roman" w:hAnsi="Times New Roman"/>
          <w:b w:val="false"/>
          <w:i w:val="false"/>
          <w:color w:val="000000"/>
          <w:sz w:val="22"/>
        </w:rPr>
        <w:t>“J” — Septic Tank System 542-3090</w:t>
      </w:r>
    </w:p>
    <w:p>
      <w:pPr>
        <w:spacing w:before="0" w:after="0"/>
        <w:ind w:left="120"/>
        <w:jc w:val="both"/>
      </w:pPr>
      <w:r>
        <w:rPr>
          <w:rFonts w:ascii="Times New Roman" w:hAnsi="Times New Roman"/>
          <w:b w:val="false"/>
          <w:i w:val="false"/>
          <w:color w:val="000000"/>
          <w:sz w:val="22"/>
        </w:rPr>
        <w:t>“K1” — Controlled Discharge Pond 542-3091</w:t>
      </w:r>
    </w:p>
    <w:p>
      <w:pPr>
        <w:spacing w:before="0" w:after="0"/>
        <w:ind w:left="120"/>
        <w:jc w:val="both"/>
      </w:pPr>
      <w:r>
        <w:rPr>
          <w:rFonts w:ascii="Times New Roman" w:hAnsi="Times New Roman"/>
          <w:b w:val="false"/>
          <w:i w:val="false"/>
          <w:color w:val="000000"/>
          <w:sz w:val="22"/>
        </w:rPr>
        <w:t>“K2” — Aerated Pond 542-3092</w:t>
      </w:r>
    </w:p>
    <w:p>
      <w:pPr>
        <w:spacing w:before="0" w:after="0"/>
        <w:ind w:left="120"/>
        <w:jc w:val="both"/>
      </w:pPr>
      <w:r>
        <w:rPr>
          <w:rFonts w:ascii="Times New Roman" w:hAnsi="Times New Roman"/>
          <w:b w:val="false"/>
          <w:i w:val="false"/>
          <w:color w:val="000000"/>
          <w:sz w:val="22"/>
        </w:rPr>
        <w:t>“K3” — Anaerobic Lagoon 542-3093</w:t>
      </w:r>
    </w:p>
    <w:p>
      <w:pPr>
        <w:spacing w:before="0" w:after="0"/>
        <w:ind w:left="120"/>
        <w:jc w:val="both"/>
      </w:pPr>
      <w:r>
        <w:rPr>
          <w:rFonts w:ascii="Times New Roman" w:hAnsi="Times New Roman"/>
          <w:b w:val="false"/>
          <w:i w:val="false"/>
          <w:color w:val="000000"/>
          <w:sz w:val="22"/>
        </w:rPr>
        <w:t>“L” — Settling Tanks 542-3094</w:t>
      </w:r>
    </w:p>
    <w:p>
      <w:pPr>
        <w:spacing w:before="0" w:after="0"/>
        <w:ind w:left="120"/>
        <w:jc w:val="both"/>
      </w:pPr>
      <w:r>
        <w:rPr>
          <w:rFonts w:ascii="Times New Roman" w:hAnsi="Times New Roman"/>
          <w:b w:val="false"/>
          <w:i w:val="false"/>
          <w:color w:val="000000"/>
          <w:sz w:val="22"/>
        </w:rPr>
        <w:t>“M” — Fixed Film Reactor—Stationary Media 542-3081</w:t>
      </w:r>
    </w:p>
    <w:p>
      <w:pPr>
        <w:spacing w:before="0" w:after="0"/>
        <w:ind w:left="120"/>
        <w:jc w:val="both"/>
      </w:pPr>
      <w:r>
        <w:rPr>
          <w:rFonts w:ascii="Times New Roman" w:hAnsi="Times New Roman"/>
          <w:b w:val="false"/>
          <w:i w:val="false"/>
          <w:color w:val="000000"/>
          <w:sz w:val="22"/>
        </w:rPr>
        <w:t>“N” — Rotating Biological Contactor 542-3082</w:t>
      </w:r>
    </w:p>
    <w:p>
      <w:pPr>
        <w:spacing w:before="0" w:after="0"/>
        <w:ind w:left="120"/>
        <w:jc w:val="both"/>
      </w:pPr>
      <w:r>
        <w:rPr>
          <w:rFonts w:ascii="Times New Roman" w:hAnsi="Times New Roman"/>
          <w:b w:val="false"/>
          <w:i w:val="false"/>
          <w:color w:val="000000"/>
          <w:sz w:val="22"/>
        </w:rPr>
        <w:t>“O” — Aeration Tanks or Basins 542-3083</w:t>
      </w:r>
    </w:p>
    <w:p>
      <w:pPr>
        <w:spacing w:before="0" w:after="0"/>
        <w:ind w:left="120"/>
        <w:jc w:val="both"/>
      </w:pPr>
      <w:r>
        <w:rPr>
          <w:rFonts w:ascii="Times New Roman" w:hAnsi="Times New Roman"/>
          <w:b w:val="false"/>
          <w:i w:val="false"/>
          <w:color w:val="000000"/>
          <w:sz w:val="22"/>
        </w:rPr>
        <w:t>“P” — Gas Chlorination 542-3084</w:t>
      </w:r>
    </w:p>
    <w:p>
      <w:pPr>
        <w:spacing w:before="0" w:after="0"/>
        <w:ind w:left="120"/>
        <w:jc w:val="both"/>
      </w:pPr>
      <w:r>
        <w:rPr>
          <w:rFonts w:ascii="Times New Roman" w:hAnsi="Times New Roman"/>
          <w:b w:val="false"/>
          <w:i w:val="false"/>
          <w:color w:val="000000"/>
          <w:sz w:val="22"/>
        </w:rPr>
        <w:t>“Q” — Sludge Dewatering and Disposal 542-3085</w:t>
      </w:r>
    </w:p>
    <w:p>
      <w:pPr>
        <w:spacing w:before="0" w:after="0"/>
        <w:ind w:left="120"/>
        <w:jc w:val="both"/>
      </w:pPr>
      <w:r>
        <w:rPr>
          <w:rFonts w:ascii="Times New Roman" w:hAnsi="Times New Roman"/>
          <w:b w:val="false"/>
          <w:i w:val="false"/>
          <w:color w:val="000000"/>
          <w:sz w:val="22"/>
        </w:rPr>
        <w:t>“R1” — Sludge Dewatering and Disposal 542-3086</w:t>
      </w:r>
    </w:p>
    <w:p>
      <w:pPr>
        <w:spacing w:before="0" w:after="0"/>
        <w:ind w:left="120"/>
        <w:jc w:val="both"/>
      </w:pPr>
      <w:r>
        <w:rPr>
          <w:rFonts w:ascii="Times New Roman" w:hAnsi="Times New Roman"/>
          <w:b w:val="false"/>
          <w:i w:val="false"/>
          <w:color w:val="000000"/>
          <w:sz w:val="22"/>
        </w:rPr>
        <w:t>“R2A” — Low Rate Land Application of Sludge (Part I) 542-3087</w:t>
      </w:r>
    </w:p>
    <w:p>
      <w:pPr>
        <w:spacing w:before="0" w:after="0"/>
        <w:ind w:left="120"/>
        <w:jc w:val="both"/>
      </w:pPr>
      <w:r>
        <w:rPr>
          <w:rFonts w:ascii="Times New Roman" w:hAnsi="Times New Roman"/>
          <w:b w:val="false"/>
          <w:i w:val="false"/>
          <w:color w:val="000000"/>
          <w:sz w:val="22"/>
        </w:rPr>
        <w:t>“R2B” — Low Rate Land Application of Sludge (Part II) 542-3088</w:t>
      </w:r>
    </w:p>
    <w:p>
      <w:pPr>
        <w:spacing w:before="0" w:after="0"/>
        <w:ind w:left="120"/>
        <w:jc w:val="both"/>
      </w:pPr>
      <w:r>
        <w:rPr>
          <w:rFonts w:ascii="Times New Roman" w:hAnsi="Times New Roman"/>
          <w:b w:val="false"/>
          <w:i w:val="false"/>
          <w:color w:val="000000"/>
          <w:sz w:val="22"/>
        </w:rPr>
        <w:t>“S” — Land Application of Wastewater (To be developed)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 29 — Sewage Treatment Agreement 542-3219</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60.3(2)</w:t>
      </w:r>
      <w:r>
        <w:rPr>
          <w:rFonts w:ascii="Times New Roman" w:hAnsi="Times New Roman"/>
          <w:b w:val="false"/>
          <w:i w:val="false"/>
          <w:color w:val="000000"/>
          <w:sz w:val="22"/>
        </w:rPr>
        <w:t xml:space="preserve"> and </w:t>
      </w:r>
      <w:r>
        <w:rPr>
          <w:rFonts w:ascii="Times New Roman" w:hAnsi="Times New Roman"/>
          <w:b/>
          <w:i w:val="false"/>
          <w:color w:val="000000"/>
          <w:sz w:val="22"/>
        </w:rPr>
        <w:t>60.3(3)</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2/9/22</w:t>
      </w:r>
      <w:r>
        <w:rPr>
          <w:rFonts w:ascii="Times New Roman" w:hAnsi="Times New Roman"/>
          <w:b w:val="false"/>
          <w:i w:val="false"/>
          <w:color w:val="000000"/>
          <w:sz w:val="22"/>
        </w:rPr>
        <w:t>, effective 3/16/22.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9365B</w:t>
      </w:r>
      <w:r>
        <w:rPr>
          <w:rFonts w:ascii="Times New Roman" w:hAnsi="Times New Roman"/>
          <w:b w:val="false"/>
          <w:i w:val="false"/>
          <w:color w:val="000000"/>
          <w:sz w:val="16"/>
        </w:rPr>
        <w:t>, IAB 2/9/11,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567—60.4</w:t>
      </w:r>
      <w:r>
        <w:rPr>
          <w:rFonts w:ascii="Times New Roman" w:hAnsi="Times New Roman"/>
          <w:b/>
          <w:i w:val="false"/>
          <w:color w:val="000000"/>
          <w:sz w:val="22"/>
        </w:rPr>
        <w:t xml:space="preserve">(455B,17A) </w:t>
      </w:r>
      <w:r>
        <w:rPr>
          <w:rFonts w:ascii="Times New Roman" w:hAnsi="Times New Roman"/>
          <w:b/>
          <w:i w:val="false"/>
          <w:color w:val="000000"/>
          <w:sz w:val="22"/>
        </w:rPr>
        <w:t xml:space="preserve">Application procedures and requirements generally. </w:t>
      </w:r>
      <w:r>
        <w:rPr>
          <w:rFonts w:ascii="Times New Roman" w:hAnsi="Times New Roman"/>
          <w:b w:val="false"/>
          <w:i w:val="false"/>
          <w:color w:val="000000"/>
          <w:sz w:val="22"/>
        </w:rPr>
        <w:t xml:space="preserve">The following procedures and requirements pertain to applications for wastewater permits. More specific and substantive requirements may be found in </w:t>
      </w:r>
      <w:hyperlink r:id="rId29">
        <w:r>
          <w:rPr>
            <w:rStyle w:val="Hyperlink"/>
            <w:rFonts w:ascii="Times New Roman" w:hAnsi="Times New Roman"/>
            <w:b w:val="false"/>
            <w:i w:val="false"/>
            <w:color w:val="000000"/>
            <w:sz w:val="22"/>
          </w:rPr>
          <w:t>567—Chapters 61</w:t>
        </w:r>
      </w:hyperlink>
      <w:r>
        <w:rPr>
          <w:rFonts w:ascii="Times New Roman" w:hAnsi="Times New Roman"/>
          <w:b w:val="false"/>
          <w:i w:val="false"/>
          <w:color w:val="000000"/>
          <w:sz w:val="22"/>
        </w:rPr>
        <w:t xml:space="preserve"> to </w:t>
      </w:r>
      <w:hyperlink r:id="rId30">
        <w:r>
          <w:rPr>
            <w:rStyle w:val="Hyperlink"/>
            <w:rFonts w:ascii="Times New Roman" w:hAnsi="Times New Roman"/>
            <w:b w:val="false"/>
            <w:i w:val="false"/>
            <w:color w:val="000000"/>
            <w:sz w:val="22"/>
          </w:rPr>
          <w:t>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All applications for a construction permit pursuant to </w:t>
      </w:r>
      <w:hyperlink r:id="rId31">
        <w:r>
          <w:rPr>
            <w:rStyle w:val="Hyperlink"/>
            <w:rFonts w:ascii="Times New Roman" w:hAnsi="Times New Roman"/>
            <w:b w:val="false"/>
            <w:i w:val="false"/>
            <w:color w:val="000000"/>
            <w:sz w:val="22"/>
          </w:rPr>
          <w:t>567—64.2</w:t>
        </w:r>
      </w:hyperlink>
      <w:r>
        <w:rPr>
          <w:rFonts w:ascii="Times New Roman" w:hAnsi="Times New Roman"/>
          <w:b w:val="false"/>
          <w:i w:val="false"/>
          <w:color w:val="000000"/>
          <w:sz w:val="22"/>
        </w:rPr>
        <w:t xml:space="preserve">(455B) shall be made in accordance with the instructions for completion of application for wastewater construction permit. The instructions specify the requirements for federal grant and nongrant projects. In addition to the required engineering documents and data the appropriate application schedules (Form 28, “A” to “S”) and Sewage Treatment Agreement Form 29 as applicable shall be submitted. The applicant will be promptly notified if the application is incomplete or improperly filled out, and an application will not be reviewed until such time as a complete and proper submission is made. A wastewater construction permit will be denied when the application does not meet all requirements for issuance of a construction permit. For a system with permits conditioned by limitations on additional loads under </w:t>
      </w:r>
      <w:hyperlink r:id="rId32">
        <w:r>
          <w:rPr>
            <w:rStyle w:val="Hyperlink"/>
            <w:rFonts w:ascii="Times New Roman" w:hAnsi="Times New Roman"/>
            <w:b w:val="false"/>
            <w:i w:val="false"/>
            <w:color w:val="000000"/>
            <w:sz w:val="22"/>
          </w:rPr>
          <w:t>567—subrule 64.2(10)</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“a,” “b”</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subsequent construction permit applications must be accompanied by an accounting of connections and additional loading since the time the initial conditioned permit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Sewer systems. </w:t>
      </w:r>
      <w:r>
        <w:rPr>
          <w:rFonts w:ascii="Times New Roman" w:hAnsi="Times New Roman"/>
          <w:b w:val="false"/>
          <w:i w:val="false"/>
          <w:color w:val="000000"/>
          <w:sz w:val="22"/>
        </w:rPr>
        <w:t>If Schedule B, “Collection System,” of the construction permit application does not provide sufficient information on which to make a determination to grant or deny a sewer system construction permit under this subrule, additional information, such as the following, may be requested and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Sources of extraneous flows,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Population trends and density in area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Quality and strength of wastes from industrial contributors,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Existing water used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Historical and experience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Location, capacity, and condition of existing sewer system and stormwater drainage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Probability of annexation or development of adjacent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 agreements with adjacent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Existence and effectiveness of industrial waste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Drainage area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Bypasses and combined sewers,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Municipal sewer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Site surveys. </w:t>
      </w:r>
      <w:r>
        <w:rPr>
          <w:rFonts w:ascii="Times New Roman" w:hAnsi="Times New Roman"/>
          <w:b w:val="false"/>
          <w:i w:val="false"/>
          <w:color w:val="000000"/>
          <w:sz w:val="22"/>
        </w:rPr>
        <w:t>For new or expanded wastewater treatment facilities, an application for a site survey must be submitted, by the applicant’s engineer, generally in advance of a full application for construction permit. The applicant should allow 60 days from the date of application for preliminary approvals. The following minimum information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preliminary engineering report or a cover letter which contains a brief description of the proposed treatment process and assurance that the project is in conformance with the long-range planning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Completed Schedule A — General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Completed Schedule F — Treatment Project Site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Completed Schedule G — Treatment Project Design Data</w:t>
      </w:r>
    </w:p>
    <w:p>
      <w:pPr>
        <w:spacing w:before="0" w:after="0"/>
        <w:ind w:left="120"/>
        <w:jc w:val="both"/>
      </w:pPr>
      <w:r>
        <w:rPr>
          <w:rFonts w:ascii="Times New Roman" w:hAnsi="Times New Roman"/>
          <w:b w:val="false"/>
          <w:i w:val="false"/>
          <w:color w:val="000000"/>
          <w:sz w:val="22"/>
        </w:rPr>
        <w:t>If the application is incomplete it will be returned to the engineer for completion. When the application is complete it will be reviewed and if the data submitted indicates on its face that the site would be unsuitable for its intended purpose, a letter of rejection will be sent to the applicant and the engineer. Clarifications and additional data may be requested of the applicant and the engineer. When the application is complete and indicates on its face that the site may be suitable, a site survey will be conducted by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Modification. </w:t>
      </w:r>
      <w:r>
        <w:rPr>
          <w:rFonts w:ascii="Times New Roman" w:hAnsi="Times New Roman"/>
          <w:b w:val="false"/>
          <w:i w:val="false"/>
          <w:color w:val="000000"/>
          <w:sz w:val="22"/>
        </w:rPr>
        <w:t>Persons seeking a modification to plans and specifications after having been issued a construction permit shall submit an addendum to plans and specifications, a change order, or revised plans and specifications, along with the reasons for the proposed changes, to the department. A supplemental written permit or approval will be issued when the changes submitted by the applicant meet department requirements. Construction shall not proceed until such changes have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Required fees shall be submitted with all applications for a construction permit as noted in </w:t>
      </w:r>
      <w:hyperlink r:id="rId33">
        <w:r>
          <w:rPr>
            <w:rStyle w:val="Hyperlink"/>
            <w:rFonts w:ascii="Times New Roman" w:hAnsi="Times New Roman"/>
            <w:b w:val="false"/>
            <w:i w:val="false"/>
            <w:color w:val="000000"/>
            <w:sz w:val="22"/>
          </w:rPr>
          <w:t>567—64.16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w:t>
      </w:r>
      <w:r>
        <w:rPr>
          <w:rFonts w:ascii="Times New Roman" w:hAnsi="Times New Roman"/>
          <w:b w:val="false"/>
          <w:i w:val="false"/>
          <w:color w:val="000000"/>
          <w:sz w:val="22"/>
        </w:rPr>
        <w:t> </w:t>
      </w:r>
      <w:r>
        <w:rPr>
          <w:rFonts w:ascii="Times New Roman" w:hAnsi="Times New Roman"/>
          <w:b w:val="false"/>
          <w:i/>
          <w:color w:val="000000"/>
          <w:sz w:val="22"/>
        </w:rPr>
        <w:t xml:space="preserve">Operation and NPDES permit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person required to obtain or renew a wastewater operation permit or an Iowa NPDES permit pursuant to </w:t>
      </w:r>
      <w:hyperlink r:id="rId34">
        <w:r>
          <w:rPr>
            <w:rStyle w:val="Hyperlink"/>
            <w:rFonts w:ascii="Times New Roman" w:hAnsi="Times New Roman"/>
            <w:b w:val="false"/>
            <w:i w:val="false"/>
            <w:color w:val="000000"/>
            <w:sz w:val="22"/>
          </w:rPr>
          <w:t>567—Chapter 64</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xml:space="preserve">, or </w:t>
      </w:r>
      <w:hyperlink r:id="rId36">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 xml:space="preserve"> must complete the appropriate application form as identified in </w:t>
      </w:r>
      <w:hyperlink r:id="rId37">
        <w:r>
          <w:rPr>
            <w:rStyle w:val="Hyperlink"/>
            <w:rFonts w:ascii="Times New Roman" w:hAnsi="Times New Roman"/>
            <w:b w:val="false"/>
            <w:i w:val="false"/>
            <w:color w:val="000000"/>
            <w:sz w:val="22"/>
          </w:rPr>
          <w:t>567—60.3</w:t>
        </w:r>
      </w:hyperlink>
      <w:r>
        <w:rPr>
          <w:rFonts w:ascii="Times New Roman" w:hAnsi="Times New Roman"/>
          <w:b w:val="false"/>
          <w:i w:val="false"/>
          <w:color w:val="000000"/>
          <w:sz w:val="22"/>
        </w:rPr>
        <w:t>(455B,17A).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applications. A permit application is complete and approvable when all necessary questions on the application have been completed and the application is signed pursuant to </w:t>
      </w:r>
      <w:hyperlink r:id="rId38">
        <w:r>
          <w:rPr>
            <w:rStyle w:val="Hyperlink"/>
            <w:rFonts w:ascii="Times New Roman" w:hAnsi="Times New Roman"/>
            <w:b w:val="false"/>
            <w:i w:val="false"/>
            <w:color w:val="000000"/>
            <w:sz w:val="22"/>
          </w:rPr>
          <w:t>567—subrule 64.3(8)</w:t>
        </w:r>
      </w:hyperlink>
      <w:r>
        <w:rPr>
          <w:rFonts w:ascii="Times New Roman" w:hAnsi="Times New Roman"/>
          <w:b w:val="false"/>
          <w:i w:val="false"/>
          <w:color w:val="000000"/>
          <w:sz w:val="22"/>
        </w:rPr>
        <w:t xml:space="preserve">, and when all applicable portions of the application, including the application fee and required attachments, have been submitted. The director may require the submission of an antidegradation alternatives analysis or other additional information deemed necessary to evaluate the application. The due date for a renewal application is 180 days prior to the expiration date of the current permit, as noted in </w:t>
      </w:r>
      <w:hyperlink r:id="rId39">
        <w:r>
          <w:rPr>
            <w:rStyle w:val="Hyperlink"/>
            <w:rFonts w:ascii="Times New Roman" w:hAnsi="Times New Roman"/>
            <w:b w:val="false"/>
            <w:i w:val="false"/>
            <w:color w:val="000000"/>
            <w:sz w:val="22"/>
          </w:rPr>
          <w:t>567—64.8</w:t>
        </w:r>
      </w:hyperlink>
      <w:r>
        <w:rPr>
          <w:rFonts w:ascii="Times New Roman" w:hAnsi="Times New Roman"/>
          <w:b w:val="false"/>
          <w:i w:val="false"/>
          <w:color w:val="000000"/>
          <w:sz w:val="22"/>
        </w:rPr>
        <w:t>(455B). For a POTW, permission to submit an application at a later date may be granted by the director. The due date for a new application is 180 days prior to the date the operation is scheduled to begin, unless a shorter period is approved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Incomplete applications may be returned to the applicant for completion. Authorization to discharge will be suspended if a complete application is not submitted to the department before the expiration date of the current permit. In the case of new applications, no discharge will be allowed until an NPDES or operation permit is issued. In the case of existing discharges, if a permit application is incomplete or has not been submitted, the department shall notify the permittee of a violation of this rule and may proceed administratively on the violation or may request that the commission refer the matter to the attorney general for legal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information. If a permittee becomes aware that it failed to submit any relevant facts in a permit application, or submitted incorrect information in a permit application, the permittee shall promptly submit such facts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 xml:space="preserve">A permittee seeking an amendment to its operation permit shall make a written request to the department which shall include the nature of and the reasons supporting the requested amendment. A waiver or amendment to the terms and conditions of a general permit shall not be granted. If a waiver or amendment to a general permit is desired, the applicant must apply for an individual permit following the procedures in 567—paragraph </w:t>
      </w:r>
      <w:hyperlink r:id="rId40">
        <w:r>
          <w:rPr>
            <w:rStyle w:val="Hyperlink"/>
            <w:rFonts w:ascii="Times New Roman" w:hAnsi="Times New Roman"/>
            <w:b w:val="false"/>
            <w:i w:val="false"/>
            <w:color w:val="000000"/>
            <w:sz w:val="22"/>
          </w:rPr>
          <w:t>64.3(4)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Schedules of compliance. Requests to amend a permit schedule of compliance shall be made at least 30 days prior to the next scheduled compliance date which the permittee contends it is unable to meet. The request shall include any proposed changes in the existing schedule of compliance, and any supporting documentation for the time extension. An extension may be granted by the department for cause. Cause may include unusually adverse weather conditions, equipment shortages, labor strikes, federal grant regulation requirements, or any other extenuating circumstances beyond the control of the requesting party. Cause does not include economic hardship, profit reduction, or failure to proceed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Interim effluent limitations. A request to amend interim effluent limitations in an existing permit shall include the proposed amendments to existing effluent limitations and any documentation in support of the proposed limitations. The department will evaluate the request based upon the capability of the disposal system to meet interim effluent limitations, taking into account the contributions to treatment capability which can be made by good operation and maintenance of the disposal system and by minor alterations which can be made to the system to improve its capability. The department may deny a request where the inability of the disposal system to meet interim effluent limitations is due to increased waste loadings on the system over those loadings upon which the interim limitations were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Monitoring requirements. An amendment request for a change in the minimum monitoring requirements in an existing permit is considered a waiver request. A request for a waiver shall include a completed Petition for Waiver form (542-1258). This form can be obtained from the department’s website or by contacting the NPDES section. The requesting permittee must provide monitoring results which are frequent enough to reflect variations in actual wastewater characteristics over a period of time and are consistent in results from sample to sample. The department will evaluate the request based upon whether or not less frequent sample results accurately reflect actual wastewater characteristics and whether operational control can be maintained.</w:t>
      </w:r>
    </w:p>
    <w:p>
      <w:pPr>
        <w:spacing w:before="0" w:after="0"/>
        <w:ind w:left="120"/>
        <w:jc w:val="both"/>
      </w:pPr>
      <w:r>
        <w:rPr>
          <w:rFonts w:ascii="Times New Roman" w:hAnsi="Times New Roman"/>
          <w:b w:val="false"/>
          <w:i w:val="false"/>
          <w:color w:val="000000"/>
          <w:sz w:val="22"/>
        </w:rPr>
        <w:t>Upon receipt of a request, the department may grant, modify, or deny the request. If the request is denied, the department may notify the permittee of any violation of its permit and may proceed administratively on the violation or may request that the commission refer the matter to the attorney general for legal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Required fees shall be submitted with all permit applications as noted in </w:t>
      </w:r>
      <w:hyperlink r:id="rId41">
        <w:r>
          <w:rPr>
            <w:rStyle w:val="Hyperlink"/>
            <w:rFonts w:ascii="Times New Roman" w:hAnsi="Times New Roman"/>
            <w:b w:val="false"/>
            <w:i w:val="false"/>
            <w:color w:val="000000"/>
            <w:sz w:val="22"/>
          </w:rPr>
          <w:t>567—64.16</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2">
        <w:r>
          <w:rPr>
            <w:rStyle w:val="Hyperlink"/>
            <w:rFonts w:ascii="Times New Roman" w:hAnsi="Times New Roman"/>
            <w:b w:val="false"/>
            <w:i w:val="false"/>
            <w:color w:val="000000"/>
            <w:sz w:val="22"/>
          </w:rPr>
          <w:t>17A.3(1)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chapter </w:t>
      </w:r>
      <w:hyperlink r:id="rId43">
        <w:r>
          <w:rPr>
            <w:rStyle w:val="Hyperlink"/>
            <w:rFonts w:ascii="Times New Roman" w:hAnsi="Times New Roman"/>
            <w:b w:val="false"/>
            <w:i w:val="false"/>
            <w:color w:val="000000"/>
            <w:sz w:val="22"/>
          </w:rPr>
          <w:t>455B, division III, part 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12/2/83, Notice 6/22/83—published 12/21/83, effective 1/25/84]</w:t>
      </w:r>
    </w:p>
    <w:p>
      <w:pPr>
        <w:spacing w:before="0" w:after="0"/>
        <w:ind w:left="120"/>
        <w:jc w:val="center"/>
      </w:pPr>
      <w:r>
        <w:rPr>
          <w:rFonts w:ascii="Times New Roman" w:hAnsi="Times New Roman"/>
          <w:b w:val="false"/>
          <w:i w:val="false"/>
          <w:color w:val="000000"/>
          <w:sz w:val="21"/>
        </w:rPr>
        <w:t>[Filed 7/12/85, Notice 3/13/85—published 7/31/85, effective 9/4/85]</w:t>
      </w:r>
    </w:p>
    <w:p>
      <w:pPr>
        <w:spacing w:before="0" w:after="0"/>
        <w:ind w:left="120"/>
        <w:jc w:val="center"/>
      </w:pPr>
      <w:r>
        <w:rPr>
          <w:rFonts w:ascii="Times New Roman" w:hAnsi="Times New Roman"/>
          <w:b w:val="false"/>
          <w:i w:val="false"/>
          <w:color w:val="000000"/>
          <w:sz w:val="21"/>
        </w:rPr>
        <w:t>[Filed 4/30/86, Notice 9/11/85—published 5/21/86, effective 6/25/86]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3/30/90, Notice 8/9/89—published 4/18/90, effective 5/23/90]</w:t>
      </w:r>
    </w:p>
    <w:p>
      <w:pPr>
        <w:spacing w:before="0" w:after="0"/>
        <w:ind w:left="120"/>
        <w:jc w:val="center"/>
      </w:pPr>
      <w:r>
        <w:rPr>
          <w:rFonts w:ascii="Times New Roman" w:hAnsi="Times New Roman"/>
          <w:b w:val="false"/>
          <w:i w:val="false"/>
          <w:color w:val="000000"/>
          <w:sz w:val="21"/>
        </w:rPr>
        <w:t>[Filed 10/26/90, Notice 7/11/90—published 11/14/90, effective 12/19/90]</w:t>
      </w:r>
    </w:p>
    <w:p>
      <w:pPr>
        <w:spacing w:before="0" w:after="0"/>
        <w:ind w:left="120"/>
        <w:jc w:val="center"/>
      </w:pPr>
      <w:r>
        <w:rPr>
          <w:rFonts w:ascii="Times New Roman" w:hAnsi="Times New Roman"/>
          <w:b w:val="false"/>
          <w:i w:val="false"/>
          <w:color w:val="000000"/>
          <w:sz w:val="21"/>
        </w:rPr>
        <w:t>[Filed 10/26/90, Notice 8/8/90—published 11/14/90, effective 12/19/90]</w:t>
      </w:r>
    </w:p>
    <w:p>
      <w:pPr>
        <w:spacing w:before="0" w:after="0"/>
        <w:ind w:left="120"/>
        <w:jc w:val="center"/>
      </w:pPr>
      <w:r>
        <w:rPr>
          <w:rFonts w:ascii="Times New Roman" w:hAnsi="Times New Roman"/>
          <w:b w:val="false"/>
          <w:i w:val="false"/>
          <w:color w:val="000000"/>
          <w:sz w:val="21"/>
        </w:rPr>
        <w:t>[Filed 4/26/91, Notice 10/17/90—published 5/15/91, effective 6/19/91]</w:t>
      </w:r>
    </w:p>
    <w:p>
      <w:pPr>
        <w:spacing w:before="0" w:after="0"/>
        <w:ind w:left="120"/>
        <w:jc w:val="center"/>
      </w:pPr>
      <w:r>
        <w:rPr>
          <w:rFonts w:ascii="Times New Roman" w:hAnsi="Times New Roman"/>
          <w:b w:val="false"/>
          <w:i w:val="false"/>
          <w:color w:val="000000"/>
          <w:sz w:val="21"/>
        </w:rPr>
        <w:t>[Filed 5/24/91, Notice 3/20/91—published 6/12/91, effective 7/17/91]</w:t>
      </w:r>
    </w:p>
    <w:p>
      <w:pPr>
        <w:spacing w:before="0" w:after="0"/>
        <w:ind w:left="120"/>
        <w:jc w:val="center"/>
      </w:pPr>
      <w:r>
        <w:rPr>
          <w:rFonts w:ascii="Times New Roman" w:hAnsi="Times New Roman"/>
          <w:b w:val="false"/>
          <w:i w:val="false"/>
          <w:color w:val="000000"/>
          <w:sz w:val="21"/>
        </w:rPr>
        <w:t>[Filed without Notice 6/21/91—published 7/10/91, effective 8/14/91]</w:t>
      </w:r>
    </w:p>
    <w:p>
      <w:pPr>
        <w:spacing w:before="0" w:after="0"/>
        <w:ind w:left="120"/>
        <w:jc w:val="center"/>
      </w:pPr>
      <w:r>
        <w:rPr>
          <w:rFonts w:ascii="Times New Roman" w:hAnsi="Times New Roman"/>
          <w:b w:val="false"/>
          <w:i w:val="false"/>
          <w:color w:val="000000"/>
          <w:sz w:val="21"/>
        </w:rPr>
        <w:t>[Filed 6/19/92, Notice 12/11/91—published 7/8/92, effective 8/12/92]</w:t>
      </w:r>
    </w:p>
    <w:p>
      <w:pPr>
        <w:spacing w:before="0" w:after="0"/>
        <w:ind w:left="120"/>
        <w:jc w:val="center"/>
      </w:pPr>
      <w:r>
        <w:rPr>
          <w:rFonts w:ascii="Times New Roman" w:hAnsi="Times New Roman"/>
          <w:b w:val="false"/>
          <w:i w:val="false"/>
          <w:color w:val="000000"/>
          <w:sz w:val="21"/>
        </w:rPr>
        <w:t>[Filed without Notice 8/28/92—published 9/16/92, effective 10/21/92]</w:t>
      </w:r>
    </w:p>
    <w:p>
      <w:pPr>
        <w:spacing w:before="0" w:after="0"/>
        <w:ind w:left="120"/>
        <w:jc w:val="center"/>
      </w:pPr>
      <w:r>
        <w:rPr>
          <w:rFonts w:ascii="Times New Roman" w:hAnsi="Times New Roman"/>
          <w:b w:val="false"/>
          <w:i w:val="false"/>
          <w:color w:val="000000"/>
          <w:sz w:val="21"/>
        </w:rPr>
        <w:t>[Filed without Notice 8/27/93—published 9/15/93, effective 10/20/93]</w:t>
      </w:r>
    </w:p>
    <w:p>
      <w:pPr>
        <w:spacing w:before="0" w:after="0"/>
        <w:ind w:left="120"/>
        <w:jc w:val="center"/>
      </w:pPr>
      <w:r>
        <w:rPr>
          <w:rFonts w:ascii="Times New Roman" w:hAnsi="Times New Roman"/>
          <w:b w:val="false"/>
          <w:i w:val="false"/>
          <w:color w:val="000000"/>
          <w:sz w:val="21"/>
        </w:rPr>
        <w:t>[Filed without Notice 8/26/94—published 9/14/94, effective 10/19/94]</w:t>
      </w:r>
    </w:p>
    <w:p>
      <w:pPr>
        <w:spacing w:before="0" w:after="0"/>
        <w:ind w:left="120"/>
        <w:jc w:val="center"/>
      </w:pPr>
      <w:r>
        <w:rPr>
          <w:rFonts w:ascii="Times New Roman" w:hAnsi="Times New Roman"/>
          <w:b w:val="false"/>
          <w:i w:val="false"/>
          <w:color w:val="000000"/>
          <w:sz w:val="21"/>
        </w:rPr>
        <w:t>[Filed without Notice 9/22/95—published 10/11/95, effective 11/15/95]</w:t>
      </w:r>
    </w:p>
    <w:p>
      <w:pPr>
        <w:spacing w:before="0" w:after="0"/>
        <w:ind w:left="120"/>
        <w:jc w:val="center"/>
      </w:pPr>
      <w:r>
        <w:rPr>
          <w:rFonts w:ascii="Times New Roman" w:hAnsi="Times New Roman"/>
          <w:b w:val="false"/>
          <w:i w:val="false"/>
          <w:color w:val="000000"/>
          <w:sz w:val="21"/>
        </w:rPr>
        <w:t>[Filed without Notice 9/20/96—published 10/9/96, effective 11/13/96]</w:t>
      </w:r>
    </w:p>
    <w:p>
      <w:pPr>
        <w:spacing w:before="0" w:after="0"/>
        <w:ind w:left="120"/>
        <w:jc w:val="center"/>
      </w:pPr>
      <w:r>
        <w:rPr>
          <w:rFonts w:ascii="Times New Roman" w:hAnsi="Times New Roman"/>
          <w:b w:val="false"/>
          <w:i w:val="false"/>
          <w:color w:val="000000"/>
          <w:sz w:val="21"/>
        </w:rPr>
        <w:t>[Filed without Notice 9/19/97—published 10/8/97, effective 11/12/97]</w:t>
      </w:r>
    </w:p>
    <w:p>
      <w:pPr>
        <w:spacing w:before="0" w:after="0"/>
        <w:ind w:left="120"/>
        <w:jc w:val="center"/>
      </w:pPr>
      <w:r>
        <w:rPr>
          <w:rFonts w:ascii="Times New Roman" w:hAnsi="Times New Roman"/>
          <w:b w:val="false"/>
          <w:i w:val="false"/>
          <w:color w:val="000000"/>
          <w:sz w:val="21"/>
        </w:rPr>
        <w:t>[Filed 3/19/98, Notice 11/19/97—published 4/8/98, effective 5/13/98]</w:t>
      </w:r>
    </w:p>
    <w:p>
      <w:pPr>
        <w:spacing w:before="0" w:after="0"/>
        <w:ind w:left="120"/>
        <w:jc w:val="center"/>
      </w:pPr>
      <w:r>
        <w:rPr>
          <w:rFonts w:ascii="Times New Roman" w:hAnsi="Times New Roman"/>
          <w:b w:val="false"/>
          <w:i w:val="false"/>
          <w:color w:val="000000"/>
          <w:sz w:val="21"/>
        </w:rPr>
        <w:t>[Filed without Notice 2/5/99—published 2/24/99, effective 3/31/99]</w:t>
      </w:r>
    </w:p>
    <w:p>
      <w:pPr>
        <w:spacing w:before="0" w:after="0"/>
        <w:ind w:left="120"/>
        <w:jc w:val="center"/>
      </w:pPr>
      <w:r>
        <w:rPr>
          <w:rFonts w:ascii="Times New Roman" w:hAnsi="Times New Roman"/>
          <w:b w:val="false"/>
          <w:i w:val="false"/>
          <w:color w:val="000000"/>
          <w:sz w:val="21"/>
        </w:rPr>
        <w:t>[Filed without Notice 10/28/99—published 11/17/99, effective 12/22/99]</w:t>
      </w:r>
    </w:p>
    <w:p>
      <w:pPr>
        <w:spacing w:before="0" w:after="0"/>
        <w:ind w:left="120"/>
        <w:jc w:val="center"/>
      </w:pPr>
      <w:r>
        <w:rPr>
          <w:rFonts w:ascii="Times New Roman" w:hAnsi="Times New Roman"/>
          <w:b w:val="false"/>
          <w:i w:val="false"/>
          <w:color w:val="000000"/>
          <w:sz w:val="21"/>
        </w:rPr>
        <w:t>[Filed without Notice 10/27/00—published 11/15/00, effective 12/20/00]</w:t>
      </w:r>
    </w:p>
    <w:p>
      <w:pPr>
        <w:spacing w:before="0" w:after="0"/>
        <w:ind w:left="120"/>
        <w:jc w:val="center"/>
      </w:pPr>
      <w:r>
        <w:rPr>
          <w:rFonts w:ascii="Times New Roman" w:hAnsi="Times New Roman"/>
          <w:b w:val="false"/>
          <w:i w:val="false"/>
          <w:color w:val="000000"/>
          <w:sz w:val="21"/>
        </w:rPr>
        <w:t>[Filed 5/25/01, Notice 3/21/01—published 6/13/01, effective 7/18/01]</w:t>
      </w:r>
    </w:p>
    <w:p>
      <w:pPr>
        <w:spacing w:before="0" w:after="0"/>
        <w:ind w:left="120"/>
        <w:jc w:val="center"/>
      </w:pPr>
      <w:r>
        <w:rPr>
          <w:rFonts w:ascii="Times New Roman" w:hAnsi="Times New Roman"/>
          <w:b w:val="false"/>
          <w:i w:val="false"/>
          <w:color w:val="000000"/>
          <w:sz w:val="21"/>
        </w:rPr>
        <w:t>[Filed without Notice 9/27/01—published 10/17/01, effective 11/21/01]</w:t>
      </w:r>
    </w:p>
    <w:p>
      <w:pPr>
        <w:spacing w:before="0" w:after="0"/>
        <w:ind w:left="120"/>
        <w:jc w:val="center"/>
      </w:pPr>
      <w:r>
        <w:rPr>
          <w:rFonts w:ascii="Times New Roman" w:hAnsi="Times New Roman"/>
          <w:b w:val="false"/>
          <w:i w:val="false"/>
          <w:color w:val="000000"/>
          <w:sz w:val="21"/>
        </w:rPr>
        <w:t>[Filed 3/27/02, Notice 11/14/01—published 4/17/02, effective 5/22/02]</w:t>
      </w:r>
    </w:p>
    <w:p>
      <w:pPr>
        <w:spacing w:before="0" w:after="0"/>
        <w:ind w:left="120"/>
        <w:jc w:val="center"/>
      </w:pPr>
      <w:r>
        <w:rPr>
          <w:rFonts w:ascii="Times New Roman" w:hAnsi="Times New Roman"/>
          <w:b w:val="false"/>
          <w:i w:val="false"/>
          <w:color w:val="000000"/>
          <w:sz w:val="21"/>
        </w:rPr>
        <w:t>[Filed 6/18/02, Notice 2/6/02—published 7/10/02, effective 8/14/02]</w:t>
      </w:r>
    </w:p>
    <w:p>
      <w:pPr>
        <w:spacing w:before="0" w:after="0"/>
        <w:ind w:left="120"/>
        <w:jc w:val="center"/>
      </w:pPr>
      <w:r>
        <w:rPr>
          <w:rFonts w:ascii="Times New Roman" w:hAnsi="Times New Roman"/>
          <w:b w:val="false"/>
          <w:i w:val="false"/>
          <w:color w:val="000000"/>
          <w:sz w:val="21"/>
        </w:rPr>
        <w:t>[Filed 9/25/02, Notice 7/10/02—published 10/16/02, effective 11/20/02]</w:t>
      </w:r>
    </w:p>
    <w:p>
      <w:pPr>
        <w:spacing w:before="0" w:after="0"/>
        <w:ind w:left="120"/>
        <w:jc w:val="center"/>
      </w:pPr>
      <w:r>
        <w:rPr>
          <w:rFonts w:ascii="Times New Roman" w:hAnsi="Times New Roman"/>
          <w:b w:val="false"/>
          <w:i w:val="false"/>
          <w:color w:val="000000"/>
          <w:sz w:val="21"/>
        </w:rPr>
        <w:t>[Filed without Notice 9/25/02—published 10/16/02, effective 11/20/02]</w:t>
      </w:r>
    </w:p>
    <w:p>
      <w:pPr>
        <w:spacing w:before="0" w:after="0"/>
        <w:ind w:left="120"/>
        <w:jc w:val="center"/>
      </w:pPr>
      <w:r>
        <w:rPr>
          <w:rFonts w:ascii="Times New Roman" w:hAnsi="Times New Roman"/>
          <w:b w:val="false"/>
          <w:i w:val="false"/>
          <w:color w:val="000000"/>
          <w:sz w:val="21"/>
        </w:rPr>
        <w:t>[Filed without Notice 9/25/03—published 10/15/03, effective 11/19/03]</w:t>
      </w:r>
    </w:p>
    <w:p>
      <w:pPr>
        <w:spacing w:before="0" w:after="0"/>
        <w:ind w:left="120"/>
        <w:jc w:val="center"/>
      </w:pPr>
      <w:r>
        <w:rPr>
          <w:rFonts w:ascii="Times New Roman" w:hAnsi="Times New Roman"/>
          <w:b w:val="false"/>
          <w:i w:val="false"/>
          <w:color w:val="000000"/>
          <w:sz w:val="21"/>
        </w:rPr>
        <w:t>[Filed without Notice 11/17/04—published 12/8/04, effective 1/12/05]</w:t>
      </w:r>
    </w:p>
    <w:p>
      <w:pPr>
        <w:spacing w:before="0" w:after="0"/>
        <w:ind w:left="120"/>
        <w:jc w:val="center"/>
      </w:pPr>
      <w:r>
        <w:rPr>
          <w:rFonts w:ascii="Times New Roman" w:hAnsi="Times New Roman"/>
          <w:b w:val="false"/>
          <w:i w:val="false"/>
          <w:color w:val="000000"/>
          <w:sz w:val="21"/>
        </w:rPr>
        <w:t>[Filed without Notice 10/21/05—published 11/9/05, effective 12/14/05]</w:t>
      </w:r>
    </w:p>
    <w:p>
      <w:pPr>
        <w:spacing w:before="0" w:after="0"/>
        <w:ind w:left="120"/>
        <w:jc w:val="center"/>
      </w:pPr>
      <w:r>
        <w:rPr>
          <w:rFonts w:ascii="Times New Roman" w:hAnsi="Times New Roman"/>
          <w:b w:val="false"/>
          <w:i w:val="false"/>
          <w:color w:val="000000"/>
          <w:sz w:val="21"/>
        </w:rPr>
        <w:t>[Filed without Notice 9/21/06—published 10/11/06, effective 11/15/06]</w:t>
      </w:r>
    </w:p>
    <w:p>
      <w:pPr>
        <w:spacing w:before="0" w:after="0"/>
        <w:ind w:left="120"/>
        <w:jc w:val="center"/>
      </w:pPr>
      <w:r>
        <w:rPr>
          <w:rFonts w:ascii="Times New Roman" w:hAnsi="Times New Roman"/>
          <w:b w:val="false"/>
          <w:i w:val="false"/>
          <w:color w:val="000000"/>
          <w:sz w:val="21"/>
        </w:rPr>
        <w:t>[Filed without Notice 11/14/07—published 12/5/07, effective 1/9/08]</w:t>
      </w:r>
    </w:p>
    <w:p>
      <w:pPr>
        <w:spacing w:before="0" w:after="0"/>
        <w:ind w:left="120"/>
        <w:jc w:val="center"/>
      </w:pPr>
      <w:r>
        <w:rPr>
          <w:rFonts w:ascii="Times New Roman" w:hAnsi="Times New Roman"/>
          <w:b w:val="false"/>
          <w:i w:val="false"/>
          <w:color w:val="000000"/>
          <w:sz w:val="21"/>
        </w:rPr>
        <w:t>[Filed ARC 7625B</w:t>
      </w:r>
      <w:r>
        <w:rPr>
          <w:rFonts w:ascii="Times New Roman" w:hAnsi="Times New Roman"/>
          <w:b w:val="false"/>
          <w:i w:val="false"/>
          <w:color w:val="000000"/>
          <w:sz w:val="21"/>
        </w:rPr>
        <w:t xml:space="preserve"> (Notice ARC 7152B, IAB 9/10/08)</w:t>
      </w:r>
      <w:r>
        <w:rPr>
          <w:rFonts w:ascii="Times New Roman" w:hAnsi="Times New Roman"/>
          <w:b w:val="false"/>
          <w:i w:val="false"/>
          <w:color w:val="000000"/>
          <w:sz w:val="21"/>
        </w:rPr>
        <w:t>, IAB 3/11/09, effective 4/15/09]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4/22/09]</w:t>
      </w:r>
    </w:p>
    <w:p>
      <w:pPr>
        <w:spacing w:before="0" w:after="0"/>
        <w:ind w:left="120"/>
        <w:jc w:val="center"/>
      </w:pPr>
      <w:r>
        <w:rPr>
          <w:rFonts w:ascii="Times New Roman" w:hAnsi="Times New Roman"/>
          <w:b w:val="false"/>
          <w:i w:val="false"/>
          <w:color w:val="000000"/>
          <w:sz w:val="21"/>
        </w:rPr>
        <w:t>[Editorial change: IAC Supplement 5/20/09]</w:t>
      </w:r>
    </w:p>
    <w:p>
      <w:pPr>
        <w:spacing w:before="0" w:after="0"/>
        <w:ind w:left="120"/>
        <w:jc w:val="center"/>
      </w:pPr>
      <w:r>
        <w:rPr>
          <w:rFonts w:ascii="Times New Roman" w:hAnsi="Times New Roman"/>
          <w:b w:val="false"/>
          <w:i w:val="false"/>
          <w:color w:val="000000"/>
          <w:sz w:val="21"/>
        </w:rPr>
        <w:t>[Filed ARC 9365B</w:t>
      </w:r>
      <w:r>
        <w:rPr>
          <w:rFonts w:ascii="Times New Roman" w:hAnsi="Times New Roman"/>
          <w:b w:val="false"/>
          <w:i w:val="false"/>
          <w:color w:val="000000"/>
          <w:sz w:val="21"/>
        </w:rPr>
        <w:t xml:space="preserve"> (Notice ARC 9056B, IAB 9/8/10)</w:t>
      </w:r>
      <w:r>
        <w:rPr>
          <w:rFonts w:ascii="Times New Roman" w:hAnsi="Times New Roman"/>
          <w:b w:val="false"/>
          <w:i w:val="false"/>
          <w:color w:val="000000"/>
          <w:sz w:val="21"/>
        </w:rPr>
        <w:t>, IAB 2/9/11, effective 3/30/11]</w:t>
      </w:r>
    </w:p>
    <w:p>
      <w:pPr>
        <w:spacing w:before="0" w:after="0"/>
        <w:ind w:left="120"/>
        <w:jc w:val="center"/>
      </w:pPr>
      <w:r>
        <w:rPr>
          <w:rFonts w:ascii="Times New Roman" w:hAnsi="Times New Roman"/>
          <w:b w:val="false"/>
          <w:i w:val="false"/>
          <w:color w:val="000000"/>
          <w:sz w:val="21"/>
        </w:rPr>
        <w:t>[Filed ARC 2482C</w:t>
      </w:r>
      <w:r>
        <w:rPr>
          <w:rFonts w:ascii="Times New Roman" w:hAnsi="Times New Roman"/>
          <w:b w:val="false"/>
          <w:i w:val="false"/>
          <w:color w:val="000000"/>
          <w:sz w:val="21"/>
        </w:rPr>
        <w:t xml:space="preserve"> (Notice ARC 2353C, IAB 1/6/16)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5679C</w:t>
      </w:r>
      <w:r>
        <w:rPr>
          <w:rFonts w:ascii="Times New Roman" w:hAnsi="Times New Roman"/>
          <w:b w:val="false"/>
          <w:i w:val="false"/>
          <w:color w:val="000000"/>
          <w:sz w:val="21"/>
        </w:rPr>
        <w:t xml:space="preserve"> (Amended Notice ARC 5508C, IAB 3/10/21; </w:t>
      </w:r>
      <w:r>
        <w:rPr>
          <w:rFonts w:ascii="Times New Roman" w:hAnsi="Times New Roman"/>
          <w:b w:val="false"/>
          <w:i w:val="false"/>
          <w:color w:val="000000"/>
          <w:sz w:val="21"/>
        </w:rPr>
        <w:t>Notice ARC 5134C, IAB 8/12/20)</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6191C</w:t>
      </w:r>
      <w:r>
        <w:rPr>
          <w:rFonts w:ascii="Times New Roman" w:hAnsi="Times New Roman"/>
          <w:b w:val="false"/>
          <w:i w:val="false"/>
          <w:color w:val="000000"/>
          <w:sz w:val="21"/>
        </w:rPr>
        <w:t xml:space="preserve"> (Notice ARC 6041C,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6734C</w:t>
      </w:r>
      <w:r>
        <w:rPr>
          <w:rFonts w:ascii="Times New Roman" w:hAnsi="Times New Roman"/>
          <w:b w:val="false"/>
          <w:i w:val="false"/>
          <w:color w:val="000000"/>
          <w:sz w:val="21"/>
        </w:rPr>
        <w:t xml:space="preserve"> (Notice ARC 6501C, IAB 9/7/22)</w:t>
      </w:r>
      <w:r>
        <w:rPr>
          <w:rFonts w:ascii="Times New Roman" w:hAnsi="Times New Roman"/>
          <w:b w:val="false"/>
          <w:i w:val="false"/>
          <w:color w:val="000000"/>
          <w:sz w:val="21"/>
        </w:rPr>
        <w:t>, IAB 12/14/22, effective 3/1/23]</w:t>
      </w:r>
    </w:p>
    <w:p>
      <w:pPr>
        <w:pBdr>
          <w:bottom w:space="2"/>
        </w:pBdr>
        <w:spacing w:before="0" w:after="0"/>
        <w:ind w:left="120"/>
        <w:jc w:val="both"/>
      </w:pPr>
      <w:r>
        <w:rPr>
          <w:rFonts w:ascii="Times New Roman" w:hAnsi="Times New Roman"/>
          <w:b w:val="false"/>
          <w:i w:val="false"/>
          <w:color w:val="000000"/>
          <w:sz w:val="22"/>
        </w:rPr>
        <w:t>April 15, 2009, effective date of Item 2 of ARC 7625B delayed 70 days by the Administrative Rules Review Committee at its meeting held April 8, 2009; at its meeting held April 28, 2009, the Committee voted to lift the delay, effective April 29, 2009.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61.pdf" Type="http://schemas.openxmlformats.org/officeDocument/2006/relationships/hyperlink" Id="rId5"/>
    <Relationship TargetMode="External" Target="https://www.legis.iowa.gov/docs/iac/chapter/567.62.pdf" Type="http://schemas.openxmlformats.org/officeDocument/2006/relationships/hyperlink" Id="rId6"/>
    <Relationship TargetMode="External" Target="https://www.legis.iowa.gov/docs/iac/chapter/567.63.pdf" Type="http://schemas.openxmlformats.org/officeDocument/2006/relationships/hyperlink" Id="rId7"/>
    <Relationship TargetMode="External" Target="https://www.legis.iowa.gov/docs/iac/chapter/567.64.pdf" Type="http://schemas.openxmlformats.org/officeDocument/2006/relationships/hyperlink" Id="rId8"/>
    <Relationship TargetMode="External" Target="https://www.legis.iowa.gov/docs/iac/chapter/567.65.pdf" Type="http://schemas.openxmlformats.org/officeDocument/2006/relationships/hyperlink" Id="rId9"/>
    <Relationship TargetMode="External" Target="https://www.legis.iowa.gov/docs/iac/chapter/567.66.pdf" Type="http://schemas.openxmlformats.org/officeDocument/2006/relationships/hyperlink" Id="rId10"/>
    <Relationship TargetMode="External" Target="https://www.legis.iowa.gov/docs/iac/chapter/567.67.pdf" Type="http://schemas.openxmlformats.org/officeDocument/2006/relationships/hyperlink" Id="rId11"/>
    <Relationship TargetMode="External" Target="https://www.legis.iowa.gov/docs/iac/chapter/567.68.pdf" Type="http://schemas.openxmlformats.org/officeDocument/2006/relationships/hyperlink" Id="rId12"/>
    <Relationship TargetMode="External" Target="https://www.legis.iowa.gov/docs/iac/chapter/567.69.pdf" Type="http://schemas.openxmlformats.org/officeDocument/2006/relationships/hyperlink" Id="rId13"/>
    <Relationship TargetMode="External" Target="https://www.legis.iowa.gov/docs/ico/chapter/206.2.pdf" Type="http://schemas.openxmlformats.org/officeDocument/2006/relationships/hyperlink" Id="rId14"/>
    <Relationship TargetMode="External" Target="https://www.legis.iowa.gov/docs/iac/chapter/567.60.pdf" Type="http://schemas.openxmlformats.org/officeDocument/2006/relationships/hyperlink" Id="rId15"/>
    <Relationship TargetMode="External" Target="https://www.legis.iowa.gov/docs/iac/rule/567.61.2.pdf" Type="http://schemas.openxmlformats.org/officeDocument/2006/relationships/hyperlink" Id="rId16"/>
    <Relationship TargetMode="External" Target="https://www.legis.iowa.gov/docs/iac/rule/567.62.3.pdf" Type="http://schemas.openxmlformats.org/officeDocument/2006/relationships/hyperlink" Id="rId17"/>
    <Relationship TargetMode="External" Target="https://www.legis.iowa.gov/docs/iac/rule/567.62.3.pdf" Type="http://schemas.openxmlformats.org/officeDocument/2006/relationships/hyperlink" Id="rId18"/>
    <Relationship TargetMode="External" Target="https://www.legis.iowa.gov/docs/ico/chapter/388.pdf" Type="http://schemas.openxmlformats.org/officeDocument/2006/relationships/hyperlink" Id="rId19"/>
    <Relationship TargetMode="External" Target="https://www.legis.iowa.gov/docs/ico/chapter/358.pdf" Type="http://schemas.openxmlformats.org/officeDocument/2006/relationships/hyperlink" Id="rId20"/>
    <Relationship TargetMode="External" Target="https://www.legis.iowa.gov/docs/iac/chapter/567.61.pdf" Type="http://schemas.openxmlformats.org/officeDocument/2006/relationships/hyperlink" Id="rId21"/>
    <Relationship TargetMode="External" Target="https://www.legis.iowa.gov/docs/iac/rule/567.61.3.pdf" Type="http://schemas.openxmlformats.org/officeDocument/2006/relationships/hyperlink" Id="rId22"/>
    <Relationship TargetMode="External" Target="https://www.legis.iowa.gov/docs/ico/chapter/206.2.pdf" Type="http://schemas.openxmlformats.org/officeDocument/2006/relationships/hyperlink" Id="rId23"/>
    <Relationship TargetMode="External" Target="https://www.legis.iowa.gov/docs/iac/rule/567.68.11.pdf" Type="http://schemas.openxmlformats.org/officeDocument/2006/relationships/hyperlink" Id="rId24"/>
    <Relationship TargetMode="External" Target="https://www.legis.iowa.gov/docs/iac/rule/567.62.3.pdf" Type="http://schemas.openxmlformats.org/officeDocument/2006/relationships/hyperlink" Id="rId25"/>
    <Relationship TargetMode="External" Target="https://www.legis.iowa.gov/docs/iac/rule/567.62.3.pdf" Type="http://schemas.openxmlformats.org/officeDocument/2006/relationships/hyperlink" Id="rId26"/>
    <Relationship TargetMode="External" Target="https://www.legis.iowa.gov/docs/iac/rule/567.63.4.pdf" Type="http://schemas.openxmlformats.org/officeDocument/2006/relationships/hyperlink" Id="rId27"/>
    <Relationship TargetMode="External" Target="https://www.legis.iowa.gov/docs/iac/rule/567.61.3.pdf" Type="http://schemas.openxmlformats.org/officeDocument/2006/relationships/hyperlink" Id="rId28"/>
    <Relationship TargetMode="External" Target="https://www.legis.iowa.gov/docs/iac/chapter/567.61.pdf" Type="http://schemas.openxmlformats.org/officeDocument/2006/relationships/hyperlink" Id="rId29"/>
    <Relationship TargetMode="External" Target="https://www.legis.iowa.gov/docs/iac/chapter/567.65.pdf" Type="http://schemas.openxmlformats.org/officeDocument/2006/relationships/hyperlink" Id="rId30"/>
    <Relationship TargetMode="External" Target="https://www.legis.iowa.gov/docs/iac/rule/567.64.2.pdf" Type="http://schemas.openxmlformats.org/officeDocument/2006/relationships/hyperlink" Id="rId31"/>
    <Relationship TargetMode="External" Target="https://www.legis.iowa.gov/docs/iac/rule/567.64.2.pdf" Type="http://schemas.openxmlformats.org/officeDocument/2006/relationships/hyperlink" Id="rId32"/>
    <Relationship TargetMode="External" Target="https://www.legis.iowa.gov/docs/iac/rule/567.64.16.pdf" Type="http://schemas.openxmlformats.org/officeDocument/2006/relationships/hyperlink" Id="rId33"/>
    <Relationship TargetMode="External" Target="https://www.legis.iowa.gov/docs/iac/chapter/567.64.pdf" Type="http://schemas.openxmlformats.org/officeDocument/2006/relationships/hyperlink" Id="rId34"/>
    <Relationship TargetMode="External" Target="https://www.legis.iowa.gov/docs/iac/chapter/567.65.pdf" Type="http://schemas.openxmlformats.org/officeDocument/2006/relationships/hyperlink" Id="rId35"/>
    <Relationship TargetMode="External" Target="https://www.legis.iowa.gov/docs/iac/chapter/567.69.pdf" Type="http://schemas.openxmlformats.org/officeDocument/2006/relationships/hyperlink" Id="rId36"/>
    <Relationship TargetMode="External" Target="https://www.legis.iowa.gov/docs/iac/rule/567.60.3.pdf" Type="http://schemas.openxmlformats.org/officeDocument/2006/relationships/hyperlink" Id="rId37"/>
    <Relationship TargetMode="External" Target="https://www.legis.iowa.gov/docs/iac/rule/567.64.3.pdf" Type="http://schemas.openxmlformats.org/officeDocument/2006/relationships/hyperlink" Id="rId38"/>
    <Relationship TargetMode="External" Target="https://www.legis.iowa.gov/docs/iac/rule/567.64.8.pdf" Type="http://schemas.openxmlformats.org/officeDocument/2006/relationships/hyperlink" Id="rId39"/>
    <Relationship TargetMode="External" Target="https://www.legis.iowa.gov/docs/iac/rule/567.64.3.pdf" Type="http://schemas.openxmlformats.org/officeDocument/2006/relationships/hyperlink" Id="rId40"/>
    <Relationship TargetMode="External" Target="https://www.legis.iowa.gov/docs/iac/rule/567.64.16.pdf" Type="http://schemas.openxmlformats.org/officeDocument/2006/relationships/hyperlink" Id="rId41"/>
    <Relationship TargetMode="External" Target="https://www.legis.iowa.gov/docs/ico/chapter/17A.3.pdf" Type="http://schemas.openxmlformats.org/officeDocument/2006/relationships/hyperlink" Id="rId42"/>
    <Relationship TargetMode="External" Target="https://www.legis.iowa.gov/docs/ico/chapter/455B.pdf" Type="http://schemas.openxmlformats.org/officeDocument/2006/relationships/hyperlink"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