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7.png"/>
  <Override ContentType="image/png" PartName="/word/media/document_image_rId3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PROTECTED WATER SOURCES — PURPOSES — DESIGNATION PROCEDURES —</w:t>
      </w:r>
      <w:r>
        <w:br/>
      </w:r>
      <w:r>
        <w:rPr>
          <w:rFonts w:ascii="Times New Roman" w:hAnsi="Times New Roman"/>
          <w:b w:val="false"/>
          <w:i w:val="false"/>
          <w:color w:val="000000"/>
          <w:sz w:val="21"/>
        </w:rPr>
        <w:t>INFORMATION IN WITHDRAWAL APPLICATIONS — LIMITATIONS —</w:t>
      </w:r>
      <w:r>
        <w:br/>
      </w:r>
      <w:r>
        <w:rPr>
          <w:rFonts w:ascii="Times New Roman" w:hAnsi="Times New Roman"/>
          <w:b w:val="false"/>
          <w:i w:val="false"/>
          <w:color w:val="000000"/>
          <w:sz w:val="21"/>
        </w:rPr>
        <w:t>LIST OF PROTECTED SOURCES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567—53.1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describes the purpose and procedures for designating specific surface water and groundwater sources as protected sources. This includes the special information that may be required of applicants for permits to withdraw water from such sources and conditions that may be applied to approved permits. Those protected sources so designated by rule are also listed.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455B.264 through 455B.274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567—53.2</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of protected sources. </w:t>
      </w:r>
      <w:r>
        <w:rPr>
          <w:rFonts w:ascii="Times New Roman" w:hAnsi="Times New Roman"/>
          <w:b w:val="false"/>
          <w:i w:val="false"/>
          <w:color w:val="000000"/>
          <w:sz w:val="22"/>
        </w:rPr>
        <w:t>The department, after consultation with the Iowa geological survey (IGS) and other authorities, may designate a surface water or groundwater source within a defined geographical area as a protected source.</w:t>
      </w:r>
    </w:p>
    <w:p>
      <w:pPr>
        <w:spacing w:before="0" w:after="0"/>
        <w:ind w:left="120"/>
        <w:jc w:val="both"/>
      </w:pPr>
      <w:r>
        <w:rPr>
          <w:rFonts w:ascii="Times New Roman" w:hAnsi="Times New Roman"/>
          <w:b w:val="false"/>
          <w:i w:val="false"/>
          <w:color w:val="000000"/>
          <w:sz w:val="22"/>
        </w:rPr>
        <w:t xml:space="preserve">Notwithstanding rules </w:t>
      </w:r>
      <w:hyperlink r:id="rId8">
        <w:r>
          <w:rPr>
            <w:rStyle w:val="Hyperlink"/>
            <w:rFonts w:ascii="Times New Roman" w:hAnsi="Times New Roman"/>
            <w:b w:val="false"/>
            <w:i w:val="false"/>
            <w:color w:val="000000"/>
            <w:sz w:val="22"/>
          </w:rPr>
          <w:t>567—53.3</w:t>
        </w:r>
      </w:hyperlink>
      <w:r>
        <w:rPr>
          <w:rFonts w:ascii="Times New Roman" w:hAnsi="Times New Roman"/>
          <w:b w:val="false"/>
          <w:i w:val="false"/>
          <w:color w:val="000000"/>
          <w:sz w:val="22"/>
        </w:rPr>
        <w:t xml:space="preserve">(455B) to </w:t>
      </w:r>
      <w:hyperlink r:id="rId9">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(455B), the department may impose permit conditions on a case-by-case basis as it determines necessary to protect water resources of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455B.264 through 455B.274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567—53.3</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Purposes of designating a protected source. </w:t>
      </w:r>
      <w:r>
        <w:rPr>
          <w:rFonts w:ascii="Times New Roman" w:hAnsi="Times New Roman"/>
          <w:b w:val="false"/>
          <w:i w:val="false"/>
          <w:color w:val="000000"/>
          <w:sz w:val="22"/>
        </w:rPr>
        <w:t>The general purpose of designating a specific water source as a protected source is to ensure long-term availability in terms of quantity and quality to preserve public health and welfare. Specific purposes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val="false"/>
          <w:color w:val="000000"/>
          <w:sz w:val="22"/>
        </w:rPr>
        <w:t>To preserve the availability of the protected source for sustained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val="false"/>
          <w:color w:val="000000"/>
          <w:sz w:val="22"/>
        </w:rPr>
        <w:t>To prevent or minimize the movement of groundwater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53.3(3)</w:t>
      </w:r>
      <w:r>
        <w:rPr>
          <w:rFonts w:ascii="Times New Roman" w:hAnsi="Times New Roman"/>
          <w:b w:val="false"/>
          <w:i w:val="false"/>
          <w:color w:val="000000"/>
          <w:sz w:val="22"/>
        </w:rPr>
        <w:t> </w:t>
      </w:r>
      <w:r>
        <w:rPr>
          <w:rFonts w:ascii="Times New Roman" w:hAnsi="Times New Roman"/>
          <w:b w:val="false"/>
          <w:i w:val="false"/>
          <w:color w:val="000000"/>
          <w:sz w:val="22"/>
        </w:rPr>
        <w:t>To maintain the surface water quality within a specific stream segment in order to meet state or federal standards, to preserve protected flows, or to maintain its availability for other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53.3(4)</w:t>
      </w:r>
      <w:r>
        <w:rPr>
          <w:rFonts w:ascii="Times New Roman" w:hAnsi="Times New Roman"/>
          <w:b w:val="false"/>
          <w:i w:val="false"/>
          <w:color w:val="000000"/>
          <w:sz w:val="22"/>
        </w:rPr>
        <w:t> </w:t>
      </w:r>
      <w:r>
        <w:rPr>
          <w:rFonts w:ascii="Times New Roman" w:hAnsi="Times New Roman"/>
          <w:b w:val="false"/>
          <w:i w:val="false"/>
          <w:color w:val="000000"/>
          <w:sz w:val="22"/>
        </w:rPr>
        <w:t>To preserve the protected flows in a stream which is hydraulically connected to a protected aquifier.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567—53.4</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procedure. </w:t>
      </w:r>
      <w:r>
        <w:rPr>
          <w:rFonts w:ascii="Times New Roman" w:hAnsi="Times New Roman"/>
          <w:b w:val="false"/>
          <w:i w:val="false"/>
          <w:color w:val="000000"/>
          <w:sz w:val="22"/>
        </w:rPr>
        <w:t xml:space="preserve">The procedure for designation of a protected source shall be a rule-making proceeding to amend the list of protected sources in rule </w:t>
      </w:r>
      <w:hyperlink r:id="rId14">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 xml:space="preserve">(455B). In addition to the requirements of rule </w:t>
      </w:r>
      <w:hyperlink r:id="rId15">
        <w:r>
          <w:rPr>
            <w:rStyle w:val="Hyperlink"/>
            <w:rFonts w:ascii="Times New Roman" w:hAnsi="Times New Roman"/>
            <w:b w:val="false"/>
            <w:i w:val="false"/>
            <w:color w:val="000000"/>
            <w:sz w:val="22"/>
          </w:rPr>
          <w:t>561—5.1</w:t>
        </w:r>
      </w:hyperlink>
      <w:r>
        <w:rPr>
          <w:rFonts w:ascii="Times New Roman" w:hAnsi="Times New Roman"/>
          <w:b w:val="false"/>
          <w:i w:val="false"/>
          <w:color w:val="000000"/>
          <w:sz w:val="22"/>
        </w:rPr>
        <w:t xml:space="preserve">(17A), as adopted by reference in </w:t>
      </w:r>
      <w:hyperlink r:id="rId16">
        <w:r>
          <w:rPr>
            <w:rStyle w:val="Hyperlink"/>
            <w:rFonts w:ascii="Times New Roman" w:hAnsi="Times New Roman"/>
            <w:b w:val="false"/>
            <w:i w:val="false"/>
            <w:color w:val="000000"/>
            <w:sz w:val="22"/>
          </w:rPr>
          <w:t>567—Chapter 5</w:t>
        </w:r>
      </w:hyperlink>
      <w:r>
        <w:rPr>
          <w:rFonts w:ascii="Times New Roman" w:hAnsi="Times New Roman"/>
          <w:b w:val="false"/>
          <w:i w:val="false"/>
          <w:color w:val="000000"/>
          <w:sz w:val="22"/>
        </w:rPr>
        <w:t>, an interested person who petitions the department to designate a protected water source may also be required to provide further supporting information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val="false"/>
          <w:color w:val="000000"/>
          <w:sz w:val="22"/>
        </w:rPr>
        <w:t xml:space="preserve">Facts and arguments demonstrating that existing rules and the opportunity for public participation in the application review and decision-making procedures of rules </w:t>
      </w:r>
      <w:hyperlink r:id="rId17">
        <w:r>
          <w:rPr>
            <w:rStyle w:val="Hyperlink"/>
            <w:rFonts w:ascii="Times New Roman" w:hAnsi="Times New Roman"/>
            <w:b w:val="false"/>
            <w:i w:val="false"/>
            <w:color w:val="000000"/>
            <w:sz w:val="22"/>
          </w:rPr>
          <w:t>567—50.7</w:t>
        </w:r>
      </w:hyperlink>
      <w:r>
        <w:rPr>
          <w:rFonts w:ascii="Times New Roman" w:hAnsi="Times New Roman"/>
          <w:b w:val="false"/>
          <w:i w:val="false"/>
          <w:color w:val="000000"/>
          <w:sz w:val="22"/>
        </w:rPr>
        <w:t xml:space="preserve">(17A,455B) to </w:t>
      </w:r>
      <w:hyperlink r:id="rId18">
        <w:r>
          <w:rPr>
            <w:rStyle w:val="Hyperlink"/>
            <w:rFonts w:ascii="Times New Roman" w:hAnsi="Times New Roman"/>
            <w:b w:val="false"/>
            <w:i w:val="false"/>
            <w:color w:val="000000"/>
            <w:sz w:val="22"/>
          </w:rPr>
          <w:t>567—50.9</w:t>
        </w:r>
      </w:hyperlink>
      <w:r>
        <w:rPr>
          <w:rFonts w:ascii="Times New Roman" w:hAnsi="Times New Roman"/>
          <w:b w:val="false"/>
          <w:i w:val="false"/>
          <w:color w:val="000000"/>
          <w:sz w:val="22"/>
        </w:rPr>
        <w:t>(17A,455B) are inadequate to ensure the long-term availability of the source and to preserve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val="false"/>
          <w:color w:val="000000"/>
          <w:sz w:val="22"/>
        </w:rPr>
        <w:t>Predictive geohydrological and chemical analyses of the groundwater source if the basis of the petition is to prevent or minimize the movement of known or suspected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53.4(3)</w:t>
      </w:r>
      <w:r>
        <w:rPr>
          <w:rFonts w:ascii="Times New Roman" w:hAnsi="Times New Roman"/>
          <w:b w:val="false"/>
          <w:i w:val="false"/>
          <w:color w:val="000000"/>
          <w:sz w:val="22"/>
        </w:rPr>
        <w:t> </w:t>
      </w:r>
      <w:r>
        <w:rPr>
          <w:rFonts w:ascii="Times New Roman" w:hAnsi="Times New Roman"/>
          <w:b w:val="false"/>
          <w:i w:val="false"/>
          <w:color w:val="000000"/>
          <w:sz w:val="22"/>
        </w:rPr>
        <w:t>Facts and arguments demonstrating the effect that additional withdrawals from a stream or stream segment proposed for designation would have on downstream discharges, surrounding alluvial systems, natural biological systems, and potential changes in the frequency at which the protected stream discharge levels are reached.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455B.264 through 455B.274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567—53.5</w:t>
      </w:r>
      <w:r>
        <w:rPr>
          <w:rFonts w:ascii="Times New Roman" w:hAnsi="Times New Roman"/>
          <w:b/>
          <w:i w:val="false"/>
          <w:color w:val="000000"/>
          <w:sz w:val="22"/>
        </w:rPr>
        <w:t xml:space="preserve">(455B) </w:t>
      </w:r>
      <w:r>
        <w:rPr>
          <w:rFonts w:ascii="Times New Roman" w:hAnsi="Times New Roman"/>
          <w:b/>
          <w:i w:val="false"/>
          <w:color w:val="000000"/>
          <w:sz w:val="22"/>
        </w:rPr>
        <w:t xml:space="preserve">Information requirements for applications to withdraw water from protected sources. </w:t>
      </w:r>
      <w:r>
        <w:rPr>
          <w:rFonts w:ascii="Times New Roman" w:hAnsi="Times New Roman"/>
          <w:b w:val="false"/>
          <w:i w:val="false"/>
          <w:color w:val="000000"/>
          <w:sz w:val="22"/>
        </w:rPr>
        <w:t xml:space="preserve">An applicant proposing to withdraw water from a protected source, as listed in rule </w:t>
      </w:r>
      <w:hyperlink r:id="rId22">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(455B), may be required to submit information necessary for the department to determine the effects resulting from such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protected groundwater sources. </w:t>
      </w:r>
      <w:r>
        <w:rPr>
          <w:rFonts w:ascii="Times New Roman" w:hAnsi="Times New Roman"/>
          <w:b w:val="false"/>
          <w:i w:val="false"/>
          <w:color w:val="000000"/>
          <w:sz w:val="22"/>
        </w:rPr>
        <w:t xml:space="preserve">Applicants for permits may be required to provide that information detailed in rule </w:t>
      </w:r>
      <w:hyperlink r:id="rId23">
        <w:r>
          <w:rPr>
            <w:rStyle w:val="Hyperlink"/>
            <w:rFonts w:ascii="Times New Roman" w:hAnsi="Times New Roman"/>
            <w:b w:val="false"/>
            <w:i w:val="false"/>
            <w:color w:val="000000"/>
            <w:sz w:val="22"/>
          </w:rPr>
          <w:t>567—50.7</w:t>
        </w:r>
      </w:hyperlink>
      <w:r>
        <w:rPr>
          <w:rFonts w:ascii="Times New Roman" w:hAnsi="Times New Roman"/>
          <w:b w:val="false"/>
          <w:i w:val="false"/>
          <w:color w:val="000000"/>
          <w:sz w:val="22"/>
        </w:rPr>
        <w:t>(17A,455B) and additional predictive geohydrological and chemical analyses of the groundwater source. Where there is potential for a known contaminant to migrate, predictive analyses may also be requested to show potential movement and effects of the withdrawal on the piezometric head. Monitoring may be required in a permit authorizing withdrawals from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protected surface water sources. </w:t>
      </w:r>
      <w:r>
        <w:rPr>
          <w:rFonts w:ascii="Times New Roman" w:hAnsi="Times New Roman"/>
          <w:b w:val="false"/>
          <w:i w:val="false"/>
          <w:color w:val="000000"/>
          <w:sz w:val="22"/>
        </w:rPr>
        <w:t xml:space="preserve">Applicants for permits may be required to demonstrate the effect of proposed withdrawals on downstream discharges, surrounding alluvial systems, natural biological systems, and potential changes in the frequency at which protected stream discharge levels are reached for any stream or stream reaches listed in rule </w:t>
      </w:r>
      <w:hyperlink r:id="rId24">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455B.264 through 455B.274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567—53.6</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in permits for withdrawals of water from a protected source. </w:t>
      </w:r>
      <w:r>
        <w:rPr>
          <w:rFonts w:ascii="Times New Roman" w:hAnsi="Times New Roman"/>
          <w:b w:val="false"/>
          <w:i w:val="false"/>
          <w:color w:val="000000"/>
          <w:sz w:val="22"/>
        </w:rPr>
        <w:t xml:space="preserve">The designation of a protected water source in rule </w:t>
      </w:r>
      <w:hyperlink r:id="rId28">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 xml:space="preserve">(455B) may include listing of special conditions on issuance of permits for withdrawals of water from the designated source. The designation may also include guidelines for imposition of special limitations on withdrawals authorized by permits which were in force on the effective date of the protected source designation. However, such guidelines may be enforced only in accordance with the procedures in rule </w:t>
      </w:r>
      <w:hyperlink r:id="rId29">
        <w:r>
          <w:rPr>
            <w:rStyle w:val="Hyperlink"/>
            <w:rFonts w:ascii="Times New Roman" w:hAnsi="Times New Roman"/>
            <w:b w:val="false"/>
            <w:i w:val="false"/>
            <w:color w:val="000000"/>
            <w:sz w:val="22"/>
          </w:rPr>
          <w:t>567—52.7</w:t>
        </w:r>
      </w:hyperlink>
      <w:r>
        <w:rPr>
          <w:rFonts w:ascii="Times New Roman" w:hAnsi="Times New Roman"/>
          <w:b w:val="false"/>
          <w:i w:val="false"/>
          <w:color w:val="000000"/>
          <w:sz w:val="22"/>
        </w:rPr>
        <w:t xml:space="preserve">(455B) for modification, cancellation and emergency suspension of permits, or after a permittee has had an opportunity to contest the imposition of proposed special limitations in permit renewal proceedings. When a group of permits is potentially affected by guidelines in rule </w:t>
      </w:r>
      <w:hyperlink r:id="rId30">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 xml:space="preserve">(455B), hearings under rule </w:t>
      </w:r>
      <w:hyperlink r:id="rId31">
        <w:r>
          <w:rPr>
            <w:rStyle w:val="Hyperlink"/>
            <w:rFonts w:ascii="Times New Roman" w:hAnsi="Times New Roman"/>
            <w:b w:val="false"/>
            <w:i w:val="false"/>
            <w:color w:val="000000"/>
            <w:sz w:val="22"/>
          </w:rPr>
          <w:t>567—52.7</w:t>
        </w:r>
      </w:hyperlink>
      <w:r>
        <w:rPr>
          <w:rFonts w:ascii="Times New Roman" w:hAnsi="Times New Roman"/>
          <w:b w:val="false"/>
          <w:i w:val="false"/>
          <w:color w:val="000000"/>
          <w:sz w:val="22"/>
        </w:rPr>
        <w:t>(455B) may be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streams or associated alluvium that are protected sources. </w:t>
      </w:r>
      <w:r>
        <w:rPr>
          <w:rFonts w:ascii="Times New Roman" w:hAnsi="Times New Roman"/>
          <w:b w:val="false"/>
          <w:i w:val="false"/>
          <w:color w:val="000000"/>
          <w:sz w:val="22"/>
        </w:rPr>
        <w:t xml:space="preserve">The department may apply special conditions on all permits for withdrawals from streams and associated alluvial systems that are protected water sources as listed in rule </w:t>
      </w:r>
      <w:hyperlink r:id="rId32">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 xml:space="preserve">(455B). Such conditions may include cessation of withdrawals at a stream discharge rate to be determined by the department which may be in excess of the level required by </w:t>
      </w:r>
      <w:hyperlink r:id="rId33">
        <w:r>
          <w:rPr>
            <w:rStyle w:val="Hyperlink"/>
            <w:rFonts w:ascii="Times New Roman" w:hAnsi="Times New Roman"/>
            <w:b w:val="false"/>
            <w:i w:val="false"/>
            <w:color w:val="000000"/>
            <w:sz w:val="22"/>
          </w:rPr>
          <w:t>567—subrule 52.8(3)</w:t>
        </w:r>
      </w:hyperlink>
      <w:r>
        <w:rPr>
          <w:rFonts w:ascii="Times New Roman" w:hAnsi="Times New Roman"/>
          <w:b w:val="false"/>
          <w:i w:val="false"/>
          <w:color w:val="000000"/>
          <w:sz w:val="22"/>
        </w:rPr>
        <w:t>. These restrictions may apply to both consumptive and nonconsumptive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groundwater sources that are protected sources. </w:t>
      </w:r>
      <w:r>
        <w:rPr>
          <w:rFonts w:ascii="Times New Roman" w:hAnsi="Times New Roman"/>
          <w:b w:val="false"/>
          <w:i w:val="false"/>
          <w:color w:val="000000"/>
          <w:sz w:val="22"/>
        </w:rPr>
        <w:t xml:space="preserve">The department may apply special conditions on all permits for withdrawals from groundwater systems that are protected water sources as listed in rule </w:t>
      </w:r>
      <w:hyperlink r:id="rId34">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(455B). Such conditions may include immediate cessation of withdrawals if declines in piezometric levels or movement of known contaminants in the source are detected. These restrictions may apply to both consumptive and nonconsumptive withdrawals.</w:t>
      </w:r>
    </w:p>
    <w:p>
      <w:pPr>
        <w:spacing w:before="0" w:after="0"/>
        <w:ind w:left="120"/>
        <w:jc w:val="both"/>
      </w:pPr>
      <w:r>
        <w:rPr>
          <w:rFonts w:ascii="Times New Roman" w:hAnsi="Times New Roman"/>
          <w:b/>
          <w:i w:val="false"/>
          <w:color w:val="000000"/>
          <w:sz w:val="22"/>
        </w:rPr>
        <w:t>567—53.7</w:t>
      </w:r>
      <w:r>
        <w:rPr>
          <w:rFonts w:ascii="Times New Roman" w:hAnsi="Times New Roman"/>
          <w:b/>
          <w:i w:val="false"/>
          <w:color w:val="000000"/>
          <w:sz w:val="22"/>
        </w:rPr>
        <w:t xml:space="preserve">(455B) </w:t>
      </w:r>
      <w:r>
        <w:rPr>
          <w:rFonts w:ascii="Times New Roman" w:hAnsi="Times New Roman"/>
          <w:b/>
          <w:i w:val="false"/>
          <w:color w:val="000000"/>
          <w:sz w:val="22"/>
        </w:rPr>
        <w:t xml:space="preserve">List of protected water sources. </w:t>
      </w:r>
      <w:r>
        <w:rPr>
          <w:rFonts w:ascii="Times New Roman" w:hAnsi="Times New Roman"/>
          <w:b w:val="false"/>
          <w:i w:val="false"/>
          <w:color w:val="000000"/>
          <w:sz w:val="22"/>
        </w:rPr>
        <w:t>The following list identifies water sources designated as protected sources under this chapter. Each listing includes the name of the surface water or groundwater source designated, the geographical areas affected, the specific purposes for designating the source, and special limitations imposed or recommended to achieve the purpose of the protected source designation. The listing may also include any special monitoring requirements and may specify a date by which the department must review the designation of the protected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53.7(1)</w:t>
      </w:r>
      <w:r>
        <w:rPr>
          <w:rFonts w:ascii="Times New Roman" w:hAnsi="Times New Roman"/>
          <w:b w:val="false"/>
          <w:i w:val="false"/>
          <w:color w:val="000000"/>
          <w:sz w:val="22"/>
        </w:rPr>
        <w:t> </w:t>
      </w:r>
      <w:r>
        <w:rPr>
          <w:rFonts w:ascii="Times New Roman" w:hAnsi="Times New Roman"/>
          <w:b w:val="false"/>
          <w:i/>
          <w:color w:val="000000"/>
          <w:sz w:val="22"/>
        </w:rPr>
        <w:t xml:space="preserve">Ralston Site, Linn County. </w:t>
      </w:r>
      <w:r>
        <w:rPr>
          <w:rFonts w:ascii="Times New Roman" w:hAnsi="Times New Roman"/>
          <w:b w:val="false"/>
          <w:i w:val="false"/>
          <w:color w:val="000000"/>
          <w:sz w:val="22"/>
        </w:rPr>
        <w:t xml:space="preserve">The area within a one-mile radius of a point which is 600 feet south of the midpoint of the northern edge of Section 2, Township 83 North, Range 7 West in Linn County is a protected water source. Any new application for a permit to withdraw groundwater or to increase an existing permitted withdrawal of groundwater from within the protected water source area will be restricted or denied, if necessary to preserve public health and welfare or to minimize movement of groundwater contaminants from the Ralston Site. The Ralston Site is identified in the Registry of Hazardous Waste or Hazardous Substance Disposal Sites pursuant to Iowa Code section </w:t>
      </w:r>
      <w:hyperlink r:id="rId35">
        <w:r>
          <w:rPr>
            <w:rStyle w:val="Hyperlink"/>
            <w:rFonts w:ascii="Times New Roman" w:hAnsi="Times New Roman"/>
            <w:b w:val="false"/>
            <w:i w:val="false"/>
            <w:color w:val="000000"/>
            <w:sz w:val="22"/>
          </w:rPr>
          <w:t>455B.426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Withdrawal of groundwater from within the protected water source area may also be restricted or denied from what would otherwise be nonregulated wells, if necessary to preserve public health and welfare or to minimize movement of groundwater contaminants from the Ralston Site. The Linn County health department will refer any application for a construction permit for a private well within the protected water source area to the department’s water supply section that will determine whether the proposed well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53.7(2)</w:t>
      </w:r>
      <w:r>
        <w:rPr>
          <w:rFonts w:ascii="Times New Roman" w:hAnsi="Times New Roman"/>
          <w:b w:val="false"/>
          <w:i w:val="false"/>
          <w:color w:val="000000"/>
          <w:sz w:val="22"/>
        </w:rPr>
        <w:t> </w:t>
      </w:r>
      <w:r>
        <w:rPr>
          <w:rFonts w:ascii="Times New Roman" w:hAnsi="Times New Roman"/>
          <w:b w:val="false"/>
          <w:i/>
          <w:color w:val="000000"/>
          <w:sz w:val="22"/>
        </w:rPr>
        <w:t xml:space="preserve">Cambrian-Ordovician (Jordan) aquifer in Johnson and Linn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Geographical area. </w:t>
      </w:r>
      <w:r>
        <w:rPr>
          <w:rFonts w:ascii="Times New Roman" w:hAnsi="Times New Roman"/>
          <w:b w:val="false"/>
          <w:i w:val="false"/>
          <w:color w:val="000000"/>
          <w:sz w:val="22"/>
        </w:rPr>
        <w:t xml:space="preserve">The protected water source area includes portions of Johnson and Linn Counties. The actual geographical boundaries of the area are defined in subparagraph </w:t>
      </w:r>
      <w:hyperlink r:id="rId36">
        <w:r>
          <w:rPr>
            <w:rStyle w:val="Hyperlink"/>
            <w:rFonts w:ascii="Times New Roman" w:hAnsi="Times New Roman"/>
            <w:b w:val="false"/>
            <w:i w:val="false"/>
            <w:color w:val="000000"/>
            <w:sz w:val="22"/>
          </w:rPr>
          <w:t>53.7(2)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or modified water use permits. Any new application for a permit to withdraw groundwater or to increase an existing permitted withdrawal of groundwater from the Cambrian-Ordovician (Jordan) aquifer within the protected water source area will be restricted or denied if necessary to preserve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of groundwater. Withdrawal of groundwater from within the protected water source area may also be restricted or denied from water supply wells constructed in the Cambrian-Ordovician (Jordan) aquifer, public or private, and the construction of all new water supply wells in the Cambrian-Ordovician (Jordan) aquifer shall be restricted or denied, if necessary, to preserve public health and welfare or to minimize adverse effects to the “available” head (i.e., the original pressure head above the top of the aquifer). The Johnson County and Linn County health departments are not authorized to issue a construction permit for a private well drilled into or through the Cambrian-Ordovician (Jordan) aquifer within the protected water source area without the approval of the department. The department’s water supply engineering section will determine whether the proposed well can be constructed and may require that the well meet public water well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Map of protected water source area. The department shall maintain a map of the protected water source area.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entire following described area within Johnson County and within Linn County is defined as a protected water source. </w:t>
      </w:r>
    </w:p>
    <w:p>
      <w:pPr>
        <w:spacing w:before="0" w:after="0"/>
        <w:ind w:left="120"/>
        <w:jc w:val="both"/>
      </w:pPr>
      <w:r>
        <w:rPr>
          <w:rFonts w:ascii="Times New Roman" w:hAnsi="Times New Roman"/>
          <w:b/>
          <w:i w:val="false"/>
          <w:color w:val="000000"/>
          <w:sz w:val="22"/>
        </w:rPr>
        <w:t>Johnson County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79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79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79 North, Range 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80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80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80 North, Range 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81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81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81 North, Range 8 West.</w:t>
      </w:r>
    </w:p>
    <w:p>
      <w:pPr>
        <w:spacing w:before="0" w:after="0"/>
        <w:ind w:left="120"/>
        <w:jc w:val="both"/>
      </w:pPr>
      <w:r>
        <w:rPr>
          <w:rFonts w:ascii="Times New Roman" w:hAnsi="Times New Roman"/>
          <w:b/>
          <w:i w:val="false"/>
          <w:color w:val="000000"/>
          <w:sz w:val="22"/>
        </w:rPr>
        <w:t>Linn County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82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82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82 North, Range 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83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83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83 North, Range 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84 North, Range 6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84 North, Range 7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84 North, Range 8 West.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Map of the described protected water source area in Linn and Johnson Counties.</w:t>
      </w:r>
    </w:p>
    <w:p>
      <w:pPr>
        <w:spacing w:before="0" w:after="0"/>
        <w:ind w:left="120"/>
        <w:jc w:val="both"/>
      </w:pPr>
      <w:r>
        <w:drawing>
          <wp:inline distT="0" distB="0" distL="0" distR="0">
            <wp:extent cx="5486400" cy="548604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7"/>
                    <a:stretch>
                      <a:fillRect/>
                    </a:stretch>
                  </pic:blipFill>
                  <pic:spPr>
                    <a:xfrm>
                      <a:off x="0" y="0"/>
                      <a:ext cx="5486400" cy="54860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53.7(3)</w:t>
      </w:r>
      <w:r>
        <w:rPr>
          <w:rFonts w:ascii="Times New Roman" w:hAnsi="Times New Roman"/>
          <w:b w:val="false"/>
          <w:i w:val="false"/>
          <w:color w:val="000000"/>
          <w:sz w:val="22"/>
        </w:rPr>
        <w:t> </w:t>
      </w:r>
      <w:r>
        <w:rPr>
          <w:rFonts w:ascii="Times New Roman" w:hAnsi="Times New Roman"/>
          <w:b w:val="false"/>
          <w:i/>
          <w:color w:val="000000"/>
          <w:sz w:val="22"/>
        </w:rPr>
        <w:t xml:space="preserve">Cambrian-Ordovician (Jordan) aquifer in Webster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Geographical area. </w:t>
      </w:r>
      <w:r>
        <w:rPr>
          <w:rFonts w:ascii="Times New Roman" w:hAnsi="Times New Roman"/>
          <w:b w:val="false"/>
          <w:i w:val="false"/>
          <w:color w:val="000000"/>
          <w:sz w:val="22"/>
        </w:rPr>
        <w:t xml:space="preserve">The protected water source area includes portions of Webster County. The actual geographical boundaries of the area are defined in subparagraph </w:t>
      </w:r>
      <w:hyperlink r:id="rId38">
        <w:r>
          <w:rPr>
            <w:rStyle w:val="Hyperlink"/>
            <w:rFonts w:ascii="Times New Roman" w:hAnsi="Times New Roman"/>
            <w:b w:val="false"/>
            <w:i w:val="false"/>
            <w:color w:val="000000"/>
            <w:sz w:val="22"/>
          </w:rPr>
          <w:t>53.7(3)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or modified water use permits. Any new application for a permit to withdraw groundwater or to increase an existing permitted withdrawal of groundwater from the Cambrian-Ordovician (Jordan) aquifer within the protected water source area will be restricted or denied if necessary to preserve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of groundwater. Withdrawal of groundwater from within the protected water source area may also be restricted or denied from water supply wells constructed in the Cambrian-Ordovician (Jordan) aquifer, public or private, and the construction of all new water supply wells in the Cambrian-Ordovician (Jordan) aquifer shall be restricted or denied, if necessary, to preserve public health and welfare or to minimize adverse effects to the “available” head (i.e., the original pressure head above the top of the aquifer). The Webster County health department is not authorized to issue a construction permit for a private well drilled into or through the Cambrian-Ordovician (Jordan) aquifer within the protected water source area without the approval of the department. The department’s water supply engineering section will determine whether the proposed well can be constructed and may require that the well meet public water well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Map of protected water source. The department shall maintain a map of the protected water source area.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entire following described area within Webster County is defined as a protected water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88 North, Range 28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88 North, Range 29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89 North, Range 28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Township 89 North, Range 29 West.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Map of the described protected water source area in Webster County.</w:t>
      </w:r>
    </w:p>
    <w:p>
      <w:pPr>
        <w:spacing w:before="0" w:after="0"/>
        <w:ind w:left="120"/>
        <w:jc w:val="both"/>
      </w:pPr>
      <w:r>
        <w:drawing>
          <wp:inline distT="0" distB="0" distL="0" distR="0">
            <wp:extent cx="5486400" cy="5486242"/>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5486400" cy="5486242"/>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protected sources are designated they will be listed as part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455B.264 through 455B.274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2053C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11/1/85, Notice 7/31/85—published 11/20/85, effective 12/25/85]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[Filed ARC 2053C</w:t>
      </w:r>
      <w:r>
        <w:rPr>
          <w:rFonts w:ascii="Times New Roman" w:hAnsi="Times New Roman"/>
          <w:b w:val="false"/>
          <w:i w:val="false"/>
          <w:color w:val="000000"/>
          <w:sz w:val="21"/>
        </w:rPr>
        <w:t xml:space="preserve"> (Notice ARC 1914C,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2.pdf" Type="http://schemas.openxmlformats.org/officeDocument/2006/relationships/hyperlink" Id="rId5"/>
    <Relationship TargetMode="External" Target="https://www.legis.iowa.gov/docs/ico/chapter/455B.264-274.pdf" Type="http://schemas.openxmlformats.org/officeDocument/2006/relationships/hyperlink" Id="rId6"/>
    <Relationship TargetMode="External" Target="https://www.legis.iowa.gov/docs/ico/chapter/455B.278.pdf" Type="http://schemas.openxmlformats.org/officeDocument/2006/relationships/hyperlink" Id="rId7"/>
    <Relationship TargetMode="External" Target="https://www.legis.iowa.gov/docs/iac/rule/567.53.3.pdf" Type="http://schemas.openxmlformats.org/officeDocument/2006/relationships/hyperlink" Id="rId8"/>
    <Relationship TargetMode="External" Target="https://www.legis.iowa.gov/docs/iac/rule/567.53.7.pdf" Type="http://schemas.openxmlformats.org/officeDocument/2006/relationships/hyperlink" Id="rId9"/>
    <Relationship TargetMode="External" Target="https://www.legis.iowa.gov/docs/ico/chapter/455B.262.pdf" Type="http://schemas.openxmlformats.org/officeDocument/2006/relationships/hyperlink" Id="rId10"/>
    <Relationship TargetMode="External" Target="https://www.legis.iowa.gov/docs/ico/chapter/455B.264-274.pdf" Type="http://schemas.openxmlformats.org/officeDocument/2006/relationships/hyperlink" Id="rId11"/>
    <Relationship TargetMode="External" Target="https://www.legis.iowa.gov/docs/ico/chapter/455B.278.pdf" Type="http://schemas.openxmlformats.org/officeDocument/2006/relationships/hyperlink" Id="rId12"/>
    <Relationship TargetMode="External" Target="https://www.legis.iowa.gov/docs/ico/chapter/455B.262.pdf" Type="http://schemas.openxmlformats.org/officeDocument/2006/relationships/hyperlink" Id="rId13"/>
    <Relationship TargetMode="External" Target="https://www.legis.iowa.gov/docs/iac/rule/567.53.7.pdf" Type="http://schemas.openxmlformats.org/officeDocument/2006/relationships/hyperlink" Id="rId14"/>
    <Relationship TargetMode="External" Target="https://www.legis.iowa.gov/docs/iac/rule/561.5.1.pdf" Type="http://schemas.openxmlformats.org/officeDocument/2006/relationships/hyperlink" Id="rId15"/>
    <Relationship TargetMode="External" Target="https://www.legis.iowa.gov/docs/iac/chapter/567.5.pdf" Type="http://schemas.openxmlformats.org/officeDocument/2006/relationships/hyperlink" Id="rId16"/>
    <Relationship TargetMode="External" Target="https://www.legis.iowa.gov/docs/iac/rule/567.50.7.pdf" Type="http://schemas.openxmlformats.org/officeDocument/2006/relationships/hyperlink" Id="rId17"/>
    <Relationship TargetMode="External" Target="https://www.legis.iowa.gov/docs/iac/rule/567.50.9.pdf" Type="http://schemas.openxmlformats.org/officeDocument/2006/relationships/hyperlink" Id="rId18"/>
    <Relationship TargetMode="External" Target="https://www.legis.iowa.gov/docs/ico/chapter/455B.262.pdf" Type="http://schemas.openxmlformats.org/officeDocument/2006/relationships/hyperlink" Id="rId19"/>
    <Relationship TargetMode="External" Target="https://www.legis.iowa.gov/docs/ico/chapter/455B.264-274.pdf" Type="http://schemas.openxmlformats.org/officeDocument/2006/relationships/hyperlink" Id="rId20"/>
    <Relationship TargetMode="External" Target="https://www.legis.iowa.gov/docs/ico/chapter/455B.278.pdf" Type="http://schemas.openxmlformats.org/officeDocument/2006/relationships/hyperlink" Id="rId21"/>
    <Relationship TargetMode="External" Target="https://www.legis.iowa.gov/docs/iac/rule/567.53.7.pdf" Type="http://schemas.openxmlformats.org/officeDocument/2006/relationships/hyperlink" Id="rId22"/>
    <Relationship TargetMode="External" Target="https://www.legis.iowa.gov/docs/iac/rule/567.50.7.pdf" Type="http://schemas.openxmlformats.org/officeDocument/2006/relationships/hyperlink" Id="rId23"/>
    <Relationship TargetMode="External" Target="https://www.legis.iowa.gov/docs/iac/rule/567.53.7.pdf" Type="http://schemas.openxmlformats.org/officeDocument/2006/relationships/hyperlink" Id="rId24"/>
    <Relationship TargetMode="External" Target="https://www.legis.iowa.gov/docs/ico/chapter/455B.262.pdf" Type="http://schemas.openxmlformats.org/officeDocument/2006/relationships/hyperlink" Id="rId25"/>
    <Relationship TargetMode="External" Target="https://www.legis.iowa.gov/docs/ico/chapter/455B.264-274.pdf" Type="http://schemas.openxmlformats.org/officeDocument/2006/relationships/hyperlink" Id="rId26"/>
    <Relationship TargetMode="External" Target="https://www.legis.iowa.gov/docs/ico/chapter/455B.278.pdf" Type="http://schemas.openxmlformats.org/officeDocument/2006/relationships/hyperlink" Id="rId27"/>
    <Relationship TargetMode="External" Target="https://www.legis.iowa.gov/docs/iac/rule/567.53.7.pdf" Type="http://schemas.openxmlformats.org/officeDocument/2006/relationships/hyperlink" Id="rId28"/>
    <Relationship TargetMode="External" Target="https://www.legis.iowa.gov/docs/iac/rule/567.52.7.pdf" Type="http://schemas.openxmlformats.org/officeDocument/2006/relationships/hyperlink" Id="rId29"/>
    <Relationship TargetMode="External" Target="https://www.legis.iowa.gov/docs/iac/rule/567.53.7.pdf" Type="http://schemas.openxmlformats.org/officeDocument/2006/relationships/hyperlink" Id="rId30"/>
    <Relationship TargetMode="External" Target="https://www.legis.iowa.gov/docs/iac/rule/567.52.7.pdf" Type="http://schemas.openxmlformats.org/officeDocument/2006/relationships/hyperlink" Id="rId31"/>
    <Relationship TargetMode="External" Target="https://www.legis.iowa.gov/docs/iac/rule/567.53.7.pdf" Type="http://schemas.openxmlformats.org/officeDocument/2006/relationships/hyperlink" Id="rId32"/>
    <Relationship TargetMode="External" Target="https://www.legis.iowa.gov/docs/iac/rule/567.52.8.pdf" Type="http://schemas.openxmlformats.org/officeDocument/2006/relationships/hyperlink" Id="rId33"/>
    <Relationship TargetMode="External" Target="https://www.legis.iowa.gov/docs/iac/rule/567.53.7.pdf" Type="http://schemas.openxmlformats.org/officeDocument/2006/relationships/hyperlink" Id="rId34"/>
    <Relationship TargetMode="External" Target="https://www.legis.iowa.gov/docs/ico/chapter/455B.426.pdf" Type="http://schemas.openxmlformats.org/officeDocument/2006/relationships/hyperlink" Id="rId35"/>
    <Relationship TargetMode="External" Target="https://www.legis.iowa.gov/docs/iac/rule/567.53.7.pdf" Type="http://schemas.openxmlformats.org/officeDocument/2006/relationships/hyperlink" Id="rId36"/>
    <Relationship Target="media/document_image_rId37.png" Type="http://schemas.openxmlformats.org/officeDocument/2006/relationships/image" Id="rId37"/>
    <Relationship TargetMode="External" Target="https://www.legis.iowa.gov/docs/iac/rule/567.53.7.pdf" Type="http://schemas.openxmlformats.org/officeDocument/2006/relationships/hyperlink" Id="rId38"/>
    <Relationship Target="media/document_image_rId39.png" Type="http://schemas.openxmlformats.org/officeDocument/2006/relationships/image" Id="rId39"/>
    <Relationship TargetMode="External" Target="https://www.legis.iowa.gov/docs/ico/chapter/455B.262.pdf" Type="http://schemas.openxmlformats.org/officeDocument/2006/relationships/hyperlink" Id="rId40"/>
    <Relationship TargetMode="External" Target="https://www.legis.iowa.gov/docs/ico/chapter/455B.264-274.pdf" Type="http://schemas.openxmlformats.org/officeDocument/2006/relationships/hyperlink" Id="rId41"/>
    <Relationship TargetMode="External" Target="https://www.legis.iowa.gov/docs/ico/chapter/455B.278.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