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WATER PERMIT OR REGISTRATION—WHEN REQUIRED</w:t>
      </w:r>
    </w:p>
    <w:p>
      <w:pPr>
        <w:spacing w:before="0" w:after="0"/>
        <w:ind w:left="120"/>
        <w:jc w:val="center"/>
      </w:pPr>
      <w:r>
        <w:rPr>
          <w:rFonts w:ascii="Times New Roman" w:hAnsi="Times New Roman"/>
          <w:b w:val="false"/>
          <w:i w:val="false"/>
          <w:color w:val="000000"/>
          <w:sz w:val="14"/>
        </w:rPr>
        <w:t>[Prior subject matter INRC rule 3.1]</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567—51.1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contains thresholds which explain when a water permit or registration is required for withdrawal, diversion or storage of water.</w:t>
      </w:r>
    </w:p>
    <w:p>
      <w:pPr>
        <w:spacing w:before="210" w:after="0"/>
        <w:ind w:left="120"/>
        <w:jc w:val="both"/>
      </w:pPr>
      <w:r>
        <w:rPr>
          <w:rFonts w:ascii="Times New Roman" w:hAnsi="Times New Roman"/>
          <w:b/>
          <w:i w:val="false"/>
          <w:color w:val="000000"/>
          <w:sz w:val="22"/>
        </w:rPr>
        <w:t>567—51.2</w:t>
      </w:r>
      <w:r>
        <w:rPr>
          <w:rFonts w:ascii="Times New Roman" w:hAnsi="Times New Roman"/>
          <w:b/>
          <w:i w:val="false"/>
          <w:color w:val="000000"/>
          <w:sz w:val="22"/>
        </w:rPr>
        <w:t xml:space="preserve">(455B) </w:t>
      </w:r>
      <w:r>
        <w:rPr>
          <w:rFonts w:ascii="Times New Roman" w:hAnsi="Times New Roman"/>
          <w:b/>
          <w:i w:val="false"/>
          <w:color w:val="000000"/>
          <w:sz w:val="22"/>
        </w:rPr>
        <w:t xml:space="preserve">Storage (surface). </w:t>
      </w:r>
      <w:r>
        <w:rPr>
          <w:rFonts w:ascii="Times New Roman" w:hAnsi="Times New Roman"/>
          <w:b w:val="false"/>
          <w:i w:val="false"/>
          <w:color w:val="000000"/>
          <w:sz w:val="22"/>
        </w:rPr>
        <w:t xml:space="preserve">Rescinded </w:t>
      </w:r>
      <w:r>
        <w:rPr>
          <w:rFonts w:ascii="Times New Roman" w:hAnsi="Times New Roman"/>
          <w:b/>
          <w:i w:val="false"/>
          <w:color w:val="000000"/>
          <w:sz w:val="22"/>
        </w:rPr>
        <w:t>ARC 5899C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9/8/21</w:t>
      </w:r>
      <w:r>
        <w:rPr>
          <w:rFonts w:ascii="Times New Roman" w:hAnsi="Times New Roman"/>
          <w:b w:val="false"/>
          <w:i w:val="false"/>
          <w:color w:val="000000"/>
          <w:sz w:val="22"/>
        </w:rPr>
        <w:t>, effective 10/13/21. See rule 567—73.11(455B).</w:t>
      </w:r>
    </w:p>
    <w:p>
      <w:pPr>
        <w:spacing w:before="210" w:after="0"/>
        <w:ind w:left="120"/>
        <w:jc w:val="both"/>
      </w:pPr>
      <w:r>
        <w:rPr>
          <w:rFonts w:ascii="Times New Roman" w:hAnsi="Times New Roman"/>
          <w:b/>
          <w:i w:val="false"/>
          <w:color w:val="000000"/>
          <w:sz w:val="22"/>
        </w:rPr>
        <w:t>567—51.3</w:t>
      </w:r>
      <w:r>
        <w:rPr>
          <w:rFonts w:ascii="Times New Roman" w:hAnsi="Times New Roman"/>
          <w:b/>
          <w:i w:val="false"/>
          <w:color w:val="000000"/>
          <w:sz w:val="22"/>
        </w:rPr>
        <w:t xml:space="preserve">(455B) </w:t>
      </w:r>
      <w:r>
        <w:rPr>
          <w:rFonts w:ascii="Times New Roman" w:hAnsi="Times New Roman"/>
          <w:b/>
          <w:i w:val="false"/>
          <w:color w:val="000000"/>
          <w:sz w:val="22"/>
        </w:rPr>
        <w:t xml:space="preserve">Diversion from surface into aquifer. </w:t>
      </w:r>
      <w:r>
        <w:rPr>
          <w:rFonts w:ascii="Times New Roman" w:hAnsi="Times New Roman"/>
          <w:b w:val="false"/>
          <w:i w:val="false"/>
          <w:color w:val="000000"/>
          <w:sz w:val="22"/>
        </w:rPr>
        <w:t>A permit is required for diversion of water or any other material from the surface directly into any aquifer, including diversion by means of an agricultural drainage well. Diversion by tile or ditch into a sinkhole or quarry excavated in carbonate rock is presumed to be a diversion from the surface directly into an aquifer in the absence of convincing evidence to the contrary.</w:t>
      </w:r>
    </w:p>
    <w:p>
      <w:pPr>
        <w:spacing w:before="210" w:after="0"/>
        <w:ind w:left="120"/>
        <w:jc w:val="both"/>
      </w:pPr>
      <w:r>
        <w:rPr>
          <w:rFonts w:ascii="Times New Roman" w:hAnsi="Times New Roman"/>
          <w:b/>
          <w:i w:val="false"/>
          <w:color w:val="000000"/>
          <w:sz w:val="22"/>
        </w:rPr>
        <w:t>567—51.4</w:t>
      </w:r>
      <w:r>
        <w:rPr>
          <w:rFonts w:ascii="Times New Roman" w:hAnsi="Times New Roman"/>
          <w:b/>
          <w:i w:val="false"/>
          <w:color w:val="000000"/>
          <w:sz w:val="22"/>
        </w:rPr>
        <w:t xml:space="preserve">(455B) </w:t>
      </w:r>
      <w:r>
        <w:rPr>
          <w:rFonts w:ascii="Times New Roman" w:hAnsi="Times New Roman"/>
          <w:b/>
          <w:i w:val="false"/>
          <w:color w:val="000000"/>
          <w:sz w:val="22"/>
        </w:rPr>
        <w:t xml:space="preserve">Drain tile lines. </w:t>
      </w:r>
      <w:r>
        <w:rPr>
          <w:rFonts w:ascii="Times New Roman" w:hAnsi="Times New Roman"/>
          <w:b w:val="false"/>
          <w:i w:val="false"/>
          <w:color w:val="000000"/>
          <w:sz w:val="22"/>
        </w:rPr>
        <w:t>Water in drain tile lines shall be considered surface water.</w:t>
      </w:r>
    </w:p>
    <w:p>
      <w:pPr>
        <w:spacing w:before="210" w:after="0"/>
        <w:ind w:left="120"/>
        <w:jc w:val="both"/>
      </w:pPr>
      <w:r>
        <w:rPr>
          <w:rFonts w:ascii="Times New Roman" w:hAnsi="Times New Roman"/>
          <w:b/>
          <w:i w:val="false"/>
          <w:color w:val="000000"/>
          <w:sz w:val="22"/>
        </w:rPr>
        <w:t>567—51.5</w:t>
      </w:r>
      <w:r>
        <w:rPr>
          <w:rFonts w:ascii="Times New Roman" w:hAnsi="Times New Roman"/>
          <w:b/>
          <w:i w:val="false"/>
          <w:color w:val="000000"/>
          <w:sz w:val="22"/>
        </w:rPr>
        <w:t xml:space="preserve">(455B) </w:t>
      </w:r>
      <w:r>
        <w:rPr>
          <w:rFonts w:ascii="Times New Roman" w:hAnsi="Times New Roman"/>
          <w:b/>
          <w:i w:val="false"/>
          <w:color w:val="000000"/>
          <w:sz w:val="22"/>
        </w:rPr>
        <w:t xml:space="preserve">Cooling/heating systems. </w:t>
      </w:r>
      <w:r>
        <w:rPr>
          <w:rFonts w:ascii="Times New Roman" w:hAnsi="Times New Roman"/>
          <w:b w:val="false"/>
          <w:i w:val="false"/>
          <w:color w:val="000000"/>
          <w:sz w:val="22"/>
        </w:rPr>
        <w:t xml:space="preserve">A permit for the withdrawal of groundwater for use as a heat exchange media in a heating/cooling system may be granted, allowing such groundwater to be discharged into sanitary or storm sewers (when the use is complete). However, a permittee that has such a system shall make plan and design provisions to the permittee’s system to allow the groundwater to be returned directly (i.e., reinjected) to the aquifer from which it was originally pumped. The department reserves the right to order such direct return as part of its water conservation plan responsibility as described in </w:t>
      </w:r>
      <w:hyperlink r:id="rId5">
        <w:r>
          <w:rPr>
            <w:rStyle w:val="Hyperlink"/>
            <w:rFonts w:ascii="Times New Roman" w:hAnsi="Times New Roman"/>
            <w:b w:val="false"/>
            <w:i w:val="false"/>
            <w:color w:val="000000"/>
            <w:sz w:val="22"/>
          </w:rPr>
          <w:t>567—subrule 52.9(3)</w:t>
        </w:r>
      </w:hyperlink>
      <w:r>
        <w:rPr>
          <w:rFonts w:ascii="Times New Roman" w:hAnsi="Times New Roman"/>
          <w:b w:val="false"/>
          <w:i w:val="false"/>
          <w:color w:val="000000"/>
          <w:sz w:val="22"/>
        </w:rPr>
        <w:t xml:space="preserve"> (chiefly incorporating mandated emergency conservation measures), and its priority allocation plan responsibility as described in </w:t>
      </w:r>
      <w:hyperlink r:id="rId6">
        <w:r>
          <w:rPr>
            <w:rStyle w:val="Hyperlink"/>
            <w:rFonts w:ascii="Times New Roman" w:hAnsi="Times New Roman"/>
            <w:b w:val="false"/>
            <w:i w:val="false"/>
            <w:color w:val="000000"/>
            <w:sz w:val="22"/>
          </w:rPr>
          <w:t>567—subrule 52.10(3)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567—51.6</w:t>
      </w:r>
      <w:r>
        <w:rPr>
          <w:rFonts w:ascii="Times New Roman" w:hAnsi="Times New Roman"/>
          <w:b/>
          <w:i w:val="false"/>
          <w:color w:val="000000"/>
          <w:sz w:val="22"/>
        </w:rPr>
        <w:t xml:space="preserve">(455B) </w:t>
      </w:r>
      <w:r>
        <w:rPr>
          <w:rFonts w:ascii="Times New Roman" w:hAnsi="Times New Roman"/>
          <w:b/>
          <w:i w:val="false"/>
          <w:color w:val="000000"/>
          <w:sz w:val="22"/>
        </w:rPr>
        <w:t xml:space="preserve">Miscellaneous uses. </w:t>
      </w:r>
      <w:r>
        <w:rPr>
          <w:rFonts w:ascii="Times New Roman" w:hAnsi="Times New Roman"/>
          <w:b w:val="false"/>
          <w:i w:val="false"/>
          <w:color w:val="000000"/>
          <w:sz w:val="22"/>
        </w:rPr>
        <w:t>Unless otherwise provided herein, a permit shall be required for the use of more than 25,000 gallons of water per day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Drainage at construction sites. </w:t>
      </w:r>
      <w:r>
        <w:rPr>
          <w:rFonts w:ascii="Times New Roman" w:hAnsi="Times New Roman"/>
          <w:b w:val="false"/>
          <w:i w:val="false"/>
          <w:color w:val="000000"/>
          <w:sz w:val="22"/>
        </w:rPr>
        <w:t xml:space="preserve">A permittee may obtain permit coverage through registration as described in </w:t>
      </w:r>
      <w:hyperlink r:id="rId7">
        <w:r>
          <w:rPr>
            <w:rStyle w:val="Hyperlink"/>
            <w:rFonts w:ascii="Times New Roman" w:hAnsi="Times New Roman"/>
            <w:b w:val="false"/>
            <w:i w:val="false"/>
            <w:color w:val="000000"/>
            <w:sz w:val="22"/>
          </w:rPr>
          <w:t>51.6(5)</w:t>
        </w:r>
      </w:hyperlink>
      <w:r>
        <w:rPr>
          <w:rFonts w:ascii="Times New Roman" w:hAnsi="Times New Roman"/>
          <w:b w:val="false"/>
          <w:i w:val="false"/>
          <w:color w:val="000000"/>
          <w:sz w:val="22"/>
        </w:rPr>
        <w:t xml:space="preserve"> for the withdrawal of water to lower the water table as necessary at a construction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Test pumping. </w:t>
      </w:r>
      <w:r>
        <w:rPr>
          <w:rFonts w:ascii="Times New Roman" w:hAnsi="Times New Roman"/>
          <w:b w:val="false"/>
          <w:i w:val="false"/>
          <w:color w:val="000000"/>
          <w:sz w:val="22"/>
        </w:rPr>
        <w:t xml:space="preserve">The department may authorize by registration, as described in </w:t>
      </w:r>
      <w:hyperlink r:id="rId8">
        <w:r>
          <w:rPr>
            <w:rStyle w:val="Hyperlink"/>
            <w:rFonts w:ascii="Times New Roman" w:hAnsi="Times New Roman"/>
            <w:b w:val="false"/>
            <w:i w:val="false"/>
            <w:color w:val="000000"/>
            <w:sz w:val="22"/>
          </w:rPr>
          <w:t>51.6(5)</w:t>
        </w:r>
      </w:hyperlink>
      <w:r>
        <w:rPr>
          <w:rFonts w:ascii="Times New Roman" w:hAnsi="Times New Roman"/>
          <w:b w:val="false"/>
          <w:i w:val="false"/>
          <w:color w:val="000000"/>
          <w:sz w:val="22"/>
        </w:rPr>
        <w:t>, test pumping of sources of water to determine adequacy of the source and effects of such withdrawals. The department may require the applicant to submit the results to the department. No such registration for test pumping shall be for a period of more than one year. A registration must be obtained from the department for any pumping test in which more than 25,000 gallons of water will be withdrawn in a period of 24 hours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Rural water districts. </w:t>
      </w:r>
      <w:r>
        <w:rPr>
          <w:rFonts w:ascii="Times New Roman" w:hAnsi="Times New Roman"/>
          <w:b w:val="false"/>
          <w:i w:val="false"/>
          <w:color w:val="000000"/>
          <w:sz w:val="22"/>
        </w:rPr>
        <w:t>A permit shall be required for withdrawals of water by any rural water district having its own source of water, and such a withdrawal shall be classified as a use by a community public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color w:val="000000"/>
          <w:sz w:val="22"/>
        </w:rPr>
        <w:t xml:space="preserve">Permit registration for minor, nonrecurring uses. </w:t>
      </w:r>
      <w:r>
        <w:rPr>
          <w:rFonts w:ascii="Times New Roman" w:hAnsi="Times New Roman"/>
          <w:b w:val="false"/>
          <w:i w:val="false"/>
          <w:color w:val="000000"/>
          <w:sz w:val="22"/>
        </w:rPr>
        <w:t>Any use of water which is a minor, nonrecurring use, including but not limited to highway construction and maintenance, charging of lagoons, drilling wells, and hydrostatic testing of pipelines, shall require permit coverage that may be obtained through registration. The permit applicant may register minor, nonrecurring water use by submitting Form 20 (542-3112). Such registration shall be for up to one year. After an investigation of any withdrawal allegedly causing material damage, the department shall require prompt, appropriate action for the alleviation of damages. Where agreement cannot be reached on the action necessary for the alleviation of damages, withdrawal of water shall cease immediately upon notification by the department and an application for a permit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51.6(6)</w:t>
      </w:r>
      <w:r>
        <w:rPr>
          <w:rFonts w:ascii="Times New Roman" w:hAnsi="Times New Roman"/>
          <w:b w:val="false"/>
          <w:i w:val="false"/>
          <w:color w:val="000000"/>
          <w:sz w:val="22"/>
        </w:rPr>
        <w:t> </w:t>
      </w:r>
      <w:r>
        <w:rPr>
          <w:rFonts w:ascii="Times New Roman" w:hAnsi="Times New Roman"/>
          <w:b w:val="false"/>
          <w:i/>
          <w:color w:val="000000"/>
          <w:sz w:val="22"/>
        </w:rPr>
        <w:t xml:space="preserve">Research contracts. </w:t>
      </w:r>
      <w:r>
        <w:rPr>
          <w:rFonts w:ascii="Times New Roman" w:hAnsi="Times New Roman"/>
          <w:b w:val="false"/>
          <w:i w:val="false"/>
          <w:color w:val="000000"/>
          <w:sz w:val="22"/>
        </w:rPr>
        <w:t xml:space="preserve">The withdrawal of water for research purposes by the Iowa geological survey through its agents, employees, or contractees may be authorized by registration under </w:t>
      </w:r>
      <w:hyperlink r:id="rId9">
        <w:r>
          <w:rPr>
            <w:rStyle w:val="Hyperlink"/>
            <w:rFonts w:ascii="Times New Roman" w:hAnsi="Times New Roman"/>
            <w:b w:val="false"/>
            <w:i w:val="false"/>
            <w:color w:val="000000"/>
            <w:sz w:val="22"/>
          </w:rPr>
          <w:t>51.6(5)</w:t>
        </w:r>
      </w:hyperlink>
      <w:r>
        <w:rPr>
          <w:rFonts w:ascii="Times New Roman" w:hAnsi="Times New Roman"/>
          <w:b w:val="false"/>
          <w:i w:val="false"/>
          <w:color w:val="000000"/>
          <w:sz w:val="22"/>
        </w:rPr>
        <w:t xml:space="preserve"> and may be subject to conditions set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4426C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567—51.7</w:t>
      </w:r>
      <w:r>
        <w:rPr>
          <w:rFonts w:ascii="Times New Roman" w:hAnsi="Times New Roman"/>
          <w:b/>
          <w:i w:val="false"/>
          <w:color w:val="000000"/>
          <w:sz w:val="22"/>
        </w:rPr>
        <w:t xml:space="preserve">(455B) </w:t>
      </w:r>
      <w:r>
        <w:rPr>
          <w:rFonts w:ascii="Times New Roman" w:hAnsi="Times New Roman"/>
          <w:b/>
          <w:i w:val="false"/>
          <w:color w:val="000000"/>
          <w:sz w:val="22"/>
        </w:rPr>
        <w:t xml:space="preserve">Excavation and processing of rock and gravel products. </w:t>
      </w:r>
      <w:r>
        <w:rPr>
          <w:rFonts w:ascii="Times New Roman" w:hAnsi="Times New Roman"/>
          <w:b w:val="false"/>
          <w:i w:val="false"/>
          <w:color w:val="000000"/>
          <w:sz w:val="22"/>
        </w:rPr>
        <w:t>A water permit is required for withdrawal of more than 25,000 gallons of surface water or groundwater in one day for dewatering, washing, pugging, or use of a hydraulic dredge in connection with removal or processing of rock or gravel products. This permit requirement is subject to the following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permit is not required for operation of a hydraulic dredge which returns all water used as a transport medium directly back into the pit from which it is withdrawn by the dredge;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permit is not required for withdrawal of water from a gravel pit or rock quarry sump pit for material washing if the wash water is discharged directly back into the pit from which it is withdrawn.</w:t>
      </w:r>
    </w:p>
    <w:p>
      <w:pPr>
        <w:spacing w:before="210" w:after="0"/>
        <w:ind w:left="120"/>
        <w:jc w:val="both"/>
      </w:pPr>
      <w:r>
        <w:rPr>
          <w:rFonts w:ascii="Times New Roman" w:hAnsi="Times New Roman"/>
          <w:b/>
          <w:i w:val="false"/>
          <w:color w:val="000000"/>
          <w:sz w:val="22"/>
        </w:rPr>
        <w:t>567—51.8</w:t>
      </w:r>
      <w:r>
        <w:rPr>
          <w:rFonts w:ascii="Times New Roman" w:hAnsi="Times New Roman"/>
          <w:b/>
          <w:i w:val="false"/>
          <w:color w:val="000000"/>
          <w:sz w:val="22"/>
        </w:rPr>
        <w:t xml:space="preserve">(159) </w:t>
      </w:r>
      <w:r>
        <w:rPr>
          <w:rFonts w:ascii="Times New Roman" w:hAnsi="Times New Roman"/>
          <w:b/>
          <w:i w:val="false"/>
          <w:color w:val="000000"/>
          <w:sz w:val="22"/>
        </w:rPr>
        <w:t xml:space="preserve">Agricultural drainage wells. </w:t>
      </w:r>
      <w:r>
        <w:rPr>
          <w:rFonts w:ascii="Times New Roman" w:hAnsi="Times New Roman"/>
          <w:b w:val="false"/>
          <w:i w:val="false"/>
          <w:color w:val="000000"/>
          <w:sz w:val="22"/>
        </w:rPr>
        <w:t xml:space="preserve">All agricultural drainage wells must be registered by the owner with the department by September 30, 1988, on the form provided by the department. Registration of an agricultural drainage well is not considered a permit as required under rule </w:t>
      </w:r>
      <w:hyperlink r:id="rId10">
        <w:r>
          <w:rPr>
            <w:rStyle w:val="Hyperlink"/>
            <w:rFonts w:ascii="Times New Roman" w:hAnsi="Times New Roman"/>
            <w:b w:val="false"/>
            <w:i w:val="false"/>
            <w:color w:val="000000"/>
            <w:sz w:val="22"/>
          </w:rPr>
          <w:t>567—51.3(455B)</w:t>
        </w:r>
      </w:hyperlink>
      <w:r>
        <w:rPr>
          <w:rFonts w:ascii="Times New Roman" w:hAnsi="Times New Roman"/>
          <w:b w:val="false"/>
          <w:i w:val="false"/>
          <w:color w:val="000000"/>
          <w:sz w:val="22"/>
        </w:rPr>
        <w:t xml:space="preserve"> or subrule </w:t>
      </w:r>
      <w:hyperlink r:id="rId11">
        <w:r>
          <w:rPr>
            <w:rStyle w:val="Hyperlink"/>
            <w:rFonts w:ascii="Times New Roman" w:hAnsi="Times New Roman"/>
            <w:b w:val="false"/>
            <w:i w:val="false"/>
            <w:color w:val="000000"/>
            <w:sz w:val="22"/>
          </w:rPr>
          <w:t>51.6(5)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455B.264 to 455B.274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 xml:space="preserve"> and chapter </w:t>
      </w:r>
      <w:hyperlink r:id="rId15">
        <w:r>
          <w:rPr>
            <w:rStyle w:val="Hyperlink"/>
            <w:rFonts w:ascii="Times New Roman" w:hAnsi="Times New Roman"/>
            <w:b w:val="false"/>
            <w:i w:val="false"/>
            <w:color w:val="000000"/>
            <w:sz w:val="22"/>
          </w:rPr>
          <w:t>460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10/9/75, Notice 8/25/75—published 10/20/75, effective 11/24/75]</w:t>
      </w:r>
    </w:p>
    <w:p>
      <w:pPr>
        <w:spacing w:before="0" w:after="0"/>
        <w:ind w:left="120"/>
        <w:jc w:val="center"/>
      </w:pPr>
      <w:r>
        <w:rPr>
          <w:rFonts w:ascii="Times New Roman" w:hAnsi="Times New Roman"/>
          <w:b w:val="false"/>
          <w:i w:val="false"/>
          <w:color w:val="000000"/>
          <w:sz w:val="21"/>
        </w:rPr>
        <w:t>[Filed emergency 6/24/77—published 7/13/77, effective 6/24/77]</w:t>
      </w:r>
    </w:p>
    <w:p>
      <w:pPr>
        <w:spacing w:before="0" w:after="0"/>
        <w:ind w:left="120"/>
        <w:jc w:val="center"/>
      </w:pPr>
      <w:r>
        <w:rPr>
          <w:rFonts w:ascii="Times New Roman" w:hAnsi="Times New Roman"/>
          <w:b w:val="false"/>
          <w:i w:val="false"/>
          <w:color w:val="000000"/>
          <w:sz w:val="21"/>
        </w:rPr>
        <w:t>[Filed 7/5/77, Notice 6/1/77—published 7/27/77, effective 8/31/77]</w:t>
      </w:r>
    </w:p>
    <w:p>
      <w:pPr>
        <w:spacing w:before="0" w:after="0"/>
        <w:ind w:left="120"/>
        <w:jc w:val="center"/>
      </w:pPr>
      <w:r>
        <w:rPr>
          <w:rFonts w:ascii="Times New Roman" w:hAnsi="Times New Roman"/>
          <w:b w:val="false"/>
          <w:i w:val="false"/>
          <w:color w:val="000000"/>
          <w:sz w:val="21"/>
        </w:rPr>
        <w:t>[Filed 5/10/78, Notices 3/8/78, 4/5/78—published 5/31/78, effective 7/5/78]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8/4/78—published 8/23/78, effective 8/4/78]</w:t>
      </w:r>
    </w:p>
    <w:p>
      <w:pPr>
        <w:spacing w:before="0" w:after="0"/>
        <w:ind w:left="120"/>
        <w:jc w:val="center"/>
      </w:pPr>
      <w:r>
        <w:rPr>
          <w:rFonts w:ascii="Times New Roman" w:hAnsi="Times New Roman"/>
          <w:b w:val="false"/>
          <w:i w:val="false"/>
          <w:color w:val="000000"/>
          <w:sz w:val="21"/>
        </w:rPr>
        <w:t>[Filed 9/14/78, Notice 7/12/78—published 10/4/78, effective 11/8/78]</w:t>
      </w:r>
    </w:p>
    <w:p>
      <w:pPr>
        <w:spacing w:before="0" w:after="0"/>
        <w:ind w:left="120"/>
        <w:jc w:val="center"/>
      </w:pPr>
      <w:r>
        <w:rPr>
          <w:rFonts w:ascii="Times New Roman" w:hAnsi="Times New Roman"/>
          <w:b w:val="false"/>
          <w:i w:val="false"/>
          <w:color w:val="000000"/>
          <w:sz w:val="21"/>
        </w:rPr>
        <w:t>[Filed 11/5/80, Notice 9/17/80—published 11/26/80, effective 12/31/80]</w:t>
      </w:r>
    </w:p>
    <w:p>
      <w:pPr>
        <w:spacing w:before="0" w:after="0"/>
        <w:ind w:left="120"/>
        <w:jc w:val="center"/>
      </w:pPr>
      <w:r>
        <w:rPr>
          <w:rFonts w:ascii="Times New Roman" w:hAnsi="Times New Roman"/>
          <w:b w:val="false"/>
          <w:i w:val="false"/>
          <w:color w:val="000000"/>
          <w:sz w:val="21"/>
        </w:rPr>
        <w:t>[Filed 2/23/82, Notice 12/9/81—published 3/17/82, effective 4/21/82]</w:t>
      </w:r>
    </w:p>
    <w:p>
      <w:pPr>
        <w:spacing w:before="0" w:after="0"/>
        <w:ind w:left="120"/>
        <w:jc w:val="center"/>
      </w:pPr>
      <w:r>
        <w:rPr>
          <w:rFonts w:ascii="Times New Roman" w:hAnsi="Times New Roman"/>
          <w:b w:val="false"/>
          <w:i w:val="false"/>
          <w:color w:val="000000"/>
          <w:sz w:val="21"/>
        </w:rPr>
        <w:t>[Filed 2/24/82, Notice 11/11/81—published 3/17/82, effective 4/21/82]</w:t>
      </w:r>
    </w:p>
    <w:p>
      <w:pPr>
        <w:spacing w:before="0" w:after="0"/>
        <w:ind w:left="120"/>
        <w:jc w:val="center"/>
      </w:pPr>
      <w:r>
        <w:rPr>
          <w:rFonts w:ascii="Times New Roman" w:hAnsi="Times New Roman"/>
          <w:b w:val="false"/>
          <w:i w:val="false"/>
          <w:color w:val="000000"/>
          <w:sz w:val="21"/>
        </w:rPr>
        <w:t>[Filed 4/23/82, Notice 11/11/81—published 5/12/82, effective 6/16/82]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11/1/85, Notice 7/31/85—published 11/20/85, effective 12/25/85]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10/2/87, Notice 6/17/87—published 10/21/87, effective 11/25/87]</w:t>
      </w:r>
    </w:p>
    <w:p>
      <w:pPr>
        <w:spacing w:before="0" w:after="0"/>
        <w:ind w:left="120"/>
        <w:jc w:val="center"/>
      </w:pPr>
      <w:r>
        <w:rPr>
          <w:rFonts w:ascii="Times New Roman" w:hAnsi="Times New Roman"/>
          <w:b w:val="false"/>
          <w:i w:val="false"/>
          <w:color w:val="000000"/>
          <w:sz w:val="21"/>
        </w:rPr>
        <w:t>[Filed emergency 10/23/87—published 11/18/87, effective 10/23/87]</w:t>
      </w:r>
    </w:p>
    <w:p>
      <w:pPr>
        <w:spacing w:before="0" w:after="0"/>
        <w:ind w:left="120"/>
        <w:jc w:val="center"/>
      </w:pPr>
      <w:r>
        <w:rPr>
          <w:rFonts w:ascii="Times New Roman" w:hAnsi="Times New Roman"/>
          <w:b w:val="false"/>
          <w:i w:val="false"/>
          <w:color w:val="000000"/>
          <w:sz w:val="21"/>
        </w:rPr>
        <w:t>[Filed emergency 7/22/88—published 8/10/88, effective 7/22/88]</w:t>
      </w:r>
    </w:p>
    <w:p>
      <w:pPr>
        <w:spacing w:before="0" w:after="0"/>
        <w:ind w:left="120"/>
        <w:jc w:val="center"/>
      </w:pPr>
      <w:r>
        <w:rPr>
          <w:rFonts w:ascii="Times New Roman" w:hAnsi="Times New Roman"/>
          <w:b w:val="false"/>
          <w:i w:val="false"/>
          <w:color w:val="000000"/>
          <w:sz w:val="21"/>
        </w:rPr>
        <w:t>[Filed 12/19/97, Notice 9/10/97—published 1/14/98, effective 2/18/98]</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5/17/06, Notice 3/15/06—published 6/7/06, effective 7/12/06]</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pBdr>
          <w:bottom w:space="2"/>
        </w:pBdr>
        <w:spacing w:before="0" w:after="0"/>
        <w:ind w:left="120"/>
        <w:jc w:val="both"/>
      </w:pPr>
      <w:r>
        <w:rPr>
          <w:rFonts w:ascii="Times New Roman" w:hAnsi="Times New Roman"/>
          <w:b w:val="false"/>
          <w:i w:val="false"/>
          <w:color w:val="000000"/>
          <w:sz w:val="22"/>
        </w:rPr>
        <w:t>See Delays, IAB 6/28/78, p.194.</w:t>
      </w:r>
    </w:p>
    <w:p>
      <w:pPr>
        <w:pBdr>
          <w:bottom w:space="2"/>
        </w:pBdr>
        <w:spacing w:before="0" w:after="0"/>
        <w:ind w:left="120"/>
        <w:jc w:val="both"/>
      </w:pPr>
      <w:r>
        <w:rPr>
          <w:rFonts w:ascii="Times New Roman" w:hAnsi="Times New Roman"/>
          <w:b w:val="false"/>
          <w:i w:val="false"/>
          <w:color w:val="000000"/>
          <w:sz w:val="22"/>
        </w:rPr>
        <w:t>Effective date of 51.2 [NRC 3.1(4)] delayed 70 days by the Administrative Rules Review Committee; published IAC 6/23/82. Effective date of 51.3 [NRC 3.1(4)] delayed by the Administrative Rules Review Committee 45 days after convening of the next General Assembly pursuant to §17A.8(9); published IAC 8/18/82.</w:t>
      </w:r>
    </w:p>
    <w:p>
      <w:pPr>
        <w:pBdr>
          <w:bottom w:space="2"/>
        </w:pBdr>
        <w:spacing w:before="0" w:after="0"/>
        <w:ind w:left="120"/>
        <w:jc w:val="both"/>
      </w:pPr>
      <w:r>
        <w:rPr>
          <w:rFonts w:ascii="Times New Roman" w:hAnsi="Times New Roman"/>
          <w:b w:val="false"/>
          <w:i w:val="false"/>
          <w:color w:val="000000"/>
          <w:sz w:val="22"/>
        </w:rPr>
        <w:t>At its meeting held 2/9/98, the Administrative Rules Review Committee delayed 51.3 until the adjournment of the 1998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52.9.pdf" Type="http://schemas.openxmlformats.org/officeDocument/2006/relationships/hyperlink" Id="rId5"/>
    <Relationship TargetMode="External" Target="https://www.legis.iowa.gov/docs/iac/rule/567.52.10.pdf" Type="http://schemas.openxmlformats.org/officeDocument/2006/relationships/hyperlink" Id="rId6"/>
    <Relationship TargetMode="External" Target="https://www.legis.iowa.gov/docs/iac/rule/567.51.6.pdf" Type="http://schemas.openxmlformats.org/officeDocument/2006/relationships/hyperlink" Id="rId7"/>
    <Relationship TargetMode="External" Target="https://www.legis.iowa.gov/docs/iac/rule/567.51.6.pdf" Type="http://schemas.openxmlformats.org/officeDocument/2006/relationships/hyperlink" Id="rId8"/>
    <Relationship TargetMode="External" Target="https://www.legis.iowa.gov/docs/iac/rule/567.51.6.pdf" Type="http://schemas.openxmlformats.org/officeDocument/2006/relationships/hyperlink" Id="rId9"/>
    <Relationship TargetMode="External" Target="https://www.legis.iowa.gov/docs/iac/rule/567.51.3.pdf" Type="http://schemas.openxmlformats.org/officeDocument/2006/relationships/hyperlink" Id="rId10"/>
    <Relationship TargetMode="External" Target="https://www.legis.iowa.gov/docs/iac/rule/567.51.6.pdf" Type="http://schemas.openxmlformats.org/officeDocument/2006/relationships/hyperlink" Id="rId11"/>
    <Relationship TargetMode="External" Target="https://www.legis.iowa.gov/docs/ico/chapter/455B.262.pdf" Type="http://schemas.openxmlformats.org/officeDocument/2006/relationships/hyperlink" Id="rId12"/>
    <Relationship TargetMode="External" Target="https://www.legis.iowa.gov/docs/ico/chapter/455B.264-274.pdf" Type="http://schemas.openxmlformats.org/officeDocument/2006/relationships/hyperlink" Id="rId13"/>
    <Relationship TargetMode="External" Target="https://www.legis.iowa.gov/docs/ico/chapter/455B.278.pdf" Type="http://schemas.openxmlformats.org/officeDocument/2006/relationships/hyperlink" Id="rId14"/>
    <Relationship TargetMode="External" Target="https://www.legis.iowa.gov/docs/ico/chapter/460.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