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C</w:t>
      </w:r>
    </w:p>
    <w:p>
      <w:pPr>
        <w:pBdr>
          <w:bottom w:space="3"/>
        </w:pBdr>
        <w:spacing w:before="0" w:after="0"/>
        <w:ind w:left="120"/>
        <w:jc w:val="center"/>
      </w:pPr>
      <w:r>
        <w:rPr>
          <w:rFonts w:ascii="Times New Roman" w:hAnsi="Times New Roman"/>
          <w:b w:val="false"/>
          <w:i w:val="false"/>
          <w:color w:val="000000"/>
          <w:sz w:val="16"/>
        </w:rPr>
        <w:t>WITHDRAWAL, DIVERSION AND STORAGE</w:t>
      </w:r>
      <w:r>
        <w:br/>
      </w:r>
      <w:r>
        <w:rPr>
          <w:rFonts w:ascii="Times New Roman" w:hAnsi="Times New Roman"/>
          <w:b w:val="false"/>
          <w:i w:val="false"/>
          <w:color w:val="000000"/>
          <w:sz w:val="16"/>
        </w:rPr>
        <w:t>OF WATER: WATER RIGHTS ALLOCATION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SCOPE OF DIVISION—DEFINITIONS—FORMS—RULES OF PRACTICE</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567—50.1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division. </w:t>
      </w:r>
      <w:r>
        <w:rPr>
          <w:rFonts w:ascii="Times New Roman" w:hAnsi="Times New Roman"/>
          <w:b w:val="false"/>
          <w:i w:val="false"/>
          <w:color w:val="000000"/>
          <w:sz w:val="22"/>
        </w:rPr>
        <w:t>The department has jurisdiction over the surface and groundwater of the state to establish and administer a comprehensive program to ensure that the water resources of the state be put to beneficial use to the fullest extent possible, that the waste or unreasonable use, or unreasonable methods of use of water be prevented, and that the conservation and protection of water resources be required with the view to their reasonable and beneficial use in the interest of the people.</w:t>
      </w:r>
    </w:p>
    <w:p>
      <w:pPr>
        <w:spacing w:before="0" w:after="0"/>
        <w:ind w:left="120"/>
        <w:jc w:val="both"/>
      </w:pPr>
      <w:r>
        <w:rPr>
          <w:rFonts w:ascii="Times New Roman" w:hAnsi="Times New Roman"/>
          <w:b w:val="false"/>
          <w:i w:val="false"/>
          <w:color w:val="000000"/>
          <w:sz w:val="22"/>
        </w:rPr>
        <w:t xml:space="preserve">Any person who proposes to pump or divert by gravity more than 25,000 gallons of water during a period of 24 hours or less from any source of groundwater or surface water, including streams bordering the state, impound surface water, divert surface runoff into a well, sinkhole or excavation or inject water or any material into a well has a duty to review the thresholds in Chapter </w:t>
      </w:r>
      <w:r>
        <w:rPr>
          <w:rFonts w:ascii="Times New Roman" w:hAnsi="Times New Roman"/>
          <w:b w:val="false"/>
          <w:i w:val="false"/>
          <w:color w:val="000000"/>
          <w:sz w:val="22"/>
        </w:rPr>
        <w:t>51</w:t>
      </w:r>
      <w:r>
        <w:rPr>
          <w:rFonts w:ascii="Times New Roman" w:hAnsi="Times New Roman"/>
          <w:b w:val="false"/>
          <w:i w:val="false"/>
          <w:color w:val="000000"/>
          <w:sz w:val="22"/>
        </w:rPr>
        <w:t xml:space="preserve"> and contact the department to resolve any doubt concerning whether a permit is required.</w:t>
      </w:r>
    </w:p>
    <w:p>
      <w:pPr>
        <w:spacing w:before="0" w:after="0"/>
        <w:ind w:left="120"/>
        <w:jc w:val="both"/>
      </w:pPr>
      <w:r>
        <w:rPr>
          <w:rFonts w:ascii="Times New Roman" w:hAnsi="Times New Roman"/>
          <w:b w:val="false"/>
          <w:i w:val="false"/>
          <w:color w:val="000000"/>
          <w:sz w:val="22"/>
        </w:rPr>
        <w:t xml:space="preserve">Chapter </w:t>
      </w:r>
      <w:r>
        <w:rPr>
          <w:rFonts w:ascii="Times New Roman" w:hAnsi="Times New Roman"/>
          <w:b w:val="false"/>
          <w:i w:val="false"/>
          <w:color w:val="000000"/>
          <w:sz w:val="22"/>
        </w:rPr>
        <w:t>51</w:t>
      </w:r>
      <w:r>
        <w:rPr>
          <w:rFonts w:ascii="Times New Roman" w:hAnsi="Times New Roman"/>
          <w:b w:val="false"/>
          <w:i w:val="false"/>
          <w:color w:val="000000"/>
          <w:sz w:val="22"/>
        </w:rPr>
        <w:t xml:space="preserve"> explains when approval is required for withdrawal, diversion or storage of water. Chapter </w:t>
      </w:r>
      <w:r>
        <w:rPr>
          <w:rFonts w:ascii="Times New Roman" w:hAnsi="Times New Roman"/>
          <w:b w:val="false"/>
          <w:i w:val="false"/>
          <w:color w:val="000000"/>
          <w:sz w:val="22"/>
        </w:rPr>
        <w:t>52</w:t>
      </w:r>
      <w:r>
        <w:rPr>
          <w:rFonts w:ascii="Times New Roman" w:hAnsi="Times New Roman"/>
          <w:b w:val="false"/>
          <w:i w:val="false"/>
          <w:color w:val="000000"/>
          <w:sz w:val="22"/>
        </w:rPr>
        <w:t xml:space="preserve"> explains criteria for permitting withdrawal, diversion or storage of water. Chapter </w:t>
      </w:r>
      <w:r>
        <w:rPr>
          <w:rFonts w:ascii="Times New Roman" w:hAnsi="Times New Roman"/>
          <w:b w:val="false"/>
          <w:i w:val="false"/>
          <w:color w:val="000000"/>
          <w:sz w:val="22"/>
        </w:rPr>
        <w:t>53</w:t>
      </w:r>
      <w:r>
        <w:rPr>
          <w:rFonts w:ascii="Times New Roman" w:hAnsi="Times New Roman"/>
          <w:b w:val="false"/>
          <w:i w:val="false"/>
          <w:color w:val="000000"/>
          <w:sz w:val="22"/>
        </w:rPr>
        <w:t xml:space="preserve"> sets forth the procedure for designating certain ground and surface water sources as protected sources and explains special criteria and conditions which may be applicable to those sources. Chapter </w:t>
      </w:r>
      <w:r>
        <w:rPr>
          <w:rFonts w:ascii="Times New Roman" w:hAnsi="Times New Roman"/>
          <w:b w:val="false"/>
          <w:i w:val="false"/>
          <w:color w:val="000000"/>
          <w:sz w:val="22"/>
        </w:rPr>
        <w:t>54</w:t>
      </w:r>
      <w:r>
        <w:rPr>
          <w:rFonts w:ascii="Times New Roman" w:hAnsi="Times New Roman"/>
          <w:b w:val="false"/>
          <w:i w:val="false"/>
          <w:color w:val="000000"/>
          <w:sz w:val="22"/>
        </w:rPr>
        <w:t xml:space="preserve"> describes procedures and criteria for determining compensation to owners of nonregulated wells for well interference caused by permitted uses.</w:t>
      </w:r>
    </w:p>
    <w:p>
      <w:pPr>
        <w:spacing w:before="0" w:after="0"/>
        <w:ind w:left="120"/>
        <w:jc w:val="both"/>
      </w:pPr>
      <w:r>
        <w:rPr>
          <w:rFonts w:ascii="Times New Roman" w:hAnsi="Times New Roman"/>
          <w:b/>
          <w:i w:val="false"/>
          <w:color w:val="000000"/>
          <w:sz w:val="22"/>
        </w:rPr>
        <w:t>567—50.2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Definitions used in this division of these rules are listed in alphabetical order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groundwater supply” </w:t>
      </w:r>
      <w:r>
        <w:rPr>
          <w:rFonts w:ascii="Times New Roman" w:hAnsi="Times New Roman"/>
          <w:b w:val="false"/>
          <w:i w:val="false"/>
          <w:color w:val="000000"/>
          <w:sz w:val="22"/>
        </w:rPr>
        <w:t>means an aquifer which is capable of providing enough water to satisfy the demands which have been placed on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means the settlement of well interference conflicts by the department according to established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w:t>
      </w:r>
      <w:r>
        <w:rPr>
          <w:rFonts w:ascii="Times New Roman" w:hAnsi="Times New Roman"/>
          <w:b w:val="false"/>
          <w:i w:val="false"/>
          <w:color w:val="000000"/>
          <w:sz w:val="22"/>
        </w:rPr>
        <w:t>means a vertical opening to an aquifer or permeable substratum which is constructed by any means including but not limited to drilling, driving, digging, boring, using an auger, jetting, washing, or coring, and which is capable of intercepting or receiving surface or subsurface drainage water from land directly or by a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 area” </w:t>
      </w:r>
      <w:r>
        <w:rPr>
          <w:rFonts w:ascii="Times New Roman" w:hAnsi="Times New Roman"/>
          <w:b w:val="false"/>
          <w:i w:val="false"/>
          <w:color w:val="000000"/>
          <w:sz w:val="22"/>
        </w:rPr>
        <w:t>means an area of land where surface or subsurface water drains into an agricultural drainage well directly or through a drainage system connecting to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“Apparent well interference” </w:t>
      </w:r>
      <w:r>
        <w:rPr>
          <w:rFonts w:ascii="Times New Roman" w:hAnsi="Times New Roman"/>
          <w:b w:val="false"/>
          <w:i w:val="false"/>
          <w:color w:val="000000"/>
          <w:sz w:val="22"/>
        </w:rPr>
        <w:t>means well interference in a nonregulated well resulting from a permitted use is likely but has not been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w:t>
      </w:r>
      <w:r>
        <w:rPr>
          <w:rFonts w:ascii="Times New Roman" w:hAnsi="Times New Roman"/>
          <w:b w:val="false"/>
          <w:i w:val="false"/>
          <w:color w:val="000000"/>
          <w:sz w:val="22"/>
        </w:rPr>
        <w:t>means a water-bearing geologic formation (soil or rock) of sufficient volume, porosity, and permeability to be capable of yielding a usable quantity of water to a well or spring.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“Bulletin No.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 xml:space="preserve">23” </w:t>
      </w:r>
      <w:r>
        <w:rPr>
          <w:rFonts w:ascii="Times New Roman" w:hAnsi="Times New Roman"/>
          <w:b w:val="false"/>
          <w:i w:val="false"/>
          <w:color w:val="000000"/>
          <w:sz w:val="22"/>
        </w:rPr>
        <w:t>means Technical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 entitled “Guidelines for Well Interference Compensation,” March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w:t>
      </w:r>
      <w:r>
        <w:rPr>
          <w:rFonts w:ascii="Times New Roman" w:hAnsi="Times New Roman"/>
          <w:b w:val="false"/>
          <w:i w:val="false"/>
          <w:color w:val="000000"/>
          <w:sz w:val="22"/>
        </w:rPr>
        <w:t xml:space="preserve">means a well contractor who has successfully passed an examination prescribed by the department to determine the applicant’s qualifications to perform well drilling or pump services or both pursuant to </w:t>
      </w:r>
      <w:hyperlink r:id="rId5">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public water supply” </w:t>
      </w:r>
      <w:r>
        <w:rPr>
          <w:rFonts w:ascii="Times New Roman" w:hAnsi="Times New Roman"/>
          <w:b w:val="false"/>
          <w:i w:val="false"/>
          <w:color w:val="000000"/>
          <w:sz w:val="22"/>
        </w:rPr>
        <w:t>means a system for the provision to the public of piped water for domestic use which has at least 15 service connections used by year-round residents or regularly serves at least 25 year-round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means payment to the owner of a nonregulated well for damages caused by a lowered water level in the well due to withdrawal of water for a permitted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means the owner of a nonregulated well who is suspected of being or has been shown to be adversely affected by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the formal allegation against a permitted water user who is suspected of causing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“Confined aquifer” </w:t>
      </w:r>
      <w:r>
        <w:rPr>
          <w:rFonts w:ascii="Times New Roman" w:hAnsi="Times New Roman"/>
          <w:b w:val="false"/>
          <w:i w:val="false"/>
          <w:color w:val="000000"/>
          <w:sz w:val="22"/>
        </w:rPr>
        <w:t>means an aquifer which contains water under pressure overlain by impermeable formations such as clay or shale. In a well penetrating a confined aquifer, pressure will cause water to rise above the top of the aquifer. If the pressure in a confined aquifer is sufficiently great, water will rise above the ground surface and flow from a well, thus resulting in a “flowing artesian well” or a “naturally flowing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“Conflict” </w:t>
      </w:r>
      <w:r>
        <w:rPr>
          <w:rFonts w:ascii="Times New Roman" w:hAnsi="Times New Roman"/>
          <w:b w:val="false"/>
          <w:i w:val="false"/>
          <w:color w:val="000000"/>
          <w:sz w:val="22"/>
        </w:rPr>
        <w:t>means a dispute between a nonregulated well owner and a permitted water user regarding the liability of the permitted user for well interference damages to the nonregulated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“Consumptive use” </w:t>
      </w:r>
      <w:r>
        <w:rPr>
          <w:rFonts w:ascii="Times New Roman" w:hAnsi="Times New Roman"/>
          <w:b w:val="false"/>
          <w:i w:val="false"/>
          <w:color w:val="000000"/>
          <w:sz w:val="22"/>
        </w:rPr>
        <w:t>means any use of water which involves substantial evaporation, transpiration, incorporation of water into a product or removal of water from a source without return thereto. Consumptive uses include, but are not limited to, irrigation, evaporative cooling, and flooding of wildlife areas by withdrawals or diversions from watercourses or aquifers.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aquifer test” </w:t>
      </w:r>
      <w:r>
        <w:rPr>
          <w:rFonts w:ascii="Times New Roman" w:hAnsi="Times New Roman"/>
          <w:b w:val="false"/>
          <w:i w:val="false"/>
          <w:color w:val="000000"/>
          <w:sz w:val="22"/>
        </w:rPr>
        <w:t>means a test, as approved by the department, for pumping from a well at a controlled rate for a specified duration while water levels are accurately measured at given frequencies in the pumping well and other nearby wells which use the same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agricultural drainage well area” </w:t>
      </w:r>
      <w:r>
        <w:rPr>
          <w:rFonts w:ascii="Times New Roman" w:hAnsi="Times New Roman"/>
          <w:b w:val="false"/>
          <w:i w:val="false"/>
          <w:color w:val="000000"/>
          <w:sz w:val="22"/>
        </w:rPr>
        <w:t xml:space="preserve">means an agricultural drainage well area in which there is located an anaerobic lagoon or earthen manure storage structure which requires a construction permit under </w:t>
      </w:r>
      <w:hyperlink r:id="rId6">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use” </w:t>
      </w:r>
      <w:r>
        <w:rPr>
          <w:rFonts w:ascii="Times New Roman" w:hAnsi="Times New Roman"/>
          <w:b w:val="false"/>
          <w:i w:val="false"/>
          <w:color w:val="000000"/>
          <w:sz w:val="22"/>
        </w:rPr>
        <w:t>means a use of water for human consumption and sanitation and public safety (fire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system” </w:t>
      </w:r>
      <w:r>
        <w:rPr>
          <w:rFonts w:ascii="Times New Roman" w:hAnsi="Times New Roman"/>
          <w:b w:val="false"/>
          <w:i w:val="false"/>
          <w:color w:val="000000"/>
          <w:sz w:val="22"/>
        </w:rPr>
        <w:t>means tile lines, laterals, surface inlets, or other improvements which are constructed to facilitate the drainage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“Earthen storage structure” </w:t>
      </w:r>
      <w:r>
        <w:rPr>
          <w:rFonts w:ascii="Times New Roman" w:hAnsi="Times New Roman"/>
          <w:b w:val="false"/>
          <w:i w:val="false"/>
          <w:color w:val="000000"/>
          <w:sz w:val="22"/>
        </w:rPr>
        <w:t>means an earthen cavity, either covered or uncovered, including but not limited to an anaerobic lagoon or earthen manure storage basin which is used to store manure, sewage, wastewater, industrial waste, or other waste as regulated by the department of natural resources, if stored in a liquid or semiliquid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crop” </w:t>
      </w:r>
      <w:r>
        <w:rPr>
          <w:rFonts w:ascii="Times New Roman" w:hAnsi="Times New Roman"/>
          <w:b w:val="false"/>
          <w:i w:val="false"/>
          <w:color w:val="000000"/>
          <w:sz w:val="22"/>
        </w:rPr>
        <w:t>means hay, corn, soybeans, oats, grain sorghum or wheat.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use” </w:t>
      </w:r>
      <w:r>
        <w:rPr>
          <w:rFonts w:ascii="Times New Roman" w:hAnsi="Times New Roman"/>
          <w:b w:val="false"/>
          <w:i w:val="false"/>
          <w:color w:val="000000"/>
          <w:sz w:val="22"/>
        </w:rPr>
        <w:t>means a use of water by manufacturing, processing, commercial, and other industrial facilities incidental to providing a product or a service; excluding domestic use, irrigation use, livestock use, nonindustrial power generation use, and recreational and aesthetic use. Examples include but are not limited to manufacturing, food processing, industrial cooling, excavation and processing of rock and gravel products, commercial laundries, cooling of perishables and electrical power generation other than for public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negotiations” </w:t>
      </w:r>
      <w:r>
        <w:rPr>
          <w:rFonts w:ascii="Times New Roman" w:hAnsi="Times New Roman"/>
          <w:b w:val="false"/>
          <w:i w:val="false"/>
          <w:color w:val="000000"/>
          <w:sz w:val="22"/>
        </w:rPr>
        <w:t>means discussion between a complainant and permittee or applicant regarding settlement of a well interference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means a resolution of a well interference conflict by informal negotiations between a complainant and permittee or applicant without formal action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“Irrigation use” </w:t>
      </w:r>
      <w:r>
        <w:rPr>
          <w:rFonts w:ascii="Times New Roman" w:hAnsi="Times New Roman"/>
          <w:b w:val="false"/>
          <w:i w:val="false"/>
          <w:color w:val="000000"/>
          <w:sz w:val="22"/>
        </w:rPr>
        <w:t>means a use of water which is artificially applied to land to aid the growing of general crops and specialty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use” </w:t>
      </w:r>
      <w:r>
        <w:rPr>
          <w:rFonts w:ascii="Times New Roman" w:hAnsi="Times New Roman"/>
          <w:b w:val="false"/>
          <w:i w:val="false"/>
          <w:color w:val="000000"/>
          <w:sz w:val="22"/>
        </w:rPr>
        <w:t>means a use of water in the production of animals such as for drinking, sanitation and cooling.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“Nonregulated well” </w:t>
      </w:r>
      <w:r>
        <w:rPr>
          <w:rFonts w:ascii="Times New Roman" w:hAnsi="Times New Roman"/>
          <w:b w:val="false"/>
          <w:i w:val="false"/>
          <w:color w:val="000000"/>
          <w:sz w:val="22"/>
        </w:rPr>
        <w:t>means a well used to supply water for a nonregulated use (a use of water less than 25,000 gallons per day which is not required to have a water use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storage” </w:t>
      </w:r>
      <w:r>
        <w:rPr>
          <w:rFonts w:ascii="Times New Roman" w:hAnsi="Times New Roman"/>
          <w:b w:val="false"/>
          <w:i w:val="false"/>
          <w:color w:val="000000"/>
          <w:sz w:val="22"/>
        </w:rPr>
        <w:t>means the volume of water expressed in acre-feet which is stored upstream from a dam or in an impoundment up to the level of the principal outlet works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“Permitted use” </w:t>
      </w:r>
      <w:r>
        <w:rPr>
          <w:rFonts w:ascii="Times New Roman" w:hAnsi="Times New Roman"/>
          <w:b w:val="false"/>
          <w:i w:val="false"/>
          <w:color w:val="000000"/>
          <w:sz w:val="22"/>
        </w:rPr>
        <w:t xml:space="preserve">means a use of water in excess of 25,000 gallons per day which requires a water use permit pursuant to these rules and </w:t>
      </w:r>
      <w:hyperlink r:id="rId7">
        <w:r>
          <w:rPr>
            <w:rStyle w:val="Hyperlink"/>
            <w:rFonts w:ascii="Times New Roman" w:hAnsi="Times New Roman"/>
            <w:b w:val="false"/>
            <w:i w:val="false"/>
            <w:color w:val="000000"/>
            <w:sz w:val="22"/>
          </w:rPr>
          <w:t>567—Chapters 51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xml:space="preserve"> and Iowa Code chapter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 part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“Pesticide” </w:t>
      </w:r>
      <w:r>
        <w:rPr>
          <w:rFonts w:ascii="Times New Roman" w:hAnsi="Times New Roman"/>
          <w:b w:val="false"/>
          <w:i w:val="false"/>
          <w:color w:val="000000"/>
          <w:sz w:val="22"/>
        </w:rPr>
        <w:t>means (1) any substance or mixture of substances intended for preventing, destroying, repelling, or mitigating directly or indirectly any insects, rodents, nematodes, fungi, weeds, and other forms of plant or animal life or viruses, except viruses on or in living persons, which the secretary of agriculture shall declare to be a pest; and (2) any substance intended for use as a plant growth regulator, defoliant, or desiccant.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generation use” </w:t>
      </w:r>
      <w:r>
        <w:rPr>
          <w:rFonts w:ascii="Times New Roman" w:hAnsi="Times New Roman"/>
          <w:b w:val="false"/>
          <w:i w:val="false"/>
          <w:color w:val="000000"/>
          <w:sz w:val="22"/>
        </w:rPr>
        <w:t>means a use of water incidental to the generation of electric power for distribution and sale to the public including process water (e.g., boiler makeup) and water for cooling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flow” </w:t>
      </w:r>
      <w:r>
        <w:rPr>
          <w:rFonts w:ascii="Times New Roman" w:hAnsi="Times New Roman"/>
          <w:b w:val="false"/>
          <w:i w:val="false"/>
          <w:color w:val="000000"/>
          <w:sz w:val="22"/>
        </w:rPr>
        <w:t xml:space="preserve">means the </w:t>
      </w:r>
      <w:r>
        <w:rPr>
          <w:rFonts w:ascii="Times New Roman" w:hAnsi="Times New Roman"/>
          <w:b w:val="false"/>
          <w:i/>
          <w:color w:val="000000"/>
          <w:sz w:val="22"/>
        </w:rPr>
        <w:t>“established average minimum flow”</w:t>
      </w:r>
      <w:r>
        <w:rPr>
          <w:rFonts w:ascii="Times New Roman" w:hAnsi="Times New Roman"/>
          <w:b w:val="false"/>
          <w:i w:val="false"/>
          <w:color w:val="000000"/>
          <w:sz w:val="22"/>
        </w:rPr>
        <w:t xml:space="preserve"> defined in Iowa Code section </w:t>
      </w:r>
      <w:hyperlink r:id="rId10">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source” </w:t>
      </w:r>
      <w:r>
        <w:rPr>
          <w:rFonts w:ascii="Times New Roman" w:hAnsi="Times New Roman"/>
          <w:b w:val="false"/>
          <w:i w:val="false"/>
          <w:color w:val="000000"/>
          <w:sz w:val="22"/>
        </w:rPr>
        <w:t>means a surface water or groundwater source recognized by rule as needing special protection in order to ensure its long-term availability, in terms of either quality or quantity, or both, to preserve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“Recreational and aesthetic use” </w:t>
      </w:r>
      <w:r>
        <w:rPr>
          <w:rFonts w:ascii="Times New Roman" w:hAnsi="Times New Roman"/>
          <w:b w:val="false"/>
          <w:i w:val="false"/>
          <w:color w:val="000000"/>
          <w:sz w:val="22"/>
        </w:rPr>
        <w:t>means a use of water which can be curtailed and is not essential for the preservation of life, the general welfare, or the state’s economic base. Examples include but are not limited to flooding of wildlife areas; filling of pools and fountains; nonessential cooling; car washing; street cleaning; washing of other exterior surfaces such as windows and walls; amusement park-type water rides; turf watering such as lawns, golf courses, and athletic fields; and watering of landscape plantings.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“Seven-day, 1-in-10 year low flow (7Q10)” </w:t>
      </w:r>
      <w:r>
        <w:rPr>
          <w:rFonts w:ascii="Times New Roman" w:hAnsi="Times New Roman"/>
          <w:b w:val="false"/>
          <w:i w:val="false"/>
          <w:color w:val="000000"/>
          <w:sz w:val="22"/>
        </w:rPr>
        <w:t>means the minimum average flow expected to occur during a period of seven consecutive days which has an average recurrence interval of once in ten years. The 7Q10 may be calculated for specific seasonal periods of less than one year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crop” </w:t>
      </w:r>
      <w:r>
        <w:rPr>
          <w:rFonts w:ascii="Times New Roman" w:hAnsi="Times New Roman"/>
          <w:b w:val="false"/>
          <w:i w:val="false"/>
          <w:color w:val="000000"/>
          <w:sz w:val="22"/>
        </w:rPr>
        <w:t>means all other crops not listed as a general crop, including but not limited to melons, sod farm or seed corn.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w:t>
      </w:r>
      <w:r>
        <w:rPr>
          <w:rFonts w:ascii="Times New Roman" w:hAnsi="Times New Roman"/>
          <w:b w:val="false"/>
          <w:i w:val="false"/>
          <w:color w:val="000000"/>
          <w:sz w:val="22"/>
        </w:rPr>
        <w:t xml:space="preserve">means a </w:t>
      </w:r>
      <w:r>
        <w:rPr>
          <w:rFonts w:ascii="Times New Roman" w:hAnsi="Times New Roman"/>
          <w:b w:val="false"/>
          <w:i/>
          <w:color w:val="000000"/>
          <w:sz w:val="22"/>
        </w:rPr>
        <w:t>“watercourse”</w:t>
      </w:r>
      <w:r>
        <w:rPr>
          <w:rFonts w:ascii="Times New Roman" w:hAnsi="Times New Roman"/>
          <w:b w:val="false"/>
          <w:i w:val="false"/>
          <w:color w:val="000000"/>
          <w:sz w:val="22"/>
        </w:rPr>
        <w:t xml:space="preserve"> other than a lake as defined in Iowa Code section </w:t>
      </w:r>
      <w:hyperlink r:id="rId11">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bordering the state” </w:t>
      </w:r>
      <w:r>
        <w:rPr>
          <w:rFonts w:ascii="Times New Roman" w:hAnsi="Times New Roman"/>
          <w:b w:val="false"/>
          <w:i w:val="false"/>
          <w:color w:val="000000"/>
          <w:sz w:val="22"/>
        </w:rPr>
        <w:t>means those reaches of the Missouri, Mississippi, Des Moines, and Big Sioux rivers that serve as a state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“Sufficient water supply” </w:t>
      </w:r>
      <w:r>
        <w:rPr>
          <w:rFonts w:ascii="Times New Roman" w:hAnsi="Times New Roman"/>
          <w:b w:val="false"/>
          <w:i w:val="false"/>
          <w:color w:val="000000"/>
          <w:sz w:val="22"/>
        </w:rPr>
        <w:t>means a nonregulated well which is capable of providing enough water for the nonregulated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w:t>
      </w:r>
      <w:r>
        <w:rPr>
          <w:rFonts w:ascii="Times New Roman" w:hAnsi="Times New Roman"/>
          <w:b w:val="false"/>
          <w:i w:val="false"/>
          <w:color w:val="000000"/>
          <w:sz w:val="22"/>
        </w:rPr>
        <w:t>means water occurring on the surface of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intake” </w:t>
      </w:r>
      <w:r>
        <w:rPr>
          <w:rFonts w:ascii="Times New Roman" w:hAnsi="Times New Roman"/>
          <w:b w:val="false"/>
          <w:i w:val="false"/>
          <w:color w:val="000000"/>
          <w:sz w:val="22"/>
        </w:rPr>
        <w:t>means an artificial opening to a drain tile which drains into an agricultural drainage well, if the artificial opening allows surface water to enter the drain tile without filtration through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“Suspect permittee” </w:t>
      </w:r>
      <w:r>
        <w:rPr>
          <w:rFonts w:ascii="Times New Roman" w:hAnsi="Times New Roman"/>
          <w:b w:val="false"/>
          <w:i w:val="false"/>
          <w:color w:val="000000"/>
          <w:sz w:val="22"/>
        </w:rPr>
        <w:t>means a party possessing a water use permit when the permitted use is suspected of causing well interference in a nonregulated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means a controlled aquifer test for verification of well interference using the existing wells and pumping systems of the complainant and suspect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“Verified well interference” </w:t>
      </w:r>
      <w:r>
        <w:rPr>
          <w:rFonts w:ascii="Times New Roman" w:hAnsi="Times New Roman"/>
          <w:b w:val="false"/>
          <w:i w:val="false"/>
          <w:color w:val="000000"/>
          <w:sz w:val="22"/>
        </w:rPr>
        <w:t>means well interference which has been proven by test pumping or with other substantial evidence to have caused or will cause a nonregulated well to be unable to maintain a sufficient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use reduction plan” </w:t>
      </w:r>
      <w:r>
        <w:rPr>
          <w:rFonts w:ascii="Times New Roman" w:hAnsi="Times New Roman"/>
          <w:b w:val="false"/>
          <w:i w:val="false"/>
          <w:color w:val="000000"/>
          <w:sz w:val="22"/>
        </w:rPr>
        <w:t>means a program that establishes numeric water reduction goals (e.g., percent or volume of water per day) on a short-term time frame through either voluntary or mandatory conservation regulatory requirements (e.g., plumbing codes, sprinkling ordinances, et al.) for each customer category (residential, commercial, industrial, landscape irrigation, agricultural, recreational, or other). Such a plan shall include a mechanism for evaluating the system’s unaccounted-for water (water audit or the equivalent). An industrial permittee water use reduction plan shall examine reduction of the use of water in heat transfer, use of water in materials transfer, use of water for washing, and use of water as an incorporated ingredient. Each customer category or use category should be evaluated by the permittee. The permittee will then determine how to meet the water reduction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interference” </w:t>
      </w:r>
      <w:r>
        <w:rPr>
          <w:rFonts w:ascii="Times New Roman" w:hAnsi="Times New Roman"/>
          <w:b w:val="false"/>
          <w:i w:val="false"/>
          <w:color w:val="000000"/>
          <w:sz w:val="22"/>
        </w:rPr>
        <w:t>means the lowering of water level in a well caused by the withdrawal of water at another location (usually a nearby well).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2053C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567—50.3</w:t>
      </w:r>
      <w:r>
        <w:rPr>
          <w:rFonts w:ascii="Times New Roman" w:hAnsi="Times New Roman"/>
          <w:b/>
          <w:i w:val="false"/>
          <w:color w:val="000000"/>
          <w:sz w:val="22"/>
        </w:rPr>
        <w:t xml:space="preserve">(17A,455B) </w:t>
      </w:r>
      <w:r>
        <w:rPr>
          <w:rFonts w:ascii="Times New Roman" w:hAnsi="Times New Roman"/>
          <w:b/>
          <w:i w:val="false"/>
          <w:color w:val="000000"/>
          <w:sz w:val="22"/>
        </w:rPr>
        <w:t xml:space="preserve">Forms for withdrawal, diversion or storage of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The following application forms are currently in use:</w:t>
      </w:r>
    </w:p>
    <w:p>
      <w:pPr>
        <w:spacing w:before="0" w:after="0"/>
        <w:ind w:left="120"/>
        <w:jc w:val="both"/>
      </w:pPr>
      <w:r>
        <w:rPr>
          <w:rFonts w:ascii="Times New Roman" w:hAnsi="Times New Roman"/>
          <w:b w:val="false"/>
          <w:i w:val="false"/>
          <w:color w:val="000000"/>
          <w:sz w:val="22"/>
        </w:rPr>
        <w:t>Form 16: Application for a New Water Use Permit or to Modify an Existing Water Use Permit. 542-3106.</w:t>
      </w:r>
    </w:p>
    <w:p>
      <w:pPr>
        <w:spacing w:before="0" w:after="0"/>
        <w:ind w:left="120"/>
        <w:jc w:val="both"/>
      </w:pPr>
      <w:r>
        <w:rPr>
          <w:rFonts w:ascii="Times New Roman" w:hAnsi="Times New Roman"/>
          <w:b w:val="false"/>
          <w:i w:val="false"/>
          <w:color w:val="000000"/>
          <w:sz w:val="22"/>
        </w:rPr>
        <w:t>Form 18: Application for Permit to Store Water for Beneficial Use. 542-3109.</w:t>
      </w:r>
    </w:p>
    <w:p>
      <w:pPr>
        <w:spacing w:before="0" w:after="0"/>
        <w:ind w:left="120"/>
        <w:jc w:val="both"/>
      </w:pPr>
      <w:r>
        <w:rPr>
          <w:rFonts w:ascii="Times New Roman" w:hAnsi="Times New Roman"/>
          <w:b w:val="false"/>
          <w:i w:val="false"/>
          <w:color w:val="000000"/>
          <w:sz w:val="22"/>
        </w:rPr>
        <w:t>Form 20: Registration of Minor Nonrecurring Use of Water. 542-3112.</w:t>
      </w:r>
    </w:p>
    <w:p>
      <w:pPr>
        <w:spacing w:before="0" w:after="0"/>
        <w:ind w:left="120"/>
        <w:jc w:val="both"/>
      </w:pPr>
      <w:r>
        <w:rPr>
          <w:rFonts w:ascii="Times New Roman" w:hAnsi="Times New Roman"/>
          <w:b w:val="false"/>
          <w:i w:val="false"/>
          <w:color w:val="000000"/>
          <w:sz w:val="22"/>
        </w:rPr>
        <w:t>Form 542-1470: Water Supply Section Water Use Permit Renewal.</w:t>
      </w:r>
    </w:p>
    <w:p>
      <w:pPr>
        <w:spacing w:before="0" w:after="0"/>
        <w:ind w:left="120"/>
        <w:jc w:val="both"/>
      </w:pPr>
      <w:r>
        <w:rPr>
          <w:rFonts w:ascii="Times New Roman" w:hAnsi="Times New Roman"/>
          <w:b w:val="false"/>
          <w:i w:val="false"/>
          <w:color w:val="000000"/>
          <w:sz w:val="22"/>
        </w:rPr>
        <w:t>Form 542-1539: Application for Use of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forms. </w:t>
      </w:r>
      <w:r>
        <w:rPr>
          <w:rFonts w:ascii="Times New Roman" w:hAnsi="Times New Roman"/>
          <w:b w:val="false"/>
          <w:i w:val="false"/>
          <w:color w:val="000000"/>
          <w:sz w:val="22"/>
        </w:rPr>
        <w:t>The following forms are used to obtain additional information to supplement various types of applications:</w:t>
      </w:r>
    </w:p>
    <w:p>
      <w:pPr>
        <w:spacing w:before="0" w:after="0"/>
        <w:ind w:left="120"/>
        <w:jc w:val="both"/>
      </w:pPr>
      <w:r>
        <w:rPr>
          <w:rFonts w:ascii="Times New Roman" w:hAnsi="Times New Roman"/>
          <w:b w:val="false"/>
          <w:i w:val="false"/>
          <w:color w:val="000000"/>
          <w:sz w:val="22"/>
        </w:rPr>
        <w:t>Form 21: Survey of Land Owners and Occupants. 542-3113.</w:t>
      </w:r>
    </w:p>
    <w:p>
      <w:pPr>
        <w:spacing w:before="0" w:after="0"/>
        <w:ind w:left="120"/>
        <w:jc w:val="both"/>
      </w:pPr>
      <w:r>
        <w:rPr>
          <w:rFonts w:ascii="Times New Roman" w:hAnsi="Times New Roman"/>
          <w:b w:val="false"/>
          <w:i w:val="false"/>
          <w:color w:val="000000"/>
          <w:sz w:val="22"/>
        </w:rPr>
        <w:t>Form 22: Well Inventory Form. 542-3114.</w:t>
      </w:r>
    </w:p>
    <w:p>
      <w:pPr>
        <w:spacing w:before="0" w:after="0"/>
        <w:ind w:left="120"/>
        <w:jc w:val="both"/>
      </w:pPr>
      <w:r>
        <w:rPr>
          <w:rFonts w:ascii="Times New Roman" w:hAnsi="Times New Roman"/>
          <w:b w:val="false"/>
          <w:i w:val="false"/>
          <w:color w:val="000000"/>
          <w:sz w:val="22"/>
        </w:rPr>
        <w:t>Form 122: Water Well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color w:val="000000"/>
          <w:sz w:val="22"/>
        </w:rPr>
        <w:t xml:space="preserve">Reporting form. </w:t>
      </w:r>
      <w:r>
        <w:rPr>
          <w:rFonts w:ascii="Times New Roman" w:hAnsi="Times New Roman"/>
          <w:b w:val="false"/>
          <w:i w:val="false"/>
          <w:color w:val="000000"/>
          <w:sz w:val="22"/>
        </w:rPr>
        <w:t>The following form is for reporting permitted activities:</w:t>
      </w:r>
    </w:p>
    <w:p>
      <w:pPr>
        <w:spacing w:before="0" w:after="0"/>
        <w:ind w:left="120"/>
        <w:jc w:val="both"/>
      </w:pPr>
      <w:r>
        <w:rPr>
          <w:rFonts w:ascii="Times New Roman" w:hAnsi="Times New Roman"/>
          <w:b w:val="false"/>
          <w:i w:val="false"/>
          <w:color w:val="000000"/>
          <w:sz w:val="22"/>
        </w:rPr>
        <w:t>Form 23: Report of Water Use by all Regulated Users. 542-3115.</w:t>
      </w:r>
    </w:p>
    <w:p>
      <w:pPr>
        <w:spacing w:before="0" w:after="0"/>
        <w:ind w:left="120"/>
        <w:jc w:val="both"/>
      </w:pPr>
      <w:r>
        <w:rPr>
          <w:rFonts w:ascii="Times New Roman" w:hAnsi="Times New Roman"/>
          <w:b/>
          <w:i w:val="false"/>
          <w:color w:val="000000"/>
          <w:sz w:val="22"/>
        </w:rPr>
        <w:t>567—50.4</w:t>
      </w:r>
      <w:r>
        <w:rPr>
          <w:rFonts w:ascii="Times New Roman" w:hAnsi="Times New Roman"/>
          <w:b/>
          <w:i w:val="false"/>
          <w:color w:val="000000"/>
          <w:sz w:val="22"/>
        </w:rPr>
        <w:t xml:space="preserve">(17A,455B) </w:t>
      </w:r>
      <w:r>
        <w:rPr>
          <w:rFonts w:ascii="Times New Roman" w:hAnsi="Times New Roman"/>
          <w:b/>
          <w:i w:val="false"/>
          <w:color w:val="000000"/>
          <w:sz w:val="22"/>
        </w:rPr>
        <w:t xml:space="preserve">How to request a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approval of a new withdrawal or diversion of water unrelated to the use of an agricultural drainage well. </w:t>
      </w:r>
      <w:r>
        <w:rPr>
          <w:rFonts w:ascii="Times New Roman" w:hAnsi="Times New Roman"/>
          <w:b w:val="false"/>
          <w:i w:val="false"/>
          <w:color w:val="000000"/>
          <w:sz w:val="22"/>
        </w:rPr>
        <w:t xml:space="preserve">For withdrawals or diversions of water unrelated to the use of an agricultural drainage well, a request for a new permit as distinguished from modification or renewal of an existing permit shall be made on Form 542-3106. An application form must be submitted by or on behalf of the owner, lessee, easement holder or option holder of the area where the water is to be withdrawn, diverted, and used. An application must be accompanied by a map portraying the points of withdrawal or diversion and the land on which water is to be used oriented as to section, township, and range. One application normally will be adequate for all uses on contiguous tracts of land. Tracts of land involved in the same operation separated only by roads or railroads will be deemed contiguous tracts. For water storage permits, applications will be made in conjunction with dam construction permits as required in rule </w:t>
      </w:r>
      <w:hyperlink r:id="rId12">
        <w:r>
          <w:rPr>
            <w:rStyle w:val="Hyperlink"/>
            <w:rFonts w:ascii="Times New Roman" w:hAnsi="Times New Roman"/>
            <w:b w:val="false"/>
            <w:i w:val="false"/>
            <w:color w:val="000000"/>
            <w:sz w:val="22"/>
          </w:rPr>
          <w:t>567—73.10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diversion of water related to the use of an agricultural drainage well. </w:t>
      </w:r>
      <w:r>
        <w:rPr>
          <w:rFonts w:ascii="Times New Roman" w:hAnsi="Times New Roman"/>
          <w:b w:val="false"/>
          <w:i w:val="false"/>
          <w:color w:val="000000"/>
          <w:sz w:val="22"/>
        </w:rPr>
        <w:t xml:space="preserve">An application for the diversion of water and any other materials to an aquifer related to the use of an agricultural drainage well shall be made on a form obtained from the department and be submitted by or on behalf of such owners, lessees, easement holders, or option holders of all lands within the agricultural drainage well area. If the agricultural drainage well is part of a legally organized drainage district, the drainage district shall be a joint applicant. Applications for permits for diversions related to the use of an agricultural drainage well that existed prior to February 18, 1998, shall be made by July 1, 1999, with the exception of agricultural drainage wells that must be closed to comply with the provisions of </w:t>
      </w:r>
      <w:r>
        <w:rPr>
          <w:rFonts w:ascii="Times New Roman" w:hAnsi="Times New Roman"/>
          <w:b w:val="false"/>
          <w:i w:val="false"/>
          <w:color w:val="000000"/>
          <w:sz w:val="22"/>
        </w:rPr>
        <w:t>1997 Iowa Acts, Senate File 473</w:t>
      </w:r>
      <w:r>
        <w:rPr>
          <w:rFonts w:ascii="Times New Roman" w:hAnsi="Times New Roman"/>
          <w:b w:val="false"/>
          <w:i w:val="false"/>
          <w:color w:val="000000"/>
          <w:sz w:val="22"/>
        </w:rPr>
        <w:t>. An application will not have to be filed for wells in a designated agricultural drainage well area which must be closed by December 31, 1999. In addition, the department may grant up to a six-month delay in the application date for owners of agricultural drainage wells where it can be shown there is a reasonable expectation that the agricultural drainage well will be voluntarily closed by December 31,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modification or renewal of a permit. </w:t>
      </w:r>
      <w:r>
        <w:rPr>
          <w:rFonts w:ascii="Times New Roman" w:hAnsi="Times New Roman"/>
          <w:b w:val="false"/>
          <w:i w:val="false"/>
          <w:color w:val="000000"/>
          <w:sz w:val="22"/>
        </w:rPr>
        <w:t>A request for renewal of a permit should be submitted on Form 542-1470. A request to modify an existing permit shall be made on Form 16 (542-3106) and must include an explanation of the necessity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Where to submit application.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An application to the department for a new permit, modification of an existing permit, or registration of a minor nonrecurring use of water must be accompanied with the fee listed in the table below. These fees are nonrefundable and are not transferable. For any single application, if more than one fee in the table below applies, only the higher fee is required. The fees become effective on July 1, 2009.</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80"/>
        <w:gridCol w:w="1920"/>
        <w:gridCol w:w="1152"/>
        <w:gridCol w:w="768"/>
      </w:tblGrid>
      <w:tr>
        <w:trPr>
          <w:trHeight w:val="22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r>
              <w:rPr>
                <w:rFonts w:ascii="Times New Roman" w:hAnsi="Times New Roman"/>
                <w:b/>
                <w:i w:val="false"/>
                <w:color w:val="000000"/>
                <w:sz w:val="16"/>
              </w:rPr>
              <w:t>Application Description</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Form</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Fees, in dollars</w:t>
            </w:r>
          </w:p>
        </w:tc>
      </w:tr>
      <w:tr>
        <w:trPr>
          <w:trHeight w:val="22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 To apply for a new permit to withdraw or divert water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(542-3106)</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w:t>
            </w:r>
          </w:p>
        </w:tc>
      </w:tr>
      <w:tr>
        <w:trPr>
          <w:trHeight w:val="22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 To renew an existing permit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542-1470</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r>
      <w:tr>
        <w:trPr>
          <w:trHeight w:val="40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 (3) To modify an existing permit to either add a new source or increase the amount or rate of water withdrawn or diverted from a source or sources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(542-3106)</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w:t>
            </w:r>
          </w:p>
        </w:tc>
      </w:tr>
      <w:tr>
        <w:trPr>
          <w:trHeight w:val="40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 (4) To modify the conditions of an existing permit which are not described in Item 3 of this table (see above)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(542-3106)</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r>
      <w:tr>
        <w:trPr>
          <w:trHeight w:val="40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 (5) To apply for an aquifer storage and recovery permit or a protected source designation</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$700</w:t>
            </w:r>
          </w:p>
        </w:tc>
      </w:tr>
      <w:tr>
        <w:trPr>
          <w:trHeight w:val="22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 To apply for a permit to store water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 (542-3109)</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w:t>
            </w:r>
          </w:p>
        </w:tc>
      </w:tr>
      <w:tr>
        <w:trPr>
          <w:trHeight w:val="225" w:hRule="atLeast"/>
        </w:trPr>
        <w:tc>
          <w:tcPr>
            <w:tcW w:w="76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 (7) To register a minor nonrecurring use of water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 (542-3112)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permit fee. </w:t>
      </w:r>
      <w:r>
        <w:rPr>
          <w:rFonts w:ascii="Times New Roman" w:hAnsi="Times New Roman"/>
          <w:b w:val="false"/>
          <w:i w:val="false"/>
          <w:color w:val="000000"/>
          <w:sz w:val="22"/>
        </w:rPr>
        <w:t>In addition to the application fee, there is an annual permit fee for a water use permit or an aquifer storage and recovery permit. The annual fee shall be based on the number of active permits. Each permit holder shall pay the same annual fee. The fee will not be prorated and is nonrefundable. The annual permit fee is due December 1 of each year, beginning with December 1, 2009. The department will provide an annual fee notice to each permittee at least 60 days prior to the fee due date. An additional fee of $100 will be imposed if the fee is not received by December 1. Failure to remit the fee by January 1 may result in the cancellation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annual fee for a water storage permit (see (6) of table, paragraph 50.4(2)</w:t>
      </w:r>
      <w:r>
        <w:rPr>
          <w:rFonts w:ascii="Times New Roman" w:hAnsi="Times New Roman"/>
          <w:b w:val="false"/>
          <w:i/>
          <w:color w:val="000000"/>
          <w:sz w:val="22"/>
        </w:rPr>
        <w:t>“a”</w:t>
      </w:r>
      <w:r>
        <w:rPr>
          <w:rFonts w:ascii="Times New Roman" w:hAnsi="Times New Roman"/>
          <w:b w:val="false"/>
          <w:i w:val="false"/>
          <w:color w:val="000000"/>
          <w:sz w:val="22"/>
        </w:rPr>
        <w:t>) or for a minor nonrecurring water use registration (see (7) of table, paragraph 50.4(2)</w:t>
      </w:r>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fee shall be based on the costs for administering the water use permitting program for the previous calendar years and on the anticipated expenses for succeeding fiscal years. The department will review the annual permit fee each year and adjust the fee as necessary to cover all reasonable costs required to develop and administer the water use permitting program. Permit holders that have paid an application fee after December 1, but prior to November 30, will not be required to pay an annual fee until December 1 of the following year. If an applicant remits an annual fee for the 12-month period beginning December 1 and then later submits an application fee for a permit modification, the applicant will be refunded the lesser of the fees. The department shall request commission approval of the amount of the annual fee no later than September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color w:val="000000"/>
          <w:sz w:val="22"/>
        </w:rPr>
        <w:t xml:space="preserve">Supporting information required for complete application. </w:t>
      </w:r>
      <w:r>
        <w:rPr>
          <w:rFonts w:ascii="Times New Roman" w:hAnsi="Times New Roman"/>
          <w:b w:val="false"/>
          <w:i w:val="false"/>
          <w:color w:val="000000"/>
          <w:sz w:val="22"/>
        </w:rPr>
        <w:t xml:space="preserve">An application shall not be considered complete until the fee specified in this rule and all supporting information requested under </w:t>
      </w:r>
      <w:hyperlink r:id="rId13">
        <w:r>
          <w:rPr>
            <w:rStyle w:val="Hyperlink"/>
            <w:rFonts w:ascii="Times New Roman" w:hAnsi="Times New Roman"/>
            <w:b w:val="false"/>
            <w:i w:val="false"/>
            <w:color w:val="000000"/>
            <w:sz w:val="22"/>
          </w:rPr>
          <w:t>567—50.6</w:t>
        </w:r>
      </w:hyperlink>
      <w:r>
        <w:rPr>
          <w:rFonts w:ascii="Times New Roman" w:hAnsi="Times New Roman"/>
          <w:b w:val="false"/>
          <w:i w:val="false"/>
          <w:color w:val="000000"/>
          <w:sz w:val="22"/>
        </w:rPr>
        <w:t>(17A,455B) have been submitted by the applicant or agents of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5052C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 xml:space="preserve">; </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567—50.5</w:t>
      </w:r>
      <w:r>
        <w:rPr>
          <w:rFonts w:ascii="Times New Roman" w:hAnsi="Times New Roman"/>
          <w:b/>
          <w:i w:val="false"/>
          <w:color w:val="000000"/>
          <w:sz w:val="22"/>
        </w:rPr>
        <w:t xml:space="preserve">(455B) </w:t>
      </w:r>
      <w:r>
        <w:rPr>
          <w:rFonts w:ascii="Times New Roman" w:hAnsi="Times New Roman"/>
          <w:b/>
          <w:i w:val="false"/>
          <w:color w:val="000000"/>
          <w:sz w:val="22"/>
        </w:rPr>
        <w:t xml:space="preserve">Initial screening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 </w:t>
      </w:r>
      <w:r>
        <w:rPr>
          <w:rFonts w:ascii="Times New Roman" w:hAnsi="Times New Roman"/>
          <w:b w:val="false"/>
          <w:i w:val="false"/>
          <w:color w:val="000000"/>
          <w:sz w:val="22"/>
        </w:rPr>
        <w:t>Each application upon receipt shall be promptly evaluated by the department to determine whether adequate information is available to review the project. The department shall then advise the applicant of additional information required to review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color w:val="000000"/>
          <w:sz w:val="22"/>
        </w:rPr>
        <w:t xml:space="preserve">Application to withdraw groundwater. </w:t>
      </w:r>
      <w:r>
        <w:rPr>
          <w:rFonts w:ascii="Times New Roman" w:hAnsi="Times New Roman"/>
          <w:b w:val="false"/>
          <w:i w:val="false"/>
          <w:color w:val="000000"/>
          <w:sz w:val="22"/>
        </w:rPr>
        <w:t>Evaluation of the potential effects of a proposed withdrawal of groundwater requires review of available hydrogeological information. The department may require additional supporting hydrogeological information, which the applicant is responsible for providing.</w:t>
      </w:r>
    </w:p>
    <w:p>
      <w:pPr>
        <w:spacing w:before="0" w:after="0"/>
        <w:ind w:left="120"/>
        <w:jc w:val="both"/>
      </w:pPr>
      <w:r>
        <w:rPr>
          <w:rFonts w:ascii="Times New Roman" w:hAnsi="Times New Roman"/>
          <w:b/>
          <w:i w:val="false"/>
          <w:color w:val="000000"/>
          <w:sz w:val="22"/>
        </w:rPr>
        <w:t>567—50.6</w:t>
      </w:r>
      <w:r>
        <w:rPr>
          <w:rFonts w:ascii="Times New Roman" w:hAnsi="Times New Roman"/>
          <w:b/>
          <w:i w:val="false"/>
          <w:color w:val="000000"/>
          <w:sz w:val="22"/>
        </w:rPr>
        <w:t xml:space="preserve">(17A,455B) </w:t>
      </w:r>
      <w:r>
        <w:rPr>
          <w:rFonts w:ascii="Times New Roman" w:hAnsi="Times New Roman"/>
          <w:b/>
          <w:i w:val="false"/>
          <w:color w:val="000000"/>
          <w:sz w:val="22"/>
        </w:rPr>
        <w:t xml:space="preserve">Supporting information. </w:t>
      </w:r>
      <w:r>
        <w:rPr>
          <w:rFonts w:ascii="Times New Roman" w:hAnsi="Times New Roman"/>
          <w:b w:val="false"/>
          <w:i w:val="false"/>
          <w:color w:val="000000"/>
          <w:sz w:val="22"/>
        </w:rPr>
        <w:t xml:space="preserve">Applicants shall submit supporting information which is reasonably required to assist the department in conducting the investigation of an application required by Iowa Code sections </w:t>
      </w:r>
      <w:hyperlink r:id="rId14">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 xml:space="preserve"> and in determining whether granting of a permit would be consistent with the policies and principles of beneficial use set forth in Iowa Code section </w:t>
      </w:r>
      <w:hyperlink r:id="rId16">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Certain supporting information requirements are described in this rule. This description is intended to identify frequently required information. The department may require additional information relative to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permit to withdraw groundwater.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source and effects of pumping. </w:t>
      </w:r>
      <w:r>
        <w:rPr>
          <w:rFonts w:ascii="Times New Roman" w:hAnsi="Times New Roman"/>
          <w:b w:val="false"/>
          <w:i w:val="false"/>
          <w:color w:val="000000"/>
          <w:sz w:val="22"/>
        </w:rPr>
        <w:t xml:space="preserve">An applicant shall be required to submit information needed by the department to identify the aquifer(s) from which withdrawals of water are proposed, predict the effects of pumping with a reasonable degree of confidence, and determine any permit conditions for well interference pursuant to </w:t>
      </w:r>
      <w:hyperlink r:id="rId17">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At many locations the only reliable methods to determine the availability of a water source of adequate quantity and quality and to predict the effects of pumping require test drilling, yield test pumping, and a controlled aquifer test with measurements in one or more observation wells conducted with prior approval in a manner that is acceptable to the department. The applicant shall be required to perform each of these exploratory operations to the extent necessary for the department to obtain information from which to determine whether a permit should be granted and to identify conditions which should be imposed in any permit granted. The following requirements apply to exploratory drilling and test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Test drilling. In cases where test drilling is needed for geological information relevant to the application, the applicant is responsible for employing a driller who will collect, bag and properly label cutting samples at each five-foot interval and at each apparent change in geological formation from a test hole or production well hole at least the approximate depth of the proposed production well. The cutting samples must be saved for collection in sample bags provided by the Iowa geological survey (IGS). The samples shall be submitted to IGS and be accompanied by a driller’s log showing the location and total depth of the hole and a description of the materials encountered at successive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Yield testing. An applicant shall be required to construct a well and test pump it for yield to the extent necessary to determine whether water is available at the applicant’s proposed rate of withdrawal from the proposed source. A written registration from the department is required before any yield test in which more than 25,000 gallons will be withdrawn in a period of 24 hours or less (see </w:t>
      </w:r>
      <w:hyperlink r:id="rId18">
        <w:r>
          <w:rPr>
            <w:rStyle w:val="Hyperlink"/>
            <w:rFonts w:ascii="Times New Roman" w:hAnsi="Times New Roman"/>
            <w:b w:val="false"/>
            <w:i w:val="false"/>
            <w:color w:val="000000"/>
            <w:sz w:val="22"/>
          </w:rPr>
          <w:t>567—subrule 51.6(5)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Controlled aquifer test with supervision. An applicant shall be required to conduct a controlled aquifer test with supervision by a certified well contractor, licensed professional engineer or other designee of the department as a condition of obtaining a water permit if the department finds an aquifer test necessary to determine the effects which the proposed withdrawal has on other water uses. The applicant may be required to construct, develop, and maintain adequate observation wells for use in an aquifer test and for subsequent water level measurements or water quality monitoring. An applicant shall be responsible for obtaining a registration for an aquifer test as provided in </w:t>
      </w:r>
      <w:hyperlink r:id="rId19">
        <w:r>
          <w:rPr>
            <w:rStyle w:val="Hyperlink"/>
            <w:rFonts w:ascii="Times New Roman" w:hAnsi="Times New Roman"/>
            <w:b w:val="false"/>
            <w:i w:val="false"/>
            <w:color w:val="000000"/>
            <w:sz w:val="22"/>
          </w:rPr>
          <w:t>567—subrule 51.6(5)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information about surrounding wells. </w:t>
      </w:r>
      <w:r>
        <w:rPr>
          <w:rFonts w:ascii="Times New Roman" w:hAnsi="Times New Roman"/>
          <w:b w:val="false"/>
          <w:i w:val="false"/>
          <w:color w:val="000000"/>
          <w:sz w:val="22"/>
        </w:rPr>
        <w:t>An applicant who requests a permit authorizing withdrawals of groundwater from a well or reservoir may be required to assist the department in conducting an inventory of nearby wells within a designated radius of the proposed site. The need for an inventory and the appropriate radius will be determined after considering the known characteristics of the aquifer which the applicant proposes as a source of water and the rate and amount of the proposed withdrawals. The department shall provide a map specifying the area within which an inventory is proposed and forms specifying the information to be gathered in the inventory. The department shall also provide to the applicant a description of regulated uses within the inventory area. The applicant shall make a good faith effort to assist the department in obtaining available information from public records to identify landowners and occupants and from drilling contractors or pump installers identified by a landowner or occupant responding to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an irrigation permit. </w:t>
      </w:r>
      <w:r>
        <w:rPr>
          <w:rFonts w:ascii="Times New Roman" w:hAnsi="Times New Roman"/>
          <w:b w:val="false"/>
          <w:i w:val="false"/>
          <w:color w:val="000000"/>
          <w:sz w:val="22"/>
        </w:rPr>
        <w:t>An applicant who proposes to irrigate crops on land which includes soils more erodible than Capability Subclass IIe as defined by the U.S.D.A. Natural Resources Conservation Service (NRCS), or slopes greater than 6 percent where a modern NRCS Soil Survey is not available, shall submit a soil conservation plan prepared with the assistance of the NRCS for the land in which crop irrigation is proposed. The plan shall be accompanied by the applicant’s written explanation of how operation of the proposed irrigation system will be compatible with the conservation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permit to dewater a rock quarry. </w:t>
      </w:r>
      <w:r>
        <w:rPr>
          <w:rFonts w:ascii="Times New Roman" w:hAnsi="Times New Roman"/>
          <w:b w:val="false"/>
          <w:i w:val="false"/>
          <w:color w:val="000000"/>
          <w:sz w:val="22"/>
        </w:rPr>
        <w:t xml:space="preserve">Iowa Code section </w:t>
      </w:r>
      <w:hyperlink r:id="rId20">
        <w:r>
          <w:rPr>
            <w:rStyle w:val="Hyperlink"/>
            <w:rFonts w:ascii="Times New Roman" w:hAnsi="Times New Roman"/>
            <w:b w:val="false"/>
            <w:i w:val="false"/>
            <w:color w:val="000000"/>
            <w:sz w:val="22"/>
          </w:rPr>
          <w:t>455B.268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567—Chapter 51</w:t>
        </w:r>
      </w:hyperlink>
      <w:r>
        <w:rPr>
          <w:rFonts w:ascii="Times New Roman" w:hAnsi="Times New Roman"/>
          <w:b w:val="false"/>
          <w:i w:val="false"/>
          <w:color w:val="000000"/>
          <w:sz w:val="22"/>
        </w:rPr>
        <w:t xml:space="preserve"> require that a permit be obtained before diverting water or material from the surface directly into any underground watercourse or basin. When the department investigates an application for a permit to pump water for dewatering of a quarry excavated in carbonate rock, the department shall consider the potential for pollution of an underground watercourse or basin from drainage of surface water into the quarry. If available information, including topographic and subsurface geological information, supports a finding that drainage of surface water into the quarry would constitute a violation of the permit requirement in Iowa Code section </w:t>
      </w:r>
      <w:hyperlink r:id="rId22">
        <w:r>
          <w:rPr>
            <w:rStyle w:val="Hyperlink"/>
            <w:rFonts w:ascii="Times New Roman" w:hAnsi="Times New Roman"/>
            <w:b w:val="false"/>
            <w:i w:val="false"/>
            <w:color w:val="000000"/>
            <w:sz w:val="22"/>
          </w:rPr>
          <w:t>455B.268</w:t>
        </w:r>
      </w:hyperlink>
      <w:r>
        <w:rPr>
          <w:rFonts w:ascii="Times New Roman" w:hAnsi="Times New Roman"/>
          <w:b w:val="false"/>
          <w:i w:val="false"/>
          <w:color w:val="000000"/>
          <w:sz w:val="22"/>
        </w:rPr>
        <w:t xml:space="preserve"> and might cause pollution of an underground watercourse or basin if not controlled, then the department shall require that the applicant either request a permit to authorize a drainage of surface water into the quarry, or construct and maintain a means of controlling surface water which would otherwise drain into the quarry. Examples of suitable methods of controlling surface drainage are low berms or artificial drainage ways constructed as needed to reduce runoff of surface water from adjacent land into the quarry.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permit to divert water into an aquifer not related to the use of an agricultural drainage well. </w:t>
      </w:r>
      <w:r>
        <w:rPr>
          <w:rFonts w:ascii="Times New Roman" w:hAnsi="Times New Roman"/>
          <w:b w:val="false"/>
          <w:i w:val="false"/>
          <w:color w:val="000000"/>
          <w:sz w:val="22"/>
        </w:rPr>
        <w:t>An applicant for a permit to divert water or any other material from the surface into an aquifer not related to the use of an agricultural drainage well shall submit information showing that the requested diversion will not alter the quality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uses that were nonregulated prior to July 1, 1985.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a permit to withdraw water from a protected water source. </w:t>
      </w:r>
      <w:r>
        <w:rPr>
          <w:rFonts w:ascii="Times New Roman" w:hAnsi="Times New Roman"/>
          <w:b w:val="false"/>
          <w:i w:val="false"/>
          <w:color w:val="000000"/>
          <w:sz w:val="22"/>
        </w:rPr>
        <w:t xml:space="preserve">An applicant for a permit to withdraw water from a protected water source designated in rule </w:t>
      </w:r>
      <w:hyperlink r:id="rId23">
        <w:r>
          <w:rPr>
            <w:rStyle w:val="Hyperlink"/>
            <w:rFonts w:ascii="Times New Roman" w:hAnsi="Times New Roman"/>
            <w:b w:val="false"/>
            <w:i w:val="false"/>
            <w:color w:val="000000"/>
            <w:sz w:val="22"/>
          </w:rPr>
          <w:t>567—53.7(455B)</w:t>
        </w:r>
      </w:hyperlink>
      <w:r>
        <w:rPr>
          <w:rFonts w:ascii="Times New Roman" w:hAnsi="Times New Roman"/>
          <w:b w:val="false"/>
          <w:i w:val="false"/>
          <w:color w:val="000000"/>
          <w:sz w:val="22"/>
        </w:rPr>
        <w:t xml:space="preserve"> may be required to provide specific information to support the application as required by rule </w:t>
      </w:r>
      <w:hyperlink r:id="rId24">
        <w:r>
          <w:rPr>
            <w:rStyle w:val="Hyperlink"/>
            <w:rFonts w:ascii="Times New Roman" w:hAnsi="Times New Roman"/>
            <w:b w:val="false"/>
            <w:i w:val="false"/>
            <w:color w:val="000000"/>
            <w:sz w:val="22"/>
          </w:rPr>
          <w:t>567—53.5(455B)</w:t>
        </w:r>
      </w:hyperlink>
      <w:r>
        <w:rPr>
          <w:rFonts w:ascii="Times New Roman" w:hAnsi="Times New Roman"/>
          <w:b w:val="false"/>
          <w:i w:val="false"/>
          <w:color w:val="000000"/>
          <w:sz w:val="22"/>
        </w:rPr>
        <w:t xml:space="preserve"> or rule </w:t>
      </w:r>
      <w:hyperlink r:id="rId25">
        <w:r>
          <w:rPr>
            <w:rStyle w:val="Hyperlink"/>
            <w:rFonts w:ascii="Times New Roman" w:hAnsi="Times New Roman"/>
            <w:b w:val="false"/>
            <w:i w:val="false"/>
            <w:color w:val="000000"/>
            <w:sz w:val="22"/>
          </w:rPr>
          <w:t>567—53.7(455B)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50.6(7)</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permit to divert water into an aquifer related to the use of an agricultural drainage well. </w:t>
      </w:r>
      <w:r>
        <w:rPr>
          <w:rFonts w:ascii="Times New Roman" w:hAnsi="Times New Roman"/>
          <w:b w:val="false"/>
          <w:i w:val="false"/>
          <w:color w:val="000000"/>
          <w:sz w:val="22"/>
        </w:rPr>
        <w:t>An applicant for a permit to divert water or any other material into an aquifer by means of an agricultural drainage well shall submit the following information. The locations of the features as listed below shall be shown on a map drawn to scale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Location of the agricultural drainage well to at least the nearest quarter-quarter section, township and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Diameter and depth of the agricultural drainage well,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Description and ownership of the lands which are drained by the agricultural drainage well and the associated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Location of tiles which drain to the agricultural drainage well, if known, and the location of any existing surface water intakes.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location and description of any earthen storage structures, confinement feeding operations, or open feedlots within the agricultural drainage well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any known connections between the agricultural drainage well or its drainage system and wastewater disposal or storage systems such as septic tanks and the location of such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any agreements between the well owner and adjacent landowners who have lands which are drained by the agricultural drainage well and associated tile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available information regarding the economic and physical feasibility of closing the agricultural drainage well.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567—50.7</w:t>
      </w:r>
      <w:r>
        <w:rPr>
          <w:rFonts w:ascii="Times New Roman" w:hAnsi="Times New Roman"/>
          <w:b/>
          <w:i w:val="false"/>
          <w:color w:val="000000"/>
          <w:sz w:val="22"/>
        </w:rPr>
        <w:t xml:space="preserve">(17A,455B) </w:t>
      </w:r>
      <w:r>
        <w:rPr>
          <w:rFonts w:ascii="Times New Roman" w:hAnsi="Times New Roman"/>
          <w:b/>
          <w:i w:val="false"/>
          <w:color w:val="000000"/>
          <w:sz w:val="22"/>
        </w:rPr>
        <w:t xml:space="preserve">Review of complete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w:t>
      </w:r>
      <w:r>
        <w:rPr>
          <w:rFonts w:ascii="Times New Roman" w:hAnsi="Times New Roman"/>
          <w:b w:val="false"/>
          <w:i w:val="false"/>
          <w:color w:val="000000"/>
          <w:sz w:val="22"/>
        </w:rPr>
        <w:t> </w:t>
      </w:r>
      <w:r>
        <w:rPr>
          <w:rFonts w:ascii="Times New Roman" w:hAnsi="Times New Roman"/>
          <w:b w:val="false"/>
          <w:i/>
          <w:color w:val="000000"/>
          <w:sz w:val="22"/>
        </w:rPr>
        <w:t xml:space="preserve">Order of processing. </w:t>
      </w:r>
      <w:r>
        <w:rPr>
          <w:rFonts w:ascii="Times New Roman" w:hAnsi="Times New Roman"/>
          <w:b w:val="false"/>
          <w:i w:val="false"/>
          <w:color w:val="000000"/>
          <w:sz w:val="22"/>
        </w:rPr>
        <w:t>In general, complete applications including all requested supporting information shall be reviewed in the order that complete information is received. However, when there are a large number of pending applications, which precludes the department from promptly processing all applications, the department may expedite review of a particular application out of order if the completed application and supporting documents were submitted at the earliest practicable time and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Relatively little staff review time (generally less than four hours) is required and delay will cause the applicant hardship;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can demonstrate that a delay in the permit will result in a substantial cost increase of a large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Prompt review of the permit would result in earlier completion of a project that conveys a significant public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a permit is the result of an unforeseen emergency or catastrophic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permit is needed to complete a project that will abate or prevent an imminent threat to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w:t>
      </w:r>
      <w:r>
        <w:rPr>
          <w:rFonts w:ascii="Times New Roman" w:hAnsi="Times New Roman"/>
          <w:b w:val="false"/>
          <w:i w:val="false"/>
          <w:color w:val="000000"/>
          <w:sz w:val="22"/>
        </w:rPr>
        <w:t> </w:t>
      </w:r>
      <w:r>
        <w:rPr>
          <w:rFonts w:ascii="Times New Roman" w:hAnsi="Times New Roman"/>
          <w:b w:val="false"/>
          <w:i/>
          <w:color w:val="000000"/>
          <w:sz w:val="22"/>
        </w:rPr>
        <w:t xml:space="preserve">Summary report of application review. </w:t>
      </w:r>
      <w:r>
        <w:rPr>
          <w:rFonts w:ascii="Times New Roman" w:hAnsi="Times New Roman"/>
          <w:b w:val="false"/>
          <w:i w:val="false"/>
          <w:color w:val="000000"/>
          <w:sz w:val="22"/>
        </w:rPr>
        <w:t xml:space="preserve">Before an initial decision is issued on an application, personnel assigned to review an application shall prepare a summary report which shall state whether the withdrawal, diversion, or use of water as described in the complete application conforms to relevant criteria. The report shall identify the information used to determine the potential for a proposed use of water to adversely affect other water users. For an application to withdraw groundwater, the report shall describe the effects on water levels anticipated to occur from the proposed use; indicate if verified well interference has been found; and provide options for resolving any verified well interference in accordance with </w:t>
      </w:r>
      <w:hyperlink r:id="rId26">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w:t>
      </w:r>
      <w:r>
        <w:rPr>
          <w:rFonts w:ascii="Times New Roman" w:hAnsi="Times New Roman"/>
          <w:b w:val="false"/>
          <w:i w:val="false"/>
          <w:color w:val="000000"/>
          <w:sz w:val="22"/>
        </w:rPr>
        <w:t> </w:t>
      </w:r>
      <w:r>
        <w:rPr>
          <w:rFonts w:ascii="Times New Roman" w:hAnsi="Times New Roman"/>
          <w:b w:val="false"/>
          <w:i/>
          <w:color w:val="000000"/>
          <w:sz w:val="22"/>
        </w:rPr>
        <w:t xml:space="preserve">Public notice of recommendation to issue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permits and modifications of permits. </w:t>
      </w:r>
    </w:p>
    <w:p>
      <w:pPr>
        <w:spacing w:before="0" w:after="0"/>
        <w:ind w:left="120"/>
        <w:jc w:val="both"/>
      </w:pPr>
      <w:r>
        <w:rPr>
          <w:rFonts w:ascii="Times New Roman" w:hAnsi="Times New Roman"/>
          <w:b w:val="false"/>
          <w:i w:val="false"/>
          <w:color w:val="000000"/>
          <w:sz w:val="22"/>
        </w:rPr>
        <w:t xml:space="preserve"> Prior to the issuance of a permit to withdraw, divert or inject water, the department shall publish a notice of recommendation to grant a permit. The notice shall summarize the application and the recommendations in the summary report. The notice shall allow 20 days to request a copy of the summary report and submit comments on the report. The department may extend the comment period upon request for good cause. The notice may be published in a newspaper circulated in the locality of the proposed water source, or the department may use other methods of publishing the notice to ensure adequate notice to the affected public. The notice shall be sent to any person who has requested a copy of the notice concerning the particular water use under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renewals. </w:t>
      </w:r>
      <w:r>
        <w:rPr>
          <w:rFonts w:ascii="Times New Roman" w:hAnsi="Times New Roman"/>
          <w:b w:val="false"/>
          <w:i w:val="false"/>
          <w:color w:val="000000"/>
          <w:sz w:val="22"/>
        </w:rPr>
        <w:t xml:space="preserve">The notice provisions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shall apply to requests for permit renewals except that the department need not publish notice of recommendation to grant a renewal permit which does not involve modification of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w:t>
      </w:r>
      <w:r>
        <w:rPr>
          <w:rFonts w:ascii="Times New Roman" w:hAnsi="Times New Roman"/>
          <w:b w:val="false"/>
          <w:i w:val="false"/>
          <w:color w:val="000000"/>
          <w:sz w:val="22"/>
        </w:rPr>
        <w:t> </w:t>
      </w:r>
      <w:r>
        <w:rPr>
          <w:rFonts w:ascii="Times New Roman" w:hAnsi="Times New Roman"/>
          <w:b w:val="false"/>
          <w:i/>
          <w:color w:val="000000"/>
          <w:sz w:val="22"/>
        </w:rPr>
        <w:t xml:space="preserve">Notice to the applicant that proposed withdrawal, diversion or use of water does not conform to criteria. </w:t>
      </w:r>
      <w:r>
        <w:rPr>
          <w:rFonts w:ascii="Times New Roman" w:hAnsi="Times New Roman"/>
          <w:b w:val="false"/>
          <w:i w:val="false"/>
          <w:color w:val="000000"/>
          <w:sz w:val="22"/>
        </w:rPr>
        <w:t>If the application review discloses that the proposed withdrawal, diversion or use of water violates one or more criteria and the application should therefore be disapproved, or approved only subject to special conditions to which the applicant has not agreed, the department shall notify the applicant and, when practical, suggest appropriate project modifications. The department shall offer the applicant an opportunity to submit comments before an initial decision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uses that were nonregulated prior to July 1, 1985.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5052C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567—50.8</w:t>
      </w:r>
      <w:r>
        <w:rPr>
          <w:rFonts w:ascii="Times New Roman" w:hAnsi="Times New Roman"/>
          <w:b/>
          <w:i w:val="false"/>
          <w:color w:val="000000"/>
          <w:sz w:val="22"/>
        </w:rPr>
        <w:t xml:space="preserve">(17A,455B) </w:t>
      </w:r>
      <w:r>
        <w:rPr>
          <w:rFonts w:ascii="Times New Roman" w:hAnsi="Times New Roman"/>
          <w:b/>
          <w:i w:val="false"/>
          <w:color w:val="000000"/>
          <w:sz w:val="22"/>
        </w:rPr>
        <w:t xml:space="preserve">Initial decision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50.8(1)</w:t>
      </w:r>
      <w:r>
        <w:rPr>
          <w:rFonts w:ascii="Times New Roman" w:hAnsi="Times New Roman"/>
          <w:b w:val="false"/>
          <w:i w:val="false"/>
          <w:color w:val="000000"/>
          <w:sz w:val="22"/>
        </w:rPr>
        <w:t> </w:t>
      </w:r>
      <w:r>
        <w:rPr>
          <w:rFonts w:ascii="Times New Roman" w:hAnsi="Times New Roman"/>
          <w:b w:val="false"/>
          <w:i/>
          <w:color w:val="000000"/>
          <w:sz w:val="22"/>
        </w:rPr>
        <w:t xml:space="preserve">Form of decision. </w:t>
      </w:r>
      <w:r>
        <w:rPr>
          <w:rFonts w:ascii="Times New Roman" w:hAnsi="Times New Roman"/>
          <w:b w:val="false"/>
          <w:i w:val="false"/>
          <w:color w:val="000000"/>
          <w:sz w:val="22"/>
        </w:rPr>
        <w:t xml:space="preserve">The initial decision on an application shall be a permit or disapproval issued by the department. Each permit shall include appropriate standard and special conditions consistent with Iowa Code sections </w:t>
      </w:r>
      <w:hyperlink r:id="rId27">
        <w:r>
          <w:rPr>
            <w:rStyle w:val="Hyperlink"/>
            <w:rFonts w:ascii="Times New Roman" w:hAnsi="Times New Roman"/>
            <w:b w:val="false"/>
            <w:i w:val="false"/>
            <w:color w:val="000000"/>
            <w:sz w:val="22"/>
          </w:rPr>
          <w:t>455B.261 to 455B.274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567—Chapters 52</w:t>
        </w:r>
      </w:hyperlink>
      <w:r>
        <w:rPr>
          <w:rFonts w:ascii="Times New Roman" w:hAnsi="Times New Roman"/>
          <w:b w:val="false"/>
          <w:i w:val="false"/>
          <w:color w:val="000000"/>
          <w:sz w:val="22"/>
        </w:rPr>
        <w:t xml:space="preserve"> to </w:t>
      </w:r>
      <w:hyperlink r:id="rId30">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The decision may incorporate by reference and attachment the summary report described in </w:t>
      </w:r>
      <w:hyperlink r:id="rId31">
        <w:r>
          <w:rPr>
            <w:rStyle w:val="Hyperlink"/>
            <w:rFonts w:ascii="Times New Roman" w:hAnsi="Times New Roman"/>
            <w:b w:val="false"/>
            <w:i w:val="false"/>
            <w:color w:val="000000"/>
            <w:sz w:val="22"/>
          </w:rPr>
          <w:t>50.7(2)</w:t>
        </w:r>
      </w:hyperlink>
      <w:r>
        <w:rPr>
          <w:rFonts w:ascii="Times New Roman" w:hAnsi="Times New Roman"/>
          <w:b w:val="false"/>
          <w:i w:val="false"/>
          <w:color w:val="000000"/>
          <w:sz w:val="22"/>
        </w:rPr>
        <w:t>. Each decision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Determinations as to whether the project satisfies all relevant criteria not addressed in an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purpose for imposing each special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Explanation of consideration given to all comments submitted pursuant to </w:t>
      </w:r>
      <w:hyperlink r:id="rId32">
        <w:r>
          <w:rPr>
            <w:rStyle w:val="Hyperlink"/>
            <w:rFonts w:ascii="Times New Roman" w:hAnsi="Times New Roman"/>
            <w:b w:val="false"/>
            <w:i w:val="false"/>
            <w:color w:val="000000"/>
            <w:sz w:val="22"/>
          </w:rPr>
          <w:t>50.7(3)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50.7(4)</w:t>
        </w:r>
      </w:hyperlink>
      <w:r>
        <w:rPr>
          <w:rFonts w:ascii="Times New Roman" w:hAnsi="Times New Roman"/>
          <w:b w:val="false"/>
          <w:i w:val="false"/>
          <w:color w:val="000000"/>
          <w:sz w:val="22"/>
        </w:rPr>
        <w:t xml:space="preserve"> unless the comments are adequately addressed in the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w:t>
      </w:r>
      <w:r>
        <w:rPr>
          <w:rFonts w:ascii="Times New Roman" w:hAnsi="Times New Roman"/>
          <w:b w:val="false"/>
          <w:i w:val="false"/>
          <w:color w:val="000000"/>
          <w:sz w:val="22"/>
        </w:rPr>
        <w:t> </w:t>
      </w:r>
      <w:r>
        <w:rPr>
          <w:rFonts w:ascii="Times New Roman" w:hAnsi="Times New Roman"/>
          <w:b w:val="false"/>
          <w:i/>
          <w:color w:val="000000"/>
          <w:sz w:val="22"/>
        </w:rPr>
        <w:t xml:space="preserve">Notice of initial decision. </w:t>
      </w:r>
      <w:r>
        <w:rPr>
          <w:rFonts w:ascii="Times New Roman" w:hAnsi="Times New Roman"/>
          <w:b w:val="false"/>
          <w:i w:val="false"/>
          <w:color w:val="000000"/>
          <w:sz w:val="22"/>
        </w:rPr>
        <w:t xml:space="preserve">Copies of the initial decision shall be mailed to the applicant, any person who commented pursuant to </w:t>
      </w:r>
      <w:hyperlink r:id="rId34">
        <w:r>
          <w:rPr>
            <w:rStyle w:val="Hyperlink"/>
            <w:rFonts w:ascii="Times New Roman" w:hAnsi="Times New Roman"/>
            <w:b w:val="false"/>
            <w:i w:val="false"/>
            <w:color w:val="000000"/>
            <w:sz w:val="22"/>
          </w:rPr>
          <w:t>50.7(3)</w:t>
        </w:r>
      </w:hyperlink>
      <w:r>
        <w:rPr>
          <w:rFonts w:ascii="Times New Roman" w:hAnsi="Times New Roman"/>
          <w:b w:val="false"/>
          <w:i w:val="false"/>
          <w:color w:val="000000"/>
          <w:sz w:val="22"/>
        </w:rPr>
        <w:t xml:space="preserve">, and any other person who has requested a copy of the decision. The decision shall be accompanied by a certification of the date of mailing. An initial decision becomes the final decision of the department unless a timely notice of appeal is filed in accordance with </w:t>
      </w:r>
      <w:hyperlink r:id="rId35">
        <w:r>
          <w:rPr>
            <w:rStyle w:val="Hyperlink"/>
            <w:rFonts w:ascii="Times New Roman" w:hAnsi="Times New Roman"/>
            <w:b w:val="false"/>
            <w:i w:val="false"/>
            <w:color w:val="000000"/>
            <w:sz w:val="22"/>
          </w:rPr>
          <w:t>567—50.9</w:t>
        </w:r>
      </w:hyperlink>
      <w:r>
        <w:rPr>
          <w:rFonts w:ascii="Times New Roman" w:hAnsi="Times New Roman"/>
          <w:b w:val="false"/>
          <w:i w:val="false"/>
          <w:color w:val="000000"/>
          <w:sz w:val="22"/>
        </w:rPr>
        <w:t>(17A,455B). The final decision may be filed with the appropriate county recorder to give constructive notice to future landowners of any conditions or requirements imposed by the final decision.</w:t>
      </w:r>
    </w:p>
    <w:p>
      <w:pPr>
        <w:spacing w:before="210" w:after="0"/>
        <w:ind w:left="120"/>
        <w:jc w:val="both"/>
      </w:pPr>
      <w:r>
        <w:rPr>
          <w:rFonts w:ascii="Times New Roman" w:hAnsi="Times New Roman"/>
          <w:b/>
          <w:i w:val="false"/>
          <w:color w:val="000000"/>
          <w:sz w:val="22"/>
        </w:rPr>
        <w:t>567—50.9</w:t>
      </w:r>
      <w:r>
        <w:rPr>
          <w:rFonts w:ascii="Times New Roman" w:hAnsi="Times New Roman"/>
          <w:b/>
          <w:i w:val="false"/>
          <w:color w:val="000000"/>
          <w:sz w:val="22"/>
        </w:rPr>
        <w:t xml:space="preserve">(17A,455B) </w:t>
      </w:r>
      <w:r>
        <w:rPr>
          <w:rFonts w:ascii="Times New Roman" w:hAnsi="Times New Roman"/>
          <w:b/>
          <w:i w:val="false"/>
          <w:color w:val="000000"/>
          <w:sz w:val="22"/>
        </w:rPr>
        <w:t xml:space="preserve">Appeal of initial decision. </w:t>
      </w:r>
      <w:r>
        <w:rPr>
          <w:rFonts w:ascii="Times New Roman" w:hAnsi="Times New Roman"/>
          <w:b w:val="false"/>
          <w:i w:val="false"/>
          <w:color w:val="000000"/>
          <w:sz w:val="22"/>
        </w:rPr>
        <w:t xml:space="preserve">Any person aggrieved by an initial decision issued under </w:t>
      </w:r>
      <w:hyperlink r:id="rId36">
        <w:r>
          <w:rPr>
            <w:rStyle w:val="Hyperlink"/>
            <w:rFonts w:ascii="Times New Roman" w:hAnsi="Times New Roman"/>
            <w:b w:val="false"/>
            <w:i w:val="false"/>
            <w:color w:val="000000"/>
            <w:sz w:val="22"/>
          </w:rPr>
          <w:t>567—50.8</w:t>
        </w:r>
      </w:hyperlink>
      <w:r>
        <w:rPr>
          <w:rFonts w:ascii="Times New Roman" w:hAnsi="Times New Roman"/>
          <w:b w:val="false"/>
          <w:i w:val="false"/>
          <w:color w:val="000000"/>
          <w:sz w:val="22"/>
        </w:rPr>
        <w:t xml:space="preserve">(17A,455B) may file a notice of appeal with the director. The notice of appeal must be filed within 30 days following the certified date of mailing of the decision unless the appellant shows good cause for failure to receive actual notice and file within the allowed time. The form of the notice of appeal and appeal procedures are governed by </w:t>
      </w:r>
      <w:hyperlink r:id="rId37">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The department shall mail a copy of the notice of appeal to each person who commented on the application. If the appeal is from denial of a permit and a notice of recommendation to grant a permit was not published, the department shall publish the notice of commencement of a contested case and provide an opportunity for interested people to seek intervention in the contested case.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455B.105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455B.264 to 455B.274</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 xml:space="preserve"> and chapter </w:t>
      </w:r>
      <w:hyperlink r:id="rId45">
        <w:r>
          <w:rPr>
            <w:rStyle w:val="Hyperlink"/>
            <w:rFonts w:ascii="Times New Roman" w:hAnsi="Times New Roman"/>
            <w:b w:val="false"/>
            <w:i w:val="false"/>
            <w:color w:val="000000"/>
            <w:sz w:val="22"/>
          </w:rPr>
          <w:t>460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11/1/85, Notice 7/31/85—published 11/20/85, effective 12/15/85]</w:t>
      </w:r>
    </w:p>
    <w:p>
      <w:pPr>
        <w:spacing w:before="0" w:after="0"/>
        <w:ind w:left="120"/>
        <w:jc w:val="center"/>
      </w:pPr>
      <w:r>
        <w:rPr>
          <w:rFonts w:ascii="Times New Roman" w:hAnsi="Times New Roman"/>
          <w:b w:val="false"/>
          <w:i w:val="false"/>
          <w:color w:val="000000"/>
          <w:sz w:val="21"/>
        </w:rPr>
        <w:t>[Filed 5/2/86, Notice 1/1/86—published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10/2/87, Notice 6/17/87—published 10/21/87, effective 11/25/87]</w:t>
      </w:r>
    </w:p>
    <w:p>
      <w:pPr>
        <w:spacing w:before="0" w:after="0"/>
        <w:ind w:left="120"/>
        <w:jc w:val="center"/>
      </w:pPr>
      <w:r>
        <w:rPr>
          <w:rFonts w:ascii="Times New Roman" w:hAnsi="Times New Roman"/>
          <w:b w:val="false"/>
          <w:i w:val="false"/>
          <w:color w:val="000000"/>
          <w:sz w:val="21"/>
        </w:rPr>
        <w:t>[Filed emergency 10/23/87—published 11/18/87, effective 10/23/87]</w:t>
      </w:r>
    </w:p>
    <w:p>
      <w:pPr>
        <w:spacing w:before="0" w:after="0"/>
        <w:ind w:left="120"/>
        <w:jc w:val="center"/>
      </w:pPr>
      <w:r>
        <w:rPr>
          <w:rFonts w:ascii="Times New Roman" w:hAnsi="Times New Roman"/>
          <w:b w:val="false"/>
          <w:i w:val="false"/>
          <w:color w:val="000000"/>
          <w:sz w:val="21"/>
        </w:rPr>
        <w:t>[Filed without Notice 4/23/93—published 5/12/93, effective 7/1/93]</w:t>
      </w:r>
    </w:p>
    <w:p>
      <w:pPr>
        <w:spacing w:before="0" w:after="0"/>
        <w:ind w:left="120"/>
        <w:jc w:val="center"/>
      </w:pPr>
      <w:r>
        <w:rPr>
          <w:rFonts w:ascii="Times New Roman" w:hAnsi="Times New Roman"/>
          <w:b w:val="false"/>
          <w:i w:val="false"/>
          <w:color w:val="000000"/>
          <w:sz w:val="21"/>
        </w:rPr>
        <w:t>[Filed 12/19/97, Notice 9/10/97—published 1/14/98, effective 2/18/98]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7/24/98—published 8/12/98, effective 7/24/98]</w:t>
      </w:r>
    </w:p>
    <w:p>
      <w:pPr>
        <w:spacing w:before="0" w:after="0"/>
        <w:ind w:left="120"/>
        <w:jc w:val="center"/>
      </w:pPr>
      <w:r>
        <w:rPr>
          <w:rFonts w:ascii="Times New Roman" w:hAnsi="Times New Roman"/>
          <w:b w:val="false"/>
          <w:i w:val="false"/>
          <w:color w:val="000000"/>
          <w:sz w:val="21"/>
        </w:rPr>
        <w:t>[Filed 5/17/06, Notice 3/15/06—published 6/7/06, effective 7/12/06]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8/20/08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7694B</w:t>
      </w:r>
      <w:r>
        <w:rPr>
          <w:rFonts w:ascii="Times New Roman" w:hAnsi="Times New Roman"/>
          <w:b w:val="false"/>
          <w:i w:val="false"/>
          <w:color w:val="000000"/>
          <w:sz w:val="21"/>
        </w:rPr>
        <w:t xml:space="preserve"> (Notice ARC 7307B, IAB 11/5/08)</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2053C</w:t>
      </w:r>
      <w:r>
        <w:rPr>
          <w:rFonts w:ascii="Times New Roman" w:hAnsi="Times New Roman"/>
          <w:b w:val="false"/>
          <w:i w:val="false"/>
          <w:color w:val="000000"/>
          <w:sz w:val="21"/>
        </w:rPr>
        <w:t xml:space="preserve"> (Notice ARC 1914C, IAB 3/18/15)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5052C</w:t>
      </w:r>
      <w:r>
        <w:rPr>
          <w:rFonts w:ascii="Times New Roman" w:hAnsi="Times New Roman"/>
          <w:b w:val="false"/>
          <w:i w:val="false"/>
          <w:color w:val="000000"/>
          <w:sz w:val="21"/>
        </w:rPr>
        <w:t xml:space="preserve"> (Notice ARC 4919C,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pBdr>
          <w:bottom w:space="2"/>
        </w:pBdr>
        <w:spacing w:before="0" w:after="0"/>
        <w:ind w:left="120"/>
        <w:jc w:val="both"/>
      </w:pPr>
      <w:r>
        <w:rPr>
          <w:rFonts w:ascii="Times New Roman" w:hAnsi="Times New Roman"/>
          <w:b w:val="false"/>
          <w:i w:val="false"/>
          <w:color w:val="000000"/>
          <w:sz w:val="22"/>
        </w:rPr>
        <w:t>At its meeting held 2/9/98, the Administrative Rules Review Committee delayed 50.2, eight definitions, 50.3(1), 50.4, 50.6(4), 50.6(7), 50.7(2), 50.7(4) and 50.8(2) until adjournment of the 1998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82.pdf" Type="http://schemas.openxmlformats.org/officeDocument/2006/relationships/hyperlink" Id="rId5"/>
    <Relationship TargetMode="External" Target="https://www.legis.iowa.gov/docs/iac/chapter/567.65.pdf" Type="http://schemas.openxmlformats.org/officeDocument/2006/relationships/hyperlink" Id="rId6"/>
    <Relationship TargetMode="External" Target="https://www.legis.iowa.gov/docs/iac/chapter/567.51.pdf" Type="http://schemas.openxmlformats.org/officeDocument/2006/relationships/hyperlink" Id="rId7"/>
    <Relationship TargetMode="External" Target="https://www.legis.iowa.gov/docs/iac/chapter/567.52.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B.261.pdf" Type="http://schemas.openxmlformats.org/officeDocument/2006/relationships/hyperlink" Id="rId10"/>
    <Relationship TargetMode="External" Target="https://www.legis.iowa.gov/docs/ico/chapter/455B.261.pdf" Type="http://schemas.openxmlformats.org/officeDocument/2006/relationships/hyperlink" Id="rId11"/>
    <Relationship TargetMode="External" Target="https://www.legis.iowa.gov/docs/iac/rule/567.73.10.pdf" Type="http://schemas.openxmlformats.org/officeDocument/2006/relationships/hyperlink" Id="rId12"/>
    <Relationship TargetMode="External" Target="https://www.legis.iowa.gov/docs/iac/rule/567.50.6.pdf" Type="http://schemas.openxmlformats.org/officeDocument/2006/relationships/hyperlink" Id="rId13"/>
    <Relationship TargetMode="External" Target="https://www.legis.iowa.gov/docs/ico/chapter/455B.264.pdf" Type="http://schemas.openxmlformats.org/officeDocument/2006/relationships/hyperlink" Id="rId14"/>
    <Relationship TargetMode="External" Target="https://www.legis.iowa.gov/docs/ico/chapter/455B.281.pdf" Type="http://schemas.openxmlformats.org/officeDocument/2006/relationships/hyperlink" Id="rId15"/>
    <Relationship TargetMode="External" Target="https://www.legis.iowa.gov/docs/ico/chapter/455B.262.pdf" Type="http://schemas.openxmlformats.org/officeDocument/2006/relationships/hyperlink" Id="rId16"/>
    <Relationship TargetMode="External" Target="https://www.legis.iowa.gov/docs/iac/chapter/567.54.pdf" Type="http://schemas.openxmlformats.org/officeDocument/2006/relationships/hyperlink" Id="rId17"/>
    <Relationship TargetMode="External" Target="https://www.legis.iowa.gov/docs/iac/rule/567.51.6.pdf" Type="http://schemas.openxmlformats.org/officeDocument/2006/relationships/hyperlink" Id="rId18"/>
    <Relationship TargetMode="External" Target="https://www.legis.iowa.gov/docs/iac/rule/567.51.6.pdf" Type="http://schemas.openxmlformats.org/officeDocument/2006/relationships/hyperlink" Id="rId19"/>
    <Relationship TargetMode="External" Target="https://www.legis.iowa.gov/docs/ico/chapter/455B.268.pdf" Type="http://schemas.openxmlformats.org/officeDocument/2006/relationships/hyperlink" Id="rId20"/>
    <Relationship TargetMode="External" Target="https://www.legis.iowa.gov/docs/iac/chapter/567.51.pdf" Type="http://schemas.openxmlformats.org/officeDocument/2006/relationships/hyperlink" Id="rId21"/>
    <Relationship TargetMode="External" Target="https://www.legis.iowa.gov/docs/ico/chapter/455B.268.pdf" Type="http://schemas.openxmlformats.org/officeDocument/2006/relationships/hyperlink" Id="rId22"/>
    <Relationship TargetMode="External" Target="https://www.legis.iowa.gov/docs/iac/rule/567.53.7.pdf" Type="http://schemas.openxmlformats.org/officeDocument/2006/relationships/hyperlink" Id="rId23"/>
    <Relationship TargetMode="External" Target="https://www.legis.iowa.gov/docs/iac/rule/567.53.5.pdf" Type="http://schemas.openxmlformats.org/officeDocument/2006/relationships/hyperlink" Id="rId24"/>
    <Relationship TargetMode="External" Target="https://www.legis.iowa.gov/docs/iac/rule/567.53.7.pdf" Type="http://schemas.openxmlformats.org/officeDocument/2006/relationships/hyperlink" Id="rId25"/>
    <Relationship TargetMode="External" Target="https://www.legis.iowa.gov/docs/iac/chapter/567.54.pdf" Type="http://schemas.openxmlformats.org/officeDocument/2006/relationships/hyperlink" Id="rId26"/>
    <Relationship TargetMode="External" Target="https://www.legis.iowa.gov/docs/ico/chapter/455B.261-274.pdf" Type="http://schemas.openxmlformats.org/officeDocument/2006/relationships/hyperlink" Id="rId27"/>
    <Relationship TargetMode="External" Target="https://www.legis.iowa.gov/docs/ico/chapter/455B.281.pdf" Type="http://schemas.openxmlformats.org/officeDocument/2006/relationships/hyperlink" Id="rId28"/>
    <Relationship TargetMode="External" Target="https://www.legis.iowa.gov/docs/iac/chapter/567.52.pdf" Type="http://schemas.openxmlformats.org/officeDocument/2006/relationships/hyperlink" Id="rId29"/>
    <Relationship TargetMode="External" Target="https://www.legis.iowa.gov/docs/iac/chapter/567.54.pdf" Type="http://schemas.openxmlformats.org/officeDocument/2006/relationships/hyperlink" Id="rId30"/>
    <Relationship TargetMode="External" Target="https://www.legis.iowa.gov/docs/iac/rule/567.50.7.pdf" Type="http://schemas.openxmlformats.org/officeDocument/2006/relationships/hyperlink" Id="rId31"/>
    <Relationship TargetMode="External" Target="https://www.legis.iowa.gov/docs/iac/rule/567.50.7.pdf" Type="http://schemas.openxmlformats.org/officeDocument/2006/relationships/hyperlink" Id="rId32"/>
    <Relationship TargetMode="External" Target="https://www.legis.iowa.gov/docs/iac/rule/567.50.7.pdf" Type="http://schemas.openxmlformats.org/officeDocument/2006/relationships/hyperlink" Id="rId33"/>
    <Relationship TargetMode="External" Target="https://www.legis.iowa.gov/docs/iac/rule/567.50.7.pdf" Type="http://schemas.openxmlformats.org/officeDocument/2006/relationships/hyperlink" Id="rId34"/>
    <Relationship TargetMode="External" Target="https://www.legis.iowa.gov/docs/iac/rule/567.50.9.pdf" Type="http://schemas.openxmlformats.org/officeDocument/2006/relationships/hyperlink" Id="rId35"/>
    <Relationship TargetMode="External" Target="https://www.legis.iowa.gov/docs/iac/rule/567.50.8.pdf" Type="http://schemas.openxmlformats.org/officeDocument/2006/relationships/hyperlink" Id="rId36"/>
    <Relationship TargetMode="External" Target="https://www.legis.iowa.gov/docs/iac/chapter/567.7.pdf" Type="http://schemas.openxmlformats.org/officeDocument/2006/relationships/hyperlink" Id="rId37"/>
    <Relationship TargetMode="External" Target="https://www.legis.iowa.gov/docs/ico/chapter/17A.3.pdf" Type="http://schemas.openxmlformats.org/officeDocument/2006/relationships/hyperlink" Id="rId38"/>
    <Relationship TargetMode="External" Target="https://www.legis.iowa.gov/docs/ico/chapter/455B.105.pdf" Type="http://schemas.openxmlformats.org/officeDocument/2006/relationships/hyperlink" Id="rId39"/>
    <Relationship TargetMode="External" Target="https://www.legis.iowa.gov/docs/ico/chapter/455B.171.pdf" Type="http://schemas.openxmlformats.org/officeDocument/2006/relationships/hyperlink" Id="rId40"/>
    <Relationship TargetMode="External" Target="https://www.legis.iowa.gov/docs/ico/chapter/455B.262.pdf" Type="http://schemas.openxmlformats.org/officeDocument/2006/relationships/hyperlink" Id="rId41"/>
    <Relationship TargetMode="External" Target="https://www.legis.iowa.gov/docs/ico/chapter/455B.264-274.pdf" Type="http://schemas.openxmlformats.org/officeDocument/2006/relationships/hyperlink" Id="rId42"/>
    <Relationship TargetMode="External" Target="https://www.legis.iowa.gov/docs/ico/chapter/455B.278.pdf" Type="http://schemas.openxmlformats.org/officeDocument/2006/relationships/hyperlink" Id="rId43"/>
    <Relationship TargetMode="External" Target="https://www.legis.iowa.gov/docs/ico/chapter/455B.281.pdf" Type="http://schemas.openxmlformats.org/officeDocument/2006/relationships/hyperlink" Id="rId44"/>
    <Relationship TargetMode="External" Target="https://www.legis.iowa.gov/docs/ico/chapter/460.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