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WATER SUPPLIES—DESIGN AND OPERATION</w:t>
      </w:r>
    </w:p>
    <w:p>
      <w:pPr>
        <w:spacing w:before="0" w:after="0"/>
        <w:ind w:left="120"/>
        <w:jc w:val="center"/>
      </w:pPr>
      <w:r>
        <w:rPr>
          <w:rFonts w:ascii="Times New Roman" w:hAnsi="Times New Roman"/>
          <w:b w:val="false"/>
          <w:i w:val="false"/>
          <w:color w:val="000000"/>
          <w:sz w:val="14"/>
        </w:rPr>
        <w:t>[Prior to 12/12/90, portions of this chapter appeared in 567—Ch 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567—43.1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actions regarding water supplies. </w:t>
      </w:r>
      <w:r>
        <w:rPr>
          <w:rFonts w:ascii="Times New Roman" w:hAnsi="Times New Roman"/>
          <w:b w:val="false"/>
          <w:i w:val="false"/>
          <w:color w:val="000000"/>
          <w:sz w:val="22"/>
        </w:rPr>
        <w:t>When, in the opinion of the director, an actual or imminent hazard exists, the supplier of water shall comply with the directives or orders of the director necessary to eliminate or minimize that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color w:val="000000"/>
          <w:sz w:val="22"/>
        </w:rPr>
        <w:t xml:space="preserve">Prohibition on the use of lead pipes, solder and flux. </w:t>
      </w:r>
      <w:r>
        <w:rPr>
          <w:rFonts w:ascii="Times New Roman" w:hAnsi="Times New Roman"/>
          <w:b w:val="false"/>
          <w:i w:val="false"/>
          <w:color w:val="000000"/>
          <w:sz w:val="22"/>
        </w:rPr>
        <w:t xml:space="preserve">Any pipe, solder or flux which is used in the installation or repair of any public water supply system or any plumbing in a residential or nonresidential facility providing water for human consumption which is connected to a public water supply system shall be lead-free as defined in </w:t>
      </w:r>
      <w:hyperlink r:id="rId5">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This action shall not apply to leaded joints necessary for the repair of cast iron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color w:val="000000"/>
          <w:sz w:val="22"/>
        </w:rPr>
        <w:t xml:space="preserve">Use of noncentralized treatment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PWS. </w:t>
      </w:r>
      <w:r>
        <w:rPr>
          <w:rFonts w:ascii="Times New Roman" w:hAnsi="Times New Roman"/>
          <w:b w:val="false"/>
          <w:i w:val="false"/>
          <w:color w:val="000000"/>
          <w:sz w:val="22"/>
        </w:rPr>
        <w:t xml:space="preserve">Community public water systems shall not use bottled water, point-of-use (POU) or point-of-entry (POE) devices to achieve permanent compliance with a maximum contaminant level, action level, or treatment technique requirement in </w:t>
      </w:r>
      <w:hyperlink r:id="rId6">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Noncommunity PWS. </w:t>
      </w:r>
      <w:r>
        <w:rPr>
          <w:rFonts w:ascii="Times New Roman" w:hAnsi="Times New Roman"/>
          <w:b w:val="false"/>
          <w:i w:val="false"/>
          <w:color w:val="000000"/>
          <w:sz w:val="22"/>
        </w:rPr>
        <w:t>Noncommunity public water supply systems may be allowed by the department to use point-of-use devices to achieve MCL compliance provided the contaminant does not pose an imminent threat to health (such as bacteria) nor place a sensitive population at risk (such as infants for nitrate or nitrite).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Reduced monitoring requirements. </w:t>
      </w:r>
      <w:r>
        <w:rPr>
          <w:rFonts w:ascii="Times New Roman" w:hAnsi="Times New Roman"/>
          <w:b w:val="false"/>
          <w:i w:val="false"/>
          <w:color w:val="000000"/>
          <w:sz w:val="22"/>
        </w:rPr>
        <w:t xml:space="preserve">Bottled water, point-of-use, or point-of-entry devices cannot be used to avoid the monitoring requirements of </w:t>
      </w:r>
      <w:hyperlink r:id="rId8">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but the department may allow reduced monitoring requirements in specific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Bottled water requirements. </w:t>
      </w:r>
      <w:r>
        <w:rPr>
          <w:rFonts w:ascii="Times New Roman" w:hAnsi="Times New Roman"/>
          <w:b w:val="false"/>
          <w:i w:val="false"/>
          <w:color w:val="000000"/>
          <w:sz w:val="22"/>
        </w:rPr>
        <w:t xml:space="preserve">The department may require a public water system exceeding a maximum contaminant level, action level, or treatment technique requirement specified in </w:t>
      </w:r>
      <w:hyperlink r:id="rId10">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to use bottled water as a condition of an interim compliance schedule or as a temporary measure to avoid an unreasonable risk to health. Any bottled water must, at a minimum, meet the federal Food and Drug Administration bottled water standards, listed in the Code of Federal Regulations, Title 21, Chapter 165.110. The system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program. Submit for approval to the department a monitoring program for bottled water. The monitoring program must provide reasonable assurances that the bottled water complies with all maximum contaminant levels, action levels, or treatment technique requirements in </w:t>
      </w:r>
      <w:hyperlink r:id="rId12">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The public water system must monitor a representative sample of bottled water for all contaminants regulated under </w:t>
      </w:r>
      <w:hyperlink r:id="rId14">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the first quarter that it supplies the bottled water to the public, and annually thereafter. Results of the monitoring program shall be provided to the department annually. If the bottled water is from a community public water system that currently meets all of the federal Safe Drinking Water Act requirements, the monitoring requirements of this subparagraph shall be waived by the department. The specific supplier of the bottled water must be identified in order for the department to waive the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requirements. The public water system must receive a certification from the bottled water company that the bottled water supplied has been taken from an “approved source”; the bottled water company has conducted monitoring in accordance with </w:t>
      </w:r>
      <w:hyperlink r:id="rId16">
        <w:r>
          <w:rPr>
            <w:rStyle w:val="Hyperlink"/>
            <w:rFonts w:ascii="Times New Roman" w:hAnsi="Times New Roman"/>
            <w:b w:val="false"/>
            <w:i w:val="false"/>
            <w:color w:val="000000"/>
            <w:sz w:val="22"/>
          </w:rPr>
          <w:t>43.1(3)</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the bottled water meets MCLs, action levels, or treatment technique requirements as set out in </w:t>
      </w:r>
      <w:hyperlink r:id="rId17">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The public water system shall provide the certification to the department the first quarter after it supplies bottled water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bottled water to consumers. The public water supply system is fully responsible for the provision of sufficient quantities of bottled water to every person supplied by the public water system via door-to-door bottled water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Point-of-use devices.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Point-of-entry devices.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color w:val="000000"/>
          <w:sz w:val="22"/>
        </w:rPr>
        <w:t xml:space="preserve">Cross-connection control. </w:t>
      </w:r>
      <w:r>
        <w:rPr>
          <w:rFonts w:ascii="Times New Roman" w:hAnsi="Times New Roman"/>
          <w:b w:val="false"/>
          <w:i w:val="false"/>
          <w:color w:val="000000"/>
          <w:sz w:val="22"/>
        </w:rPr>
        <w:t xml:space="preserve">To prevent backflow or backsiphonage of contaminants into a public water supply, connection shall not be permitted between a public water supply and any other system which does not meet the monitoring and drinking water standards required by this chapter except as provided below in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and plumbing systems. </w:t>
      </w:r>
      <w:r>
        <w:rPr>
          <w:rFonts w:ascii="Times New Roman" w:hAnsi="Times New Roman"/>
          <w:b w:val="false"/>
          <w:i w:val="false"/>
          <w:color w:val="000000"/>
          <w:sz w:val="22"/>
        </w:rPr>
        <w:t>Piping systems or plumbing equipment carrying nonpotable water, contaminated water, stagnant water, liquids, mixtures or waste mixtures shall not be connected to a public water supply unless properly equipped with an antisiphon device or backflow preventer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Bulk water loading stations. </w:t>
      </w:r>
      <w:r>
        <w:rPr>
          <w:rFonts w:ascii="Times New Roman" w:hAnsi="Times New Roman"/>
          <w:b w:val="false"/>
          <w:i w:val="false"/>
          <w:color w:val="000000"/>
          <w:sz w:val="22"/>
        </w:rPr>
        <w:t>Positive separation shall be provided through the use of an air gap separation or a backflow preventer, which is acceptable to the department, at all loading stations for bulk transport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Minimum air gap. The minimum required air gap shall be twice the diameter of the discharge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Backflow preventer criteria. An approved backflow preventer for this application shall be a reduced pressure backflow preventer or an antisiphon device which complies with the standards of the American Water Works Association and has been approved by the Foundation for Cross-Connection Control and Hydraulic Research, University of Southern California.</w:t>
      </w:r>
    </w:p>
    <w:p>
      <w:pPr>
        <w:spacing w:before="0" w:after="0"/>
        <w:ind w:left="120"/>
        <w:jc w:val="both"/>
      </w:pPr>
      <w:r>
        <w:rPr>
          <w:rFonts w:ascii="Times New Roman" w:hAnsi="Times New Roman"/>
          <w:b w:val="false"/>
          <w:i w:val="false"/>
          <w:color w:val="000000"/>
          <w:sz w:val="22"/>
        </w:rPr>
        <w:t>When, in the opinion of the department, evidence clearly indicates the source of contamination within the system is the result of a cross-connection, the department may require a public water supply to conduct public notification, identify and eliminate the connection, and implement a systemwide cross-connection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certified operator. </w:t>
      </w:r>
      <w:r>
        <w:rPr>
          <w:rFonts w:ascii="Times New Roman" w:hAnsi="Times New Roman"/>
          <w:b w:val="false"/>
          <w:i w:val="false"/>
          <w:color w:val="000000"/>
          <w:sz w:val="22"/>
        </w:rPr>
        <w:t xml:space="preserve">The department maintains a list of operators who are certified in accordance with </w:t>
      </w:r>
      <w:hyperlink r:id="rId19">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The list includes the operator’s name, certification classification (Water Treatment, Water Distribution, or Grade A Water System), and grade (A, I, II, III, or IV), and is periodically updated during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CWS and NTNC systems. </w:t>
      </w:r>
      <w:r>
        <w:rPr>
          <w:rFonts w:ascii="Times New Roman" w:hAnsi="Times New Roman"/>
          <w:b w:val="false"/>
          <w:i w:val="false"/>
          <w:color w:val="000000"/>
          <w:sz w:val="22"/>
        </w:rPr>
        <w:t xml:space="preserve">All community and nontransient noncommunity public water supply systems must have a certified operator in direct responsible charge of the treatment and distribution systems, in accordance with </w:t>
      </w:r>
      <w:hyperlink r:id="rId20">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TNC systems. </w:t>
      </w:r>
      <w:r>
        <w:rPr>
          <w:rFonts w:ascii="Times New Roman" w:hAnsi="Times New Roman"/>
          <w:b w:val="false"/>
          <w:i w:val="false"/>
          <w:color w:val="000000"/>
          <w:sz w:val="22"/>
        </w:rPr>
        <w:t xml:space="preserve">Any transient noncommunity public water supply system which is owned by the state or federal government, such as a state park, state hospital, or interstate rest stop, or is using a groundwater under the direct influence of surface water or surface water source, must have a certified operator in direct responsible charge of the treatment and distribution systems, in accordance with </w:t>
      </w:r>
      <w:hyperlink r:id="rId23">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Any TNC which uses chlorine dioxide as a disinfectant or oxidant must have a certified operator in direct responsible charge of the system, pursuant to </w:t>
      </w:r>
      <w:hyperlink r:id="rId26">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The department may require any TNC to have a certified operator in direct responsible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w:t>
      </w:r>
      <w:r>
        <w:rPr>
          <w:rFonts w:ascii="Times New Roman" w:hAnsi="Times New Roman"/>
          <w:b w:val="false"/>
          <w:i w:val="false"/>
          <w:color w:val="000000"/>
          <w:sz w:val="22"/>
        </w:rPr>
        <w:t> </w:t>
      </w:r>
      <w:r>
        <w:rPr>
          <w:rFonts w:ascii="Times New Roman" w:hAnsi="Times New Roman"/>
          <w:b w:val="false"/>
          <w:i/>
          <w:color w:val="000000"/>
          <w:sz w:val="22"/>
        </w:rPr>
        <w:t xml:space="preserve">Return water in public water supply systems. </w:t>
      </w:r>
      <w:r>
        <w:rPr>
          <w:rFonts w:ascii="Times New Roman" w:hAnsi="Times New Roman"/>
          <w:b w:val="false"/>
          <w:i w:val="false"/>
          <w:color w:val="000000"/>
          <w:sz w:val="22"/>
        </w:rPr>
        <w:t>Steam condensate, cooling water from engine jackets, water used in conjunction with heat exchange devices, or treated wastewater shall not be returned to the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w:t>
      </w:r>
      <w:r>
        <w:rPr>
          <w:rFonts w:ascii="Times New Roman" w:hAnsi="Times New Roman"/>
          <w:b w:val="false"/>
          <w:i w:val="false"/>
          <w:color w:val="000000"/>
          <w:sz w:val="22"/>
        </w:rPr>
        <w:t> </w:t>
      </w:r>
      <w:r>
        <w:rPr>
          <w:rFonts w:ascii="Times New Roman" w:hAnsi="Times New Roman"/>
          <w:b w:val="false"/>
          <w:i/>
          <w:color w:val="000000"/>
          <w:sz w:val="22"/>
        </w:rPr>
        <w:t xml:space="preserve">Sanitary surveys. </w:t>
      </w:r>
      <w:r>
        <w:rPr>
          <w:rFonts w:ascii="Times New Roman" w:hAnsi="Times New Roman"/>
          <w:b w:val="false"/>
          <w:i w:val="false"/>
          <w:color w:val="000000"/>
          <w:sz w:val="22"/>
        </w:rPr>
        <w:t>Each public water supply system must have a periodic sanitary survey, conducted by the department or its designee, which is a records review and on-site inspection of the system. Systems must provide the department, at its request, any existing information that will enable the department to conduct the sanitary survey. The inspection evaluates the system’s ability to produce and distribute safe drinking water and identifies improvements necessary to maintain or improve drinking water quality. The sanitary survey includes review and inspection of the following areas: water source; treatment facilities; distribution system; finished water storage; pumps, pump facilities, controls and other equipment; monitoring, reporting, and data verification, including self-monitoring requirements; system operation and management; maintenance; properly certified operators; and records. A report of the sanitary survey is issued by the department or its designee, and may include both enforceable required actions for remedying significant deficiencies and nonenforceable recommended actions. The frequency of the sanitary survey inspection must be at least once every five years for noncommunity systems and once every three years for community systems. The department or its designee must provide the system with a written notice describing any significant deficiencies identified no later than 30 days after the department identifies the significant deficiency. The notice may be included in the sanitary survey report and may specify corrective actions and deadlines for completion of corrective actions. Systems must respond in writing to significant deficiencies outlined in the sanitary survey report or written notice within the time period specified in the report, indicating how and on what schedule the system will address significant deficiencies noted in the survey. At a maximum, the written response must be received within 30 days of receiving the survey report. All systems must take the steps necessary to address significant deficiencies identified in the sanitary survey report that are within the control of the system and its governing body.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567—43.2</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to operate.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color w:val="000000"/>
          <w:sz w:val="22"/>
        </w:rPr>
        <w:t xml:space="preserve">Operation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fee. </w:t>
      </w:r>
      <w:r>
        <w:rPr>
          <w:rFonts w:ascii="Times New Roman" w:hAnsi="Times New Roman"/>
          <w:b w:val="false"/>
          <w:i w:val="false"/>
          <w:color w:val="000000"/>
          <w:sz w:val="22"/>
        </w:rPr>
        <w:t>A fee for the operation of a public water supply system shall be paid annually. The fee will not be prorated and is nonrefundable. The fee shall be based on the population served. The fee shall be the greater of $25 per year or $0.14 multiplied by the total population served by the public water supply for all community and nontransient noncommunity public water supply systems. The fee shall be $25 per year for all transient noncommunity water systems. Where a system provides water to another public water supply system (consecutive public water supply system) which is required to have an operation permit, the population of the recipient water supply shall not be counted as a part of the water system providing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 notices. </w:t>
      </w:r>
      <w:r>
        <w:rPr>
          <w:rFonts w:ascii="Times New Roman" w:hAnsi="Times New Roman"/>
          <w:b w:val="false"/>
          <w:i w:val="false"/>
          <w:color w:val="000000"/>
          <w:sz w:val="22"/>
        </w:rPr>
        <w:t>The department will send annual notices to public water supply systems at least 60 days prior to the date that the operation fee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 payments. </w:t>
      </w:r>
      <w:r>
        <w:rPr>
          <w:rFonts w:ascii="Times New Roman" w:hAnsi="Times New Roman"/>
          <w:b w:val="false"/>
          <w:i w:val="false"/>
          <w:color w:val="000000"/>
          <w:sz w:val="22"/>
        </w:rPr>
        <w:t>The annual operation fee must be paid to the department by September 1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 schedule adjustment. </w:t>
      </w:r>
      <w:r>
        <w:rPr>
          <w:rFonts w:ascii="Times New Roman" w:hAnsi="Times New Roman"/>
          <w:b w:val="false"/>
          <w:i w:val="false"/>
          <w:color w:val="000000"/>
          <w:sz w:val="22"/>
        </w:rPr>
        <w:t xml:space="preserve">The department may adjust the per capita fee payment by up to +/– $0.02 per person served so as to achieve the targeted revenue of $350,000 during each fiscal year. The environmental protection commission must approve any per capita fee rate above $0.14 per person. The extent of the fee adjustment must comply with Iowa Code section </w:t>
      </w:r>
      <w:hyperlink r:id="rId27">
        <w:r>
          <w:rPr>
            <w:rStyle w:val="Hyperlink"/>
            <w:rFonts w:ascii="Times New Roman" w:hAnsi="Times New Roman"/>
            <w:b w:val="false"/>
            <w:i w:val="false"/>
            <w:color w:val="000000"/>
            <w:sz w:val="22"/>
          </w:rPr>
          <w:t>455B.183A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Exempted public water supply systems. </w:t>
      </w:r>
      <w:r>
        <w:rPr>
          <w:rFonts w:ascii="Times New Roman" w:hAnsi="Times New Roman"/>
          <w:b w:val="false"/>
          <w:i w:val="false"/>
          <w:color w:val="000000"/>
          <w:sz w:val="22"/>
        </w:rPr>
        <w:t>Public water supply systems located on Indian lands are exempt from the fee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Late fees. </w:t>
      </w:r>
      <w:r>
        <w:rPr>
          <w:rFonts w:ascii="Times New Roman" w:hAnsi="Times New Roman"/>
          <w:b w:val="false"/>
          <w:i w:val="false"/>
          <w:color w:val="000000"/>
          <w:sz w:val="22"/>
        </w:rPr>
        <w:t xml:space="preserve">When the owner of a public water supply fails to make timely application or to remit payment of fees by September 1, the department will notify the system by a single notice of violation. In addition, a late fee of $100 will be assessed for failure to remit the operation fee by September 1. The department may thereafter issue an administrative order pursuant to Iowa Code section </w:t>
      </w:r>
      <w:hyperlink r:id="rId28">
        <w:r>
          <w:rPr>
            <w:rStyle w:val="Hyperlink"/>
            <w:rFonts w:ascii="Times New Roman" w:hAnsi="Times New Roman"/>
            <w:b w:val="false"/>
            <w:i w:val="false"/>
            <w:color w:val="000000"/>
            <w:sz w:val="22"/>
          </w:rPr>
          <w:t>455B.175(1)</w:t>
        </w:r>
      </w:hyperlink>
      <w:r>
        <w:rPr>
          <w:rFonts w:ascii="Times New Roman" w:hAnsi="Times New Roman"/>
          <w:b w:val="false"/>
          <w:i w:val="false"/>
          <w:color w:val="000000"/>
          <w:sz w:val="22"/>
        </w:rPr>
        <w:t xml:space="preserve"> or request a referral to the attorney general under Iowa Code section </w:t>
      </w:r>
      <w:hyperlink r:id="rId29">
        <w:r>
          <w:rPr>
            <w:rStyle w:val="Hyperlink"/>
            <w:rFonts w:ascii="Times New Roman" w:hAnsi="Times New Roman"/>
            <w:b w:val="false"/>
            <w:i w:val="false"/>
            <w:color w:val="000000"/>
            <w:sz w:val="22"/>
          </w:rPr>
          <w:t>455B.175(3)</w:t>
        </w:r>
      </w:hyperlink>
      <w:r>
        <w:rPr>
          <w:rFonts w:ascii="Times New Roman" w:hAnsi="Times New Roman"/>
          <w:b w:val="false"/>
          <w:i w:val="false"/>
          <w:color w:val="000000"/>
          <w:sz w:val="22"/>
        </w:rPr>
        <w:t xml:space="preserv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requirement. </w:t>
      </w:r>
      <w:r>
        <w:rPr>
          <w:rFonts w:ascii="Times New Roman" w:hAnsi="Times New Roman"/>
          <w:b w:val="false"/>
          <w:i w:val="false"/>
          <w:color w:val="000000"/>
          <w:sz w:val="22"/>
        </w:rPr>
        <w:t xml:space="preserve">Except as provided in </w:t>
      </w:r>
      <w:hyperlink r:id="rId30">
        <w:r>
          <w:rPr>
            <w:rStyle w:val="Hyperlink"/>
            <w:rFonts w:ascii="Times New Roman" w:hAnsi="Times New Roman"/>
            <w:b w:val="false"/>
            <w:i w:val="false"/>
            <w:color w:val="000000"/>
            <w:sz w:val="22"/>
          </w:rPr>
          <w:t>43.2(3)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43.2(4)</w:t>
        </w:r>
      </w:hyperlink>
      <w:r>
        <w:rPr>
          <w:rFonts w:ascii="Times New Roman" w:hAnsi="Times New Roman"/>
          <w:b w:val="false"/>
          <w:i w:val="false"/>
          <w:color w:val="000000"/>
          <w:sz w:val="22"/>
        </w:rPr>
        <w:t>, no person shall operate any public water supply system or part thereof without, or contrary to any condition of, an operation permit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operation permit. </w:t>
      </w:r>
      <w:r>
        <w:rPr>
          <w:rFonts w:ascii="Times New Roman" w:hAnsi="Times New Roman"/>
          <w:b w:val="false"/>
          <w:i w:val="false"/>
          <w:color w:val="000000"/>
          <w:sz w:val="22"/>
        </w:rPr>
        <w:t>The owner of any public water supply system or part thereof must make application for an operation permit. No such system shall be operated without an operation permit, unless proper application has been made. Upon submission of a completed application form, the time requirement for having a valid operation permit is automatically extended until the application has either been approved or disapproved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application form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application form. </w:t>
      </w:r>
      <w:r>
        <w:rPr>
          <w:rFonts w:ascii="Times New Roman" w:hAnsi="Times New Roman"/>
          <w:b w:val="false"/>
          <w:i w:val="false"/>
          <w:color w:val="000000"/>
          <w:sz w:val="22"/>
        </w:rPr>
        <w:t>Application for operation permits shall be made on forms provided by the department. The application for an operation permit shall be filed at least 90 days prior to the date operation is scheduled to begin unless a shorter time is approved by the director. The director shall issue or deny operation permits for facilities within 60 days of receipt of a completed application, unless a longer period is required and the applicant is so notified. The director may require the submission of additional information deemed necessary to evaluate the application. If the application is incomplete or otherwise deficient, processing of the application shall not be completed until such time as the applicant has supplied the missing information or otherwise corrected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Identity of signatories of operation permit applications. </w:t>
      </w:r>
      <w:r>
        <w:rPr>
          <w:rFonts w:ascii="Times New Roman" w:hAnsi="Times New Roman"/>
          <w:b w:val="false"/>
          <w:i w:val="false"/>
          <w:color w:val="000000"/>
          <w:sz w:val="22"/>
        </w:rPr>
        <w:t>The person who signs the application for an operation permit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Corporation. In the case of a corporation, a principal executive officer of at least the level of vice president. The corporation has the option of appointing a designated signatory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Partnership. In the case of a partnership, a general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Sole proprietorship. In the case of a sole proprietorship, the proprietor.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facility. In the case of a municipal, state or other public facility, by either the principal executive officer or the ranking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The denial of a permit, or any permit condition, may be appealed by the applicant to the environmental protection commission pursuant to </w:t>
      </w:r>
      <w:hyperlink r:id="rId32">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conditions. </w:t>
      </w:r>
      <w:r>
        <w:rPr>
          <w:rFonts w:ascii="Times New Roman" w:hAnsi="Times New Roman"/>
          <w:b w:val="false"/>
          <w:i w:val="false"/>
          <w:color w:val="000000"/>
          <w:sz w:val="22"/>
        </w:rPr>
        <w:t>Operation permits may contain such conditions as are deemed necessary by the director to ensure compliance with all applicable rules of the department, to ensure that the public water supply system is properly operated and maintained, to ensure that potential hazards to the water consumer are eliminated promptly, and to ensure that the requirements of the Safe Drinking Water Act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schedule. </w:t>
      </w:r>
      <w:r>
        <w:rPr>
          <w:rFonts w:ascii="Times New Roman" w:hAnsi="Times New Roman"/>
          <w:b w:val="false"/>
          <w:i w:val="false"/>
          <w:color w:val="000000"/>
          <w:sz w:val="22"/>
        </w:rPr>
        <w:t xml:space="preserve">Where one or more maximum contaminant levels, treatment techniques, designated health advisories, or action levels cannot be met immediately, a compliance schedule for achieving compliance with standards may be made a condition of the permit. A compliance schedule requiring alterations in accordance with the standards for construction in </w:t>
      </w:r>
      <w:hyperlink r:id="rId33">
        <w:r>
          <w:rPr>
            <w:rStyle w:val="Hyperlink"/>
            <w:rFonts w:ascii="Times New Roman" w:hAnsi="Times New Roman"/>
            <w:b w:val="false"/>
            <w:i w:val="false"/>
            <w:color w:val="000000"/>
            <w:sz w:val="22"/>
          </w:rPr>
          <w:t>43.3(1)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may also be included for any supply that, in the opinion of the director, contains a potential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 xml:space="preserve">If the department determines that a treatment method identified in </w:t>
      </w:r>
      <w:hyperlink r:id="rId35">
        <w:r>
          <w:rPr>
            <w:rStyle w:val="Hyperlink"/>
            <w:rFonts w:ascii="Times New Roman" w:hAnsi="Times New Roman"/>
            <w:b w:val="false"/>
            <w:i w:val="false"/>
            <w:color w:val="000000"/>
            <w:sz w:val="22"/>
          </w:rPr>
          <w:t>43.3(10)</w:t>
        </w:r>
      </w:hyperlink>
      <w:r>
        <w:rPr>
          <w:rFonts w:ascii="Times New Roman" w:hAnsi="Times New Roman"/>
          <w:b w:val="false"/>
          <w:i w:val="false"/>
          <w:color w:val="000000"/>
          <w:sz w:val="22"/>
        </w:rPr>
        <w:t xml:space="preserve"> is technically feasible, the department may require the system to install or use that treatment method in connection with a compliance schedule issued under the provisions of </w:t>
      </w:r>
      <w:hyperlink r:id="rId36">
        <w:r>
          <w:rPr>
            <w:rStyle w:val="Hyperlink"/>
            <w:rFonts w:ascii="Times New Roman" w:hAnsi="Times New Roman"/>
            <w:b w:val="false"/>
            <w:i w:val="false"/>
            <w:color w:val="000000"/>
            <w:sz w:val="22"/>
          </w:rPr>
          <w:t>43.2(5)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department’s determination shall be based upon studies by the system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change in operation permit application conditions. </w:t>
      </w:r>
      <w:r>
        <w:rPr>
          <w:rFonts w:ascii="Times New Roman" w:hAnsi="Times New Roman"/>
          <w:b w:val="false"/>
          <w:i w:val="false"/>
          <w:color w:val="000000"/>
          <w:sz w:val="22"/>
        </w:rPr>
        <w:t xml:space="preserve">The owner of a public water supply system shall notify the director within 30 days of any change in conditions identified in the permit application. This notice does not relieve the owner of the responsibility to obtain a construction permit as required by </w:t>
      </w:r>
      <w:hyperlink r:id="rId37">
        <w:r>
          <w:rPr>
            <w:rStyle w:val="Hyperlink"/>
            <w:rFonts w:ascii="Times New Roman" w:hAnsi="Times New Roman"/>
            <w:b w:val="false"/>
            <w:i w:val="false"/>
            <w:color w:val="000000"/>
            <w:sz w:val="22"/>
          </w:rPr>
          <w:t>567—43.3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43.2(7)</w:t>
      </w:r>
      <w:r>
        <w:rPr>
          <w:rFonts w:ascii="Times New Roman" w:hAnsi="Times New Roman"/>
          <w:b w:val="false"/>
          <w:i w:val="false"/>
          <w:color w:val="000000"/>
          <w:sz w:val="22"/>
        </w:rPr>
        <w:t> </w:t>
      </w:r>
      <w:r>
        <w:rPr>
          <w:rFonts w:ascii="Times New Roman" w:hAnsi="Times New Roman"/>
          <w:b w:val="false"/>
          <w:i/>
          <w:color w:val="000000"/>
          <w:sz w:val="22"/>
        </w:rPr>
        <w:t xml:space="preserve">Renewal of operation permits. </w:t>
      </w:r>
      <w:r>
        <w:rPr>
          <w:rFonts w:ascii="Times New Roman" w:hAnsi="Times New Roman"/>
          <w:b w:val="false"/>
          <w:i w:val="false"/>
          <w:color w:val="000000"/>
          <w:sz w:val="22"/>
        </w:rPr>
        <w:t>The department may issue operation permits for durations of up to five years. Operation permits must be renewed prior to expiration in order to remain valid. The renewal date shall be specified in the permit or in any renewal. Application for renewal must be received by the director, or postmarked, 60 days prior to the renewal date,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43.2(8)</w:t>
      </w:r>
      <w:r>
        <w:rPr>
          <w:rFonts w:ascii="Times New Roman" w:hAnsi="Times New Roman"/>
          <w:b w:val="false"/>
          <w:i w:val="false"/>
          <w:color w:val="000000"/>
          <w:sz w:val="22"/>
        </w:rPr>
        <w:t> </w:t>
      </w:r>
      <w:r>
        <w:rPr>
          <w:rFonts w:ascii="Times New Roman" w:hAnsi="Times New Roman"/>
          <w:b w:val="false"/>
          <w:i/>
          <w:color w:val="000000"/>
          <w:sz w:val="22"/>
        </w:rPr>
        <w:t xml:space="preserve">Denial, modification, or suspension of operation permit. </w:t>
      </w:r>
      <w:r>
        <w:rPr>
          <w:rFonts w:ascii="Times New Roman" w:hAnsi="Times New Roman"/>
          <w:b w:val="false"/>
          <w:i w:val="false"/>
          <w:color w:val="000000"/>
          <w:sz w:val="22"/>
        </w:rPr>
        <w:t xml:space="preserve">The director may deny renewal of, modify, or suspend, in whole or in part, any operation permit for good cause. Denial of a new permit, renewal of an existing permit, or modification of a permit, may be appealed to the environmental protection commission pursuant to </w:t>
      </w:r>
      <w:hyperlink r:id="rId38">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Suspension or revocation may occur after hearing, pursuant to </w:t>
      </w:r>
      <w:hyperlink r:id="rId39">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Good cause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any term or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a permit by misrepresentation of fact or failure to disclose fully all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change in any condition that requires either a permanent or temporary modification of a permit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submit such records and information as the director may require both generally and as a condition of the operation permit in order to ensure compliance with conditions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any of the requirements contained in </w:t>
      </w:r>
      <w:hyperlink r:id="rId40">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4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Inability of a system to either achieve or maintain technical, managerial, or financial viability, as determined in rule </w:t>
      </w:r>
      <w:hyperlink r:id="rId42">
        <w:r>
          <w:rPr>
            <w:rStyle w:val="Hyperlink"/>
            <w:rFonts w:ascii="Times New Roman" w:hAnsi="Times New Roman"/>
            <w:b w:val="false"/>
            <w:i w:val="false"/>
            <w:color w:val="000000"/>
            <w:sz w:val="22"/>
          </w:rPr>
          <w:t>567—43.8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i w:val="false"/>
          <w:color w:val="000000"/>
          <w:sz w:val="22"/>
        </w:rPr>
        <w:t>567—43.3</w:t>
      </w:r>
      <w:r>
        <w:rPr>
          <w:rFonts w:ascii="Times New Roman" w:hAnsi="Times New Roman"/>
          <w:b/>
          <w:i w:val="false"/>
          <w:color w:val="000000"/>
          <w:sz w:val="22"/>
        </w:rPr>
        <w:t xml:space="preserve">(455B) </w:t>
      </w:r>
      <w:r>
        <w:rPr>
          <w:rFonts w:ascii="Times New Roman" w:hAnsi="Times New Roman"/>
          <w:b/>
          <w:i w:val="false"/>
          <w:color w:val="000000"/>
          <w:sz w:val="22"/>
        </w:rPr>
        <w:t xml:space="preserve">Public water supply system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color w:val="000000"/>
          <w:sz w:val="22"/>
        </w:rPr>
        <w:t xml:space="preserve">Standards for public water supplies. </w:t>
      </w:r>
      <w:r>
        <w:rPr>
          <w:rFonts w:ascii="Times New Roman" w:hAnsi="Times New Roman"/>
          <w:b w:val="false"/>
          <w:i w:val="false"/>
          <w:color w:val="000000"/>
          <w:sz w:val="22"/>
        </w:rPr>
        <w:t xml:space="preserve">Any public water supply that does not meet the drinking water standards contained in </w:t>
      </w:r>
      <w:hyperlink r:id="rId43">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shall make the alterations in accordance with the standards for construction contained in </w:t>
      </w:r>
      <w:hyperlink r:id="rId45">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necessary to comply with the drinking water standards unless the public water supply has been granted a variance from a maximum contaminant level or treatment technique as a provision of its operation permit pursuant to </w:t>
      </w:r>
      <w:hyperlink r:id="rId46">
        <w:r>
          <w:rPr>
            <w:rStyle w:val="Hyperlink"/>
            <w:rFonts w:ascii="Times New Roman" w:hAnsi="Times New Roman"/>
            <w:b w:val="false"/>
            <w:i w:val="false"/>
            <w:color w:val="000000"/>
            <w:sz w:val="22"/>
          </w:rPr>
          <w:t>567—43.2</w:t>
        </w:r>
      </w:hyperlink>
      <w:r>
        <w:rPr>
          <w:rFonts w:ascii="Times New Roman" w:hAnsi="Times New Roman"/>
          <w:b w:val="false"/>
          <w:i w:val="false"/>
          <w:color w:val="000000"/>
          <w:sz w:val="22"/>
        </w:rPr>
        <w:t xml:space="preserve">(455B), provided that the public water supply meets the schedule established pursuant to </w:t>
      </w:r>
      <w:hyperlink r:id="rId47">
        <w:r>
          <w:rPr>
            <w:rStyle w:val="Hyperlink"/>
            <w:rFonts w:ascii="Times New Roman" w:hAnsi="Times New Roman"/>
            <w:b w:val="false"/>
            <w:i w:val="false"/>
            <w:color w:val="000000"/>
            <w:sz w:val="22"/>
          </w:rPr>
          <w:t>567—43.2</w:t>
        </w:r>
      </w:hyperlink>
      <w:r>
        <w:rPr>
          <w:rFonts w:ascii="Times New Roman" w:hAnsi="Times New Roman"/>
          <w:b w:val="false"/>
          <w:i w:val="false"/>
          <w:color w:val="000000"/>
          <w:sz w:val="22"/>
        </w:rPr>
        <w:t>(455B). Any public water supply that, in the opinion of the director, contains a potential hazard shall make the alterations in accordance with the standards for construction contained in this rule necessary to eliminate or minimize that hazard. A system that is not operating within the design standards may be required by the department via a compliance schedule to upgrade the deficient areas of the system before a construction permit will be issued for any work in the system that does not address the current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color w:val="000000"/>
          <w:sz w:val="22"/>
        </w:rPr>
        <w:t xml:space="preserve">Standards for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standards for a project are the Ten States Standards as adopted through 2012 and the American Water Works Association (AWWA) Standards as adopted through 2016 and </w:t>
      </w:r>
      <w:hyperlink r:id="rId48">
        <w:r>
          <w:rPr>
            <w:rStyle w:val="Hyperlink"/>
            <w:rFonts w:ascii="Times New Roman" w:hAnsi="Times New Roman"/>
            <w:b w:val="false"/>
            <w:i w:val="false"/>
            <w:color w:val="000000"/>
            <w:sz w:val="22"/>
          </w:rPr>
          <w:t>43.3(7)</w:t>
        </w:r>
      </w:hyperlink>
      <w:r>
        <w:rPr>
          <w:rFonts w:ascii="Times New Roman" w:hAnsi="Times New Roman"/>
          <w:b w:val="false"/>
          <w:i w:val="false"/>
          <w:color w:val="000000"/>
          <w:sz w:val="22"/>
        </w:rPr>
        <w:t xml:space="preserve"> to </w:t>
      </w:r>
      <w:hyperlink r:id="rId49">
        <w:r>
          <w:rPr>
            <w:rStyle w:val="Hyperlink"/>
            <w:rFonts w:ascii="Times New Roman" w:hAnsi="Times New Roman"/>
            <w:b w:val="false"/>
            <w:i w:val="false"/>
            <w:color w:val="000000"/>
            <w:sz w:val="22"/>
          </w:rPr>
          <w:t>43.3(9)</w:t>
        </w:r>
      </w:hyperlink>
      <w:r>
        <w:rPr>
          <w:rFonts w:ascii="Times New Roman" w:hAnsi="Times New Roman"/>
          <w:b w:val="false"/>
          <w:i w:val="false"/>
          <w:color w:val="000000"/>
          <w:sz w:val="22"/>
        </w:rPr>
        <w:t xml:space="preserve">. To the extent of any conflict between the Ten States Standards and the American Water Works Association Standards and </w:t>
      </w:r>
      <w:hyperlink r:id="rId50">
        <w:r>
          <w:rPr>
            <w:rStyle w:val="Hyperlink"/>
            <w:rFonts w:ascii="Times New Roman" w:hAnsi="Times New Roman"/>
            <w:b w:val="false"/>
            <w:i w:val="false"/>
            <w:color w:val="000000"/>
            <w:sz w:val="22"/>
          </w:rPr>
          <w:t>43.3(7)</w:t>
        </w:r>
      </w:hyperlink>
      <w:r>
        <w:rPr>
          <w:rFonts w:ascii="Times New Roman" w:hAnsi="Times New Roman"/>
          <w:b w:val="false"/>
          <w:i w:val="false"/>
          <w:color w:val="000000"/>
          <w:sz w:val="22"/>
        </w:rPr>
        <w:t xml:space="preserve"> to </w:t>
      </w:r>
      <w:hyperlink r:id="rId51">
        <w:r>
          <w:rPr>
            <w:rStyle w:val="Hyperlink"/>
            <w:rFonts w:ascii="Times New Roman" w:hAnsi="Times New Roman"/>
            <w:b w:val="false"/>
            <w:i w:val="false"/>
            <w:color w:val="000000"/>
            <w:sz w:val="22"/>
          </w:rPr>
          <w:t>43.3(9)</w:t>
        </w:r>
      </w:hyperlink>
      <w:r>
        <w:rPr>
          <w:rFonts w:ascii="Times New Roman" w:hAnsi="Times New Roman"/>
          <w:b w:val="false"/>
          <w:i w:val="false"/>
          <w:color w:val="000000"/>
          <w:sz w:val="22"/>
        </w:rPr>
        <w:t xml:space="preserve">, the Ten States Standards, </w:t>
      </w:r>
      <w:hyperlink r:id="rId52">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43.3(7)</w:t>
        </w:r>
      </w:hyperlink>
      <w:r>
        <w:rPr>
          <w:rFonts w:ascii="Times New Roman" w:hAnsi="Times New Roman"/>
          <w:b w:val="false"/>
          <w:i w:val="false"/>
          <w:color w:val="000000"/>
          <w:sz w:val="22"/>
        </w:rPr>
        <w:t xml:space="preserve"> to </w:t>
      </w:r>
      <w:hyperlink r:id="rId54">
        <w:r>
          <w:rPr>
            <w:rStyle w:val="Hyperlink"/>
            <w:rFonts w:ascii="Times New Roman" w:hAnsi="Times New Roman"/>
            <w:b w:val="false"/>
            <w:i w:val="false"/>
            <w:color w:val="000000"/>
            <w:sz w:val="22"/>
          </w:rPr>
          <w:t>43.3(9)</w:t>
        </w:r>
      </w:hyperlink>
      <w:r>
        <w:rPr>
          <w:rFonts w:ascii="Times New Roman" w:hAnsi="Times New Roman"/>
          <w:b w:val="false"/>
          <w:i w:val="false"/>
          <w:color w:val="000000"/>
          <w:sz w:val="22"/>
        </w:rPr>
        <w:t xml:space="preserve"> shall prevail. Additional standards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Polyvinyl chloride (PVC) pipe manufactured in accordance with ASTM D2241, AWWA C900, AWWA C905, ASTM F1483, or AWWA C909 may be used for water main construction. The maximum allowable pressure for PVC or polyethylene (PE) pipe shall be determined based on a safety factor of 2.0 and a surge allowance of no less than two feet per second (2 fps).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CWS groundwater systems, a minimum of two wells shall be provided, unless the system demonstrates to the department’s satisfaction that a single well will provide a reliable and adequate source. For NTNC and TNC groundwater systems, a single well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Separation of water mains from sanitary and combined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Horizontal separation of water mains from gravity sanitary and combined sewers. Water mains shall be separated from gravity sanitary and combined sewer mains by a horizontal distance of at least ten feet measured edge to edge unless the bottom of the water main is at least 18 inches above the top of the sewer, and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is placed in a separate trench,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is located on a bench of undisturbed earth at a minimum horizontal separation of three feet from the sewer.</w:t>
      </w:r>
    </w:p>
    <w:p>
      <w:pPr>
        <w:spacing w:before="0" w:after="0"/>
        <w:ind w:left="120"/>
        <w:jc w:val="both"/>
      </w:pPr>
      <w:r>
        <w:rPr>
          <w:rFonts w:ascii="Times New Roman" w:hAnsi="Times New Roman"/>
          <w:b w:val="false"/>
          <w:i w:val="false"/>
          <w:color w:val="000000"/>
          <w:sz w:val="22"/>
        </w:rPr>
        <w:t>If it is not possible to obtain a horizontal separation of three feet and a vertical separation of 18 inches between the bottom of the water main and the top of the sewer, a linear separation of at least two feet shall be provided, and one of the following shall be utilized: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enclosed in watertight casing pipe with an evenly spaced annular gap and watertight end seals,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sewer shall be constructed of water main materials.</w:t>
      </w:r>
    </w:p>
    <w:p>
      <w:pPr>
        <w:spacing w:before="0" w:after="0"/>
        <w:ind w:left="120"/>
        <w:jc w:val="both"/>
      </w:pPr>
      <w:r>
        <w:rPr>
          <w:rFonts w:ascii="Times New Roman" w:hAnsi="Times New Roman"/>
          <w:b w:val="false"/>
          <w:i w:val="false"/>
          <w:color w:val="000000"/>
          <w:sz w:val="22"/>
        </w:rPr>
        <w:t>The separation distance between the water main and the sewer shall be the maximum feasible in all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Horizontal separation of water mains from sanitary sewer force mains. Water mains shall be separated from sanitary sewer force mains by a horizontal distance of at least ten feet measured edge to edge unless the sanitary sewer force main is constructed of water main materials and the water main is laid at least four feet horizontally from the sanitary sewer force main. The separation distance between the water main and the sanitary sewer force main shall be the maximum feasible in all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Vertical separation of water mains from sanitary and combined sewer crossovers. Vertical separation of water mains crossing over any sanitary or combined sewers shall be at least 18 inches when measured from the bottom of the water main to the top of the sewer. If it is not possible to maintain the required vertical separation, one of the following shall be utilized: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bottom of the water main shall not be placed closer than six inches above the top of a sewer, 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top of the water main shall not be placed closer than 18 inches below the bottom of a sewer.</w:t>
      </w:r>
    </w:p>
    <w:p>
      <w:pPr>
        <w:spacing w:before="0" w:after="0"/>
        <w:ind w:left="120"/>
        <w:jc w:val="both"/>
      </w:pPr>
      <w:r>
        <w:rPr>
          <w:rFonts w:ascii="Times New Roman" w:hAnsi="Times New Roman"/>
          <w:b w:val="false"/>
          <w:i w:val="false"/>
          <w:color w:val="000000"/>
          <w:sz w:val="22"/>
        </w:rPr>
        <w:t>When a water main crosses below or less than 18 inches above a sanitary or combined sewer, one of the following shall be utilized within ten feet measured edge to edge horizontally, centered on the crossing: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enclosed in watertight casing pipe with an evenly spaced annular gap and watertight ends,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Sewer pipe of water main material shall be installed.</w:t>
      </w:r>
    </w:p>
    <w:p>
      <w:pPr>
        <w:spacing w:before="0" w:after="0"/>
        <w:ind w:left="120"/>
        <w:jc w:val="both"/>
      </w:pPr>
      <w:r>
        <w:rPr>
          <w:rFonts w:ascii="Times New Roman" w:hAnsi="Times New Roman"/>
          <w:b w:val="false"/>
          <w:i w:val="false"/>
          <w:color w:val="000000"/>
          <w:sz w:val="22"/>
        </w:rPr>
        <w:t>The separation distance shall be the maximum feasible in all cases. Wherever a water main crosses a sanitary or combined sewer, the water main and sanitary or combined sewer pipes must be adequately supported. A low permeability soil shall be used for backfill material within ten feet of the point of crossing along the water 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Horizontal separation of water mains from sanitary and combined sewer manholes. No water pipe shall pass through or come in contact with any part of a sanitary or combined sewer manhole. A minimum horizontal separation of three feet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Separation of water mains from storm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Horizontal separation of water mains from gravity storm sewers. Water mains shall be separated horizontally from gravity storm sewers by at least ten feet measured edge to edge. If it is not possible to maintain the required horizontal separation of ten feet, a minimum of three feet of separation shall be maintained and one of the following shall be utilized within ten feet measured edge to edge: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constructed of ductile iron pipe with gaskets impermeable to hydrocarbons,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enclosed in watertight casing pipe with an evenly spaced annular gap and watertight end seals,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Storm sewer pipe of water main material shall be installed,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Reinforced concrete pipe storm sewers shall be constructed with gaskets manufactured in accordance with ASTM C443.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Vertical separation of water mains from storm sewer crossovers. Water mains shall be vertically separated from storm sewers by at least 18 inches between the outside edges of the water main and the storm sewer. The separation distance shall be the maximum feasible in all cases. In all cases where a water main crosses a storm sewer, the water main and storm sewer pipes must be adequately supported. A low permeability soil shall be used for backfill material within ten feet of the point of crossing along the water main. If it is not possible to obtain 18 inches of vertical separation where the water main crosses above a storm sewer, a minimum of 6 inches vertical separation shall be maintained and one of the following shall be utilized within ten feet measured edge to edge horizontally, centered on the crossing: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constructed of ductile iron pipe with gaskets impermeable to hydrocarbons,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enclosed in watertight casing pipe with an evenly spaced annular gap and watertight end seals,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Storm sewer pipe of water main material shall be installed,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Reinforced concrete pipe storm sewers shall be constructed with gaskets manufactured in accordance with ASTM C443.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Variance. When engineering justification satisfactory to the director is provided substantially demonstrating that variation from the design standards will result in equivalent or improved effectiveness, such a variation from design standards may be accepted by the director. A variance denial may be appealed to the environmental protection commission pursuant to </w:t>
      </w:r>
      <w:hyperlink r:id="rId55">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Variance requests for projects qualifying for a waiver from the engineering requirement of </w:t>
      </w:r>
      <w:hyperlink r:id="rId56">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may be made without the retained services of a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43.3(3)</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r>
        <w:rPr>
          <w:rFonts w:ascii="Times New Roman" w:hAnsi="Times New Roman"/>
          <w:b w:val="false"/>
          <w:i w:val="false"/>
          <w:color w:val="000000"/>
          <w:sz w:val="22"/>
        </w:rPr>
        <w:t xml:space="preserve">No person shall construct, install or modify any project without first obtaining, or contrary to any condition of, a construction permit issued by the director or by a local public works department authorized to issue permits under </w:t>
      </w:r>
      <w:hyperlink r:id="rId57">
        <w:r>
          <w:rPr>
            <w:rStyle w:val="Hyperlink"/>
            <w:rFonts w:ascii="Times New Roman" w:hAnsi="Times New Roman"/>
            <w:b w:val="false"/>
            <w:i w:val="false"/>
            <w:color w:val="000000"/>
            <w:sz w:val="22"/>
          </w:rPr>
          <w:t>567—Chapter 9</w:t>
        </w:r>
      </w:hyperlink>
      <w:r>
        <w:rPr>
          <w:rFonts w:ascii="Times New Roman" w:hAnsi="Times New Roman"/>
          <w:b w:val="false"/>
          <w:i w:val="false"/>
          <w:color w:val="000000"/>
          <w:sz w:val="22"/>
        </w:rPr>
        <w:t xml:space="preserve"> except as provided in </w:t>
      </w:r>
      <w:hyperlink r:id="rId58">
        <w:r>
          <w:rPr>
            <w:rStyle w:val="Hyperlink"/>
            <w:rFonts w:ascii="Times New Roman" w:hAnsi="Times New Roman"/>
            <w:b w:val="false"/>
            <w:i w:val="false"/>
            <w:color w:val="000000"/>
            <w:sz w:val="22"/>
          </w:rPr>
          <w:t>43.3(3)</w:t>
        </w:r>
      </w:hyperlink>
      <w:r>
        <w:rPr>
          <w:rFonts w:ascii="Times New Roman" w:hAnsi="Times New Roman"/>
          <w:b w:val="false"/>
          <w:i/>
          <w:color w:val="000000"/>
          <w:sz w:val="22"/>
        </w:rPr>
        <w:t>“b,”</w:t>
      </w:r>
      <w:hyperlink r:id="rId59">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43.3(6)</w:t>
        </w:r>
      </w:hyperlink>
      <w:r>
        <w:rPr>
          <w:rFonts w:ascii="Times New Roman" w:hAnsi="Times New Roman"/>
          <w:b w:val="false"/>
          <w:i w:val="false"/>
          <w:color w:val="000000"/>
          <w:sz w:val="22"/>
        </w:rPr>
        <w:t xml:space="preserve">. Construction permits are not required for point-of-use treatment devices installed by a noncommunity water system except those devices required by the department to meet a drinking water standard pursuant to </w:t>
      </w:r>
      <w:hyperlink r:id="rId61">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No construction permit will be issued for a new public water supply system without a completed viability assessment, which has been approved by the department, and demonstrates that the system is viable, pursuant to </w:t>
      </w:r>
      <w:hyperlink r:id="rId63">
        <w:r>
          <w:rPr>
            <w:rStyle w:val="Hyperlink"/>
            <w:rFonts w:ascii="Times New Roman" w:hAnsi="Times New Roman"/>
            <w:b w:val="false"/>
            <w:i w:val="false"/>
            <w:color w:val="000000"/>
            <w:sz w:val="22"/>
          </w:rPr>
          <w:t>567—43.8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issuance conditions. </w:t>
      </w:r>
      <w:r>
        <w:rPr>
          <w:rFonts w:ascii="Times New Roman" w:hAnsi="Times New Roman"/>
          <w:b w:val="false"/>
          <w:i w:val="false"/>
          <w:color w:val="000000"/>
          <w:sz w:val="22"/>
        </w:rPr>
        <w:t xml:space="preserve">A permit to construct shall be issued by the director if the director concludes from the application and specifications submitted pursuant to </w:t>
      </w:r>
      <w:hyperlink r:id="rId64">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567—40.4</w:t>
        </w:r>
      </w:hyperlink>
      <w:r>
        <w:rPr>
          <w:rFonts w:ascii="Times New Roman" w:hAnsi="Times New Roman"/>
          <w:b w:val="false"/>
          <w:i w:val="false"/>
          <w:color w:val="000000"/>
          <w:sz w:val="22"/>
        </w:rPr>
        <w:t>(455B) that the project will comply with the rules of the department. The construction of the project must begin within one year from the date the permit was issued; if it is not, the permit is no longer valid. If construction is ongoing and continuous (aside from delays due to winter or exceptional weather) and the permitted project cannot be completed within one year, the permit shall remain valid until the project is completed. The department may grant an extension of the permit for a multiphase project, for a maximum two additional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 </w:t>
      </w:r>
      <w:r>
        <w:rPr>
          <w:rFonts w:ascii="Times New Roman" w:hAnsi="Times New Roman"/>
          <w:b w:val="false"/>
          <w:i w:val="false"/>
          <w:color w:val="000000"/>
          <w:sz w:val="22"/>
        </w:rPr>
        <w:t>Application for any project shall be submitted to the department at least 30 days prior to the proposed date for commencing construction or awarding of contracts. This requirement may be waived when it is determined by the department that an imminent health hazard exists to the consumers of a public water supply. Under this waiver, construction, installation, or modification may be allowed by the department prior to review and issuance of a permit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construction, installation or modification will alleviate the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construction is done in accordance with the standards for construction pursuant to </w:t>
      </w:r>
      <w:hyperlink r:id="rId66">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are submitted within 30 days after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professional engineer, licensed in the state of Iowa, supervises the construction;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supplier of water receives approval of this waiver prior to any construction, installation,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fees. </w:t>
      </w:r>
      <w:r>
        <w:rPr>
          <w:rFonts w:ascii="Times New Roman" w:hAnsi="Times New Roman"/>
          <w:b w:val="false"/>
          <w:i w:val="false"/>
          <w:color w:val="000000"/>
          <w:sz w:val="22"/>
        </w:rPr>
        <w:t xml:space="preserve">A nonrefundable fee for a construction permit issued in accordance with subrules </w:t>
      </w:r>
      <w:hyperlink r:id="rId67">
        <w:r>
          <w:rPr>
            <w:rStyle w:val="Hyperlink"/>
            <w:rFonts w:ascii="Times New Roman" w:hAnsi="Times New Roman"/>
            <w:b w:val="false"/>
            <w:i w:val="false"/>
            <w:color w:val="000000"/>
            <w:sz w:val="22"/>
          </w:rPr>
          <w:t>43.3(3)</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567—subrules 40.3(1)</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40.4(1)</w:t>
        </w:r>
      </w:hyperlink>
      <w:r>
        <w:rPr>
          <w:rFonts w:ascii="Times New Roman" w:hAnsi="Times New Roman"/>
          <w:b w:val="false"/>
          <w:i w:val="false"/>
          <w:color w:val="000000"/>
          <w:sz w:val="22"/>
        </w:rPr>
        <w:t xml:space="preserve"> shall be submitted with the application for a construction permit prior to the authorization to commence construction. The construction permit fee shall be based upon the following rate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construction permits. The fee shall be determined based upon the total length of water main plus the non-water-main-related construction costs, calculated as follows:</w:t>
      </w:r>
    </w:p>
    <w:p>
      <w:pPr>
        <w:spacing w:before="0" w:after="0"/>
        <w:ind w:left="120"/>
        <w:jc w:val="both"/>
      </w:pPr>
      <w:r>
        <w:rPr>
          <w:rFonts w:ascii="Times New Roman" w:hAnsi="Times New Roman"/>
          <w:b w:val="false"/>
          <w:i w:val="false"/>
          <w:color w:val="000000"/>
          <w:sz w:val="22"/>
        </w:rPr>
        <w:t>1. Water mains (minimum fee of $100; maximum fee of $5,000):</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165"/>
        <w:gridCol w:w="5025"/>
      </w:tblGrid>
      <w:tr>
        <w:trPr>
          <w:trHeight w:val="240" w:hRule="atLeast"/>
        </w:trPr>
        <w:tc>
          <w:tcPr>
            <w:tcW w:w="61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Length of permitted water main</w:t>
            </w:r>
          </w:p>
        </w:tc>
        <w:tc>
          <w:tcPr>
            <w:tcW w:w="502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Rate</w:t>
            </w:r>
          </w:p>
        </w:tc>
      </w:tr>
      <w:tr>
        <w:trPr>
          <w:trHeight w:val="240" w:hRule="atLeast"/>
        </w:trPr>
        <w:tc>
          <w:tcPr>
            <w:tcW w:w="61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1,000 ft.</w:t>
            </w:r>
          </w:p>
        </w:tc>
        <w:tc>
          <w:tcPr>
            <w:tcW w:w="502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61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Next 19,000 ft.</w:t>
            </w:r>
          </w:p>
        </w:tc>
        <w:tc>
          <w:tcPr>
            <w:tcW w:w="502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$0.10/ft.</w:t>
            </w:r>
          </w:p>
        </w:tc>
      </w:tr>
      <w:tr>
        <w:trPr>
          <w:trHeight w:val="225" w:hRule="atLeast"/>
        </w:trPr>
        <w:tc>
          <w:tcPr>
            <w:tcW w:w="61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Next 300,000 ft.</w:t>
            </w:r>
          </w:p>
        </w:tc>
        <w:tc>
          <w:tcPr>
            <w:tcW w:w="502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$0.01/ft.</w:t>
            </w:r>
          </w:p>
        </w:tc>
      </w:tr>
      <w:tr>
        <w:trPr>
          <w:trHeight w:val="225" w:hRule="atLeast"/>
        </w:trPr>
        <w:tc>
          <w:tcPr>
            <w:tcW w:w="616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Over 320,000 ft.</w:t>
            </w:r>
          </w:p>
        </w:tc>
        <w:tc>
          <w:tcPr>
            <w:tcW w:w="502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No additional charge</w:t>
            </w:r>
          </w:p>
        </w:tc>
      </w:tr>
    </w:tbl>
    <w:p>
      <w:pPr>
        <w:spacing w:before="0" w:after="0"/>
        <w:ind w:left="120"/>
        <w:jc w:val="both"/>
      </w:pPr>
      <w:r>
        <w:rPr>
          <w:rFonts w:ascii="Times New Roman" w:hAnsi="Times New Roman"/>
          <w:b w:val="false"/>
          <w:i w:val="false"/>
          <w:color w:val="000000"/>
          <w:sz w:val="22"/>
        </w:rPr>
        <w:t>2. Non-water-main-related construction costs, including source, treatment, pumping, storage and waste handling (minimum fee of $100; maximum fee of $16,000):</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115"/>
        <w:gridCol w:w="6075"/>
      </w:tblGrid>
      <w:tr>
        <w:trPr>
          <w:trHeight w:val="240" w:hRule="atLeast"/>
        </w:trPr>
        <w:tc>
          <w:tcPr>
            <w:tcW w:w="5115"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Estimated construction cost</w:t>
            </w:r>
          </w:p>
        </w:tc>
        <w:tc>
          <w:tcPr>
            <w:tcW w:w="6075"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Rate</w:t>
            </w:r>
          </w:p>
        </w:tc>
      </w:tr>
      <w:tr>
        <w:trPr>
          <w:trHeight w:val="240" w:hRule="atLeast"/>
        </w:trPr>
        <w:tc>
          <w:tcPr>
            <w:tcW w:w="51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First $50,000</w:t>
            </w:r>
          </w:p>
        </w:tc>
        <w:tc>
          <w:tcPr>
            <w:tcW w:w="607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51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Next $950,000</w:t>
            </w:r>
          </w:p>
        </w:tc>
        <w:tc>
          <w:tcPr>
            <w:tcW w:w="607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0.2% of estimated construction cost</w:t>
            </w:r>
          </w:p>
        </w:tc>
      </w:tr>
      <w:tr>
        <w:trPr>
          <w:trHeight w:val="225" w:hRule="atLeast"/>
        </w:trPr>
        <w:tc>
          <w:tcPr>
            <w:tcW w:w="51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Next $14,000,000</w:t>
            </w:r>
          </w:p>
        </w:tc>
        <w:tc>
          <w:tcPr>
            <w:tcW w:w="607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0.1% of estimated construction cost</w:t>
            </w:r>
          </w:p>
        </w:tc>
      </w:tr>
      <w:tr>
        <w:trPr>
          <w:trHeight w:val="225" w:hRule="atLeast"/>
        </w:trPr>
        <w:tc>
          <w:tcPr>
            <w:tcW w:w="5115"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Over $15,000,000</w:t>
            </w:r>
          </w:p>
        </w:tc>
        <w:tc>
          <w:tcPr>
            <w:tcW w:w="607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No additional charge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“As-built” construction. “As-built” construction is defined as construction that occurred before a construction permit is issued. The fee shall be calculated according to </w:t>
      </w:r>
      <w:hyperlink r:id="rId71">
        <w:r>
          <w:rPr>
            <w:rStyle w:val="Hyperlink"/>
            <w:rFonts w:ascii="Times New Roman" w:hAnsi="Times New Roman"/>
            <w:b w:val="false"/>
            <w:i w:val="false"/>
            <w:color w:val="000000"/>
            <w:sz w:val="22"/>
          </w:rPr>
          <w:t>43.3(3)</w:t>
        </w:r>
      </w:hyperlink>
      <w:r>
        <w:rPr>
          <w:rFonts w:ascii="Times New Roman" w:hAnsi="Times New Roman"/>
          <w:b w:val="false"/>
          <w:i/>
          <w:color w:val="000000"/>
          <w:sz w:val="22"/>
        </w:rPr>
        <w:t>“c”</w:t>
      </w:r>
      <w:r>
        <w:rPr>
          <w:rFonts w:ascii="Times New Roman" w:hAnsi="Times New Roman"/>
          <w:b w:val="false"/>
          <w:i w:val="false"/>
          <w:color w:val="000000"/>
          <w:sz w:val="22"/>
        </w:rPr>
        <w:t xml:space="preserve">(1), plus an additional fee of $200, and is effective for construction that occurred after December 1, 2003. The fee for water main projects permitted in accordance with paragraph </w:t>
      </w:r>
      <w:hyperlink r:id="rId72">
        <w:r>
          <w:rPr>
            <w:rStyle w:val="Hyperlink"/>
            <w:rFonts w:ascii="Times New Roman" w:hAnsi="Times New Roman"/>
            <w:b w:val="false"/>
            <w:i w:val="false"/>
            <w:color w:val="000000"/>
            <w:sz w:val="22"/>
          </w:rPr>
          <w:t>43.3(3)</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calculated in accordance with subparagraph </w:t>
      </w:r>
      <w:hyperlink r:id="rId73">
        <w:r>
          <w:rPr>
            <w:rStyle w:val="Hyperlink"/>
            <w:rFonts w:ascii="Times New Roman" w:hAnsi="Times New Roman"/>
            <w:b w:val="false"/>
            <w:i w:val="false"/>
            <w:color w:val="000000"/>
            <w:sz w:val="22"/>
          </w:rPr>
          <w:t>43.3(3)</w:t>
        </w:r>
      </w:hyperlink>
      <w:r>
        <w:rPr>
          <w:rFonts w:ascii="Times New Roman" w:hAnsi="Times New Roman"/>
          <w:b w:val="false"/>
          <w:i/>
          <w:color w:val="000000"/>
          <w:sz w:val="22"/>
        </w:rPr>
        <w:t>“c”</w:t>
      </w:r>
      <w:r>
        <w:rPr>
          <w:rFonts w:ascii="Times New Roman" w:hAnsi="Times New Roman"/>
          <w:b w:val="false"/>
          <w:i w:val="false"/>
          <w:color w:val="000000"/>
          <w:sz w:val="22"/>
        </w:rPr>
        <w:t>(1); however, the additional “as-built” fee of $200 shall not be assessed for these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 orders, addenda, permit supplements, and request for time extensions. A fee for change orders, addenda, or permit supplements will only be charged if the aggregate of the changes approved for the project to date causes the total project construction cost to exceed the original project construction cost by at least 5 percent. For water main extensions, the fee will be charged if the total length of water main exceeds the original approved length by 5 percent. The request for a time extension is a flat fee.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307"/>
        <w:gridCol w:w="5883"/>
      </w:tblGrid>
      <w:tr>
        <w:trPr>
          <w:trHeight w:val="240" w:hRule="atLeast"/>
        </w:trPr>
        <w:tc>
          <w:tcPr>
            <w:tcW w:w="530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Categories</w:t>
            </w:r>
          </w:p>
        </w:tc>
        <w:tc>
          <w:tcPr>
            <w:tcW w:w="588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Rate</w:t>
            </w:r>
          </w:p>
        </w:tc>
      </w:tr>
      <w:tr>
        <w:trPr>
          <w:trHeight w:val="420" w:hRule="atLeast"/>
        </w:trPr>
        <w:tc>
          <w:tcPr>
            <w:tcW w:w="53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Change orders, addenda, and permit supplements for water mains</w:t>
            </w:r>
          </w:p>
        </w:tc>
        <w:tc>
          <w:tcPr>
            <w:tcW w:w="58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$0.10/ft. of additional water main, minimum fee: $50</w:t>
            </w:r>
          </w:p>
        </w:tc>
      </w:tr>
      <w:tr>
        <w:trPr>
          <w:trHeight w:val="585" w:hRule="atLeast"/>
        </w:trPr>
        <w:tc>
          <w:tcPr>
            <w:tcW w:w="530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Change orders, addenda, and permit supplements for non-water-main-</w:t>
            </w:r>
          </w:p>
          <w:p>
            <w:pPr>
              <w:spacing w:before="0" w:after="0"/>
              <w:ind w:left="160"/>
              <w:jc w:val="left"/>
            </w:pPr>
            <w:r>
              <w:rPr>
                <w:rFonts w:ascii="Times New Roman" w:hAnsi="Times New Roman"/>
                <w:b w:val="false"/>
                <w:i w:val="false"/>
                <w:color w:val="000000"/>
                <w:sz w:val="16"/>
              </w:rPr>
              <w:t>related construction costs</w:t>
            </w:r>
          </w:p>
        </w:tc>
        <w:tc>
          <w:tcPr>
            <w:tcW w:w="58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0.2% of additional non-water-main-related construction costs, minimum fee: $50</w:t>
            </w:r>
          </w:p>
        </w:tc>
      </w:tr>
      <w:tr>
        <w:trPr>
          <w:trHeight w:val="225" w:hRule="atLeast"/>
        </w:trPr>
        <w:tc>
          <w:tcPr>
            <w:tcW w:w="530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Request for time extension</w:t>
            </w:r>
          </w:p>
        </w:tc>
        <w:tc>
          <w:tcPr>
            <w:tcW w:w="58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Calendar year construction permit fee cap. The total amount of construction permit fees for a public water supply system owner during any calendar year shall not exceed $5,000 for water mains and $16,000 for non-water-main-related construction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well construction. </w:t>
      </w:r>
      <w:r>
        <w:rPr>
          <w:rFonts w:ascii="Times New Roman" w:hAnsi="Times New Roman"/>
          <w:b w:val="false"/>
          <w:i w:val="false"/>
          <w:color w:val="000000"/>
          <w:sz w:val="22"/>
        </w:rPr>
        <w:t xml:space="preserve">All water well construction must be performed by a certified well contractor in accordance with </w:t>
      </w:r>
      <w:hyperlink r:id="rId74">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It is the responsibility of the public water supply and certified well contractor to ensure that a public well construction permit has been issued by the department prior to initiation of well construction and to ensure that all well construction is performed in accordance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Minor water main construction permit. </w:t>
      </w:r>
      <w:r>
        <w:rPr>
          <w:rFonts w:ascii="Times New Roman" w:hAnsi="Times New Roman"/>
          <w:b w:val="false"/>
          <w:i w:val="false"/>
          <w:color w:val="000000"/>
          <w:sz w:val="22"/>
        </w:rPr>
        <w:t>A public water system may obtain a minor water main construction permit from the department for construction or replacement of minor water mains that serve additional users. By obtaining this permit, the system is able to construct new minor water mains or extend or replace existing minor water mains without obtaining an individual construction permit for each specific water main. The permit shall allow construction or replacement of minor water mains that do not exceed six inches in diameter and, in aggregation, do not increase the average daily demand (in gallons per day) of the public water supply system by more than 5 percent over the duration of the permit.</w:t>
      </w:r>
    </w:p>
    <w:p>
      <w:pPr>
        <w:spacing w:before="0" w:after="0"/>
        <w:ind w:left="120"/>
        <w:jc w:val="both"/>
      </w:pPr>
      <w:r>
        <w:rPr>
          <w:rFonts w:ascii="Times New Roman" w:hAnsi="Times New Roman"/>
          <w:b w:val="false"/>
          <w:i w:val="false"/>
          <w:color w:val="000000"/>
          <w:sz w:val="22"/>
        </w:rPr>
        <w:t>The additional users must have been included in the system’s hydraulic analysis that has been approved by the department. The water demands of the additional users must be consistent with the water demands in the approved hydraulic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minor water main construction permit shall be issued subject to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system has standard specifications for water main construction approved and on file with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system has adequate source capacity and, where treatment is provided, adequate treatment plant capacity to meet the peak day demand of all existing users and the proposed additional users covered under the permit;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system has adequate storage capacity to meet the average day demand of all existing users and the proposed additional users covered under the permit;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system submits an application for a minor water main construction permit prior to the construction or replacement of any water main covered by the permit. The permit application must be submitted to the department 90 days before the anticipated first use of the permit, and construction shall not commence prior to the issuance of the permit. The minor water main construction permit expires on December 31 of the year in which it is issued. The application shall include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up-to-date hydraulic analysis of the system, prepared and submitted by a licensed professional engineer, must be either on file with the department or submitted with the permit application. The hydraulic basis of flow (gallons per minute per connection) used in the analysis must be acceptable to the department. The hydraulic analysis shall include:</w:t>
      </w:r>
    </w:p>
    <w:p>
      <w:pPr>
        <w:spacing w:before="0" w:after="0"/>
        <w:ind w:left="120"/>
        <w:jc w:val="both"/>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ind w:left="0"/>
        <w:jc w:val="both"/>
      </w:pPr>
      <w:r>
        <w:rPr>
          <w:rFonts w:ascii="Times New Roman" w:hAnsi="Times New Roman"/>
          <w:b w:val="false"/>
          <w:i w:val="false"/>
          <w:color w:val="000000"/>
          <w:sz w:val="14"/>
        </w:rPr>
        <w:t>All existing water mains within the system;</w:t>
      </w:r>
    </w:p>
    <w:p>
      <w:pPr>
        <w:spacing w:before="0" w:after="0"/>
        <w:ind w:left="120"/>
        <w:jc w:val="both"/>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ind w:left="0"/>
        <w:jc w:val="both"/>
      </w:pPr>
      <w:r>
        <w:rPr>
          <w:rFonts w:ascii="Times New Roman" w:hAnsi="Times New Roman"/>
          <w:b w:val="false"/>
          <w:i w:val="false"/>
          <w:color w:val="000000"/>
          <w:sz w:val="14"/>
        </w:rPr>
        <w:t>All proposed water mains intended to be covered by the permit;</w:t>
      </w:r>
    </w:p>
    <w:p>
      <w:pPr>
        <w:spacing w:before="0" w:after="0"/>
        <w:ind w:left="120"/>
        <w:jc w:val="both"/>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ind w:left="0"/>
        <w:jc w:val="both"/>
      </w:pPr>
      <w:r>
        <w:rPr>
          <w:rFonts w:ascii="Times New Roman" w:hAnsi="Times New Roman"/>
          <w:b w:val="false"/>
          <w:i w:val="false"/>
          <w:color w:val="000000"/>
          <w:sz w:val="14"/>
        </w:rPr>
        <w:t>A demonstration that the system has adequate hydraulic capacity to serve the existing and new users under peak flow conditions without causing the pressure to fall below 20 psi anywhere within the system;</w:t>
      </w:r>
    </w:p>
    <w:p>
      <w:pPr>
        <w:spacing w:before="0" w:after="0"/>
        <w:ind w:left="120"/>
        <w:jc w:val="both"/>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ind w:left="0"/>
        <w:jc w:val="both"/>
      </w:pPr>
      <w:r>
        <w:rPr>
          <w:rFonts w:ascii="Times New Roman" w:hAnsi="Times New Roman"/>
          <w:b w:val="false"/>
          <w:i w:val="false"/>
          <w:color w:val="000000"/>
          <w:sz w:val="14"/>
        </w:rPr>
        <w:t>The location of all potential users of the system;</w:t>
      </w:r>
    </w:p>
    <w:p>
      <w:pPr>
        <w:spacing w:before="0" w:after="0"/>
        <w:ind w:left="120"/>
        <w:jc w:val="both"/>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ind w:left="0"/>
        <w:jc w:val="both"/>
      </w:pPr>
      <w:r>
        <w:rPr>
          <w:rFonts w:ascii="Times New Roman" w:hAnsi="Times New Roman"/>
          <w:b w:val="false"/>
          <w:i w:val="false"/>
          <w:color w:val="000000"/>
          <w:sz w:val="14"/>
        </w:rPr>
        <w:t>The diameter of all existing and proposed pipes;</w:t>
      </w:r>
    </w:p>
    <w:p>
      <w:pPr>
        <w:spacing w:before="0" w:after="0"/>
        <w:ind w:left="120"/>
        <w:jc w:val="both"/>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ind w:left="0"/>
        <w:jc w:val="both"/>
      </w:pPr>
      <w:r>
        <w:rPr>
          <w:rFonts w:ascii="Times New Roman" w:hAnsi="Times New Roman"/>
          <w:b w:val="false"/>
          <w:i w:val="false"/>
          <w:color w:val="000000"/>
          <w:sz w:val="14"/>
        </w:rPr>
        <w:t>The projected system flows; and</w:t>
      </w:r>
    </w:p>
    <w:p>
      <w:pPr>
        <w:spacing w:before="0" w:after="0"/>
        <w:ind w:left="120"/>
        <w:jc w:val="both"/>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ind w:left="0"/>
        <w:jc w:val="both"/>
      </w:pPr>
      <w:r>
        <w:rPr>
          <w:rFonts w:ascii="Times New Roman" w:hAnsi="Times New Roman"/>
          <w:b w:val="false"/>
          <w:i w:val="false"/>
          <w:color w:val="000000"/>
          <w:sz w:val="14"/>
        </w:rPr>
        <w:t>The static and dynamic pressures anticipated throughout the system with the addition of the new users incorporated in the analysis.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completed Schedule 1b, Minor Water Main Construction Permit Application (Form 542-3151), listed in </w:t>
      </w:r>
      <w:hyperlink r:id="rId75">
        <w:r>
          <w:rPr>
            <w:rStyle w:val="Hyperlink"/>
            <w:rFonts w:ascii="Times New Roman" w:hAnsi="Times New Roman"/>
            <w:b w:val="false"/>
            <w:i w:val="false"/>
            <w:color w:val="000000"/>
            <w:sz w:val="22"/>
          </w:rPr>
          <w:t>567—subrule 40.3(1)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must submit completed Schedule 2c, Notification of Minor Water Main Construction (Form 542-3152), prior to the construction or replacement of each minor water main covered by this permit. Each water main covered by the permit must have either been included in the previously submitted hydraulic analysis or must be included in an update to the hydraulic analysis, submitted with Schedule 2c. If an update to the hydraulic analysis is submitted with Schedule 2c, it must include all portions of the distribution system potentially affected by the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January 31 of the following year, the system shall submit the following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complete set of plans for all water main extensions constructed under the permit. The plans must be prepared and submitted by a licensed professional engineer.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Completed Schedules 1a, 1c, and 2a, listed in </w:t>
      </w:r>
      <w:hyperlink r:id="rId76">
        <w:r>
          <w:rPr>
            <w:rStyle w:val="Hyperlink"/>
            <w:rFonts w:ascii="Times New Roman" w:hAnsi="Times New Roman"/>
            <w:b w:val="false"/>
            <w:i w:val="false"/>
            <w:color w:val="000000"/>
            <w:sz w:val="22"/>
          </w:rPr>
          <w:t>567—subrule 40.3(1)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construction permit fee calculated in accordance with subparagraph </w:t>
      </w:r>
      <w:hyperlink r:id="rId77">
        <w:r>
          <w:rPr>
            <w:rStyle w:val="Hyperlink"/>
            <w:rFonts w:ascii="Times New Roman" w:hAnsi="Times New Roman"/>
            <w:b w:val="false"/>
            <w:i w:val="false"/>
            <w:color w:val="000000"/>
            <w:sz w:val="22"/>
          </w:rPr>
          <w:t>43.3(3)</w:t>
        </w:r>
      </w:hyperlink>
      <w:r>
        <w:rPr>
          <w:rFonts w:ascii="Times New Roman" w:hAnsi="Times New Roman"/>
          <w:b w:val="false"/>
          <w:i/>
          <w:color w:val="000000"/>
          <w:sz w:val="22"/>
        </w:rPr>
        <w:t>“c”</w:t>
      </w:r>
      <w:r>
        <w:rPr>
          <w:rFonts w:ascii="Times New Roman" w:hAnsi="Times New Roman"/>
          <w:b w:val="false"/>
          <w:i w:val="false"/>
          <w:color w:val="000000"/>
          <w:sz w:val="22"/>
        </w:rPr>
        <w:t xml:space="preserve">(1). The fee calculation shall be based upon the total length of water main constructed under the permit. For the purpose of calculating the total amount of water main construction permit fees, paid by the system in accordance with subparagraph </w:t>
      </w:r>
      <w:hyperlink r:id="rId78">
        <w:r>
          <w:rPr>
            <w:rStyle w:val="Hyperlink"/>
            <w:rFonts w:ascii="Times New Roman" w:hAnsi="Times New Roman"/>
            <w:b w:val="false"/>
            <w:i w:val="false"/>
            <w:color w:val="000000"/>
            <w:sz w:val="22"/>
          </w:rPr>
          <w:t>43.3(3)</w:t>
        </w:r>
      </w:hyperlink>
      <w:r>
        <w:rPr>
          <w:rFonts w:ascii="Times New Roman" w:hAnsi="Times New Roman"/>
          <w:b w:val="false"/>
          <w:i/>
          <w:color w:val="000000"/>
          <w:sz w:val="22"/>
        </w:rPr>
        <w:t>“c”</w:t>
      </w:r>
      <w:r>
        <w:rPr>
          <w:rFonts w:ascii="Times New Roman" w:hAnsi="Times New Roman"/>
          <w:b w:val="false"/>
          <w:i w:val="false"/>
          <w:color w:val="000000"/>
          <w:sz w:val="22"/>
        </w:rPr>
        <w:t>(4), the fee shall be credited to the calendar year in which the actual fee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permit shall contain such conditions as are deemed necessary by the director to ensure compliance with all applicable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director may modify the permit, in whole or in part, at any time. The director may suspend or revoke the permit, in whole or in part, at any time by providing written notice to the permit holder and is not obligated to renew the permit. Cause for modification, suspension, or revocation of the permit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Violation of any term or condition of the permit;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Misrepresentation of fact or failure to disclose fully all material facts in order to obtain a permit;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submit the records and information as required by the director, both generally and as condition of the permit;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submit timely reports from previous permits;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Failure to construct in accordance with approved design standards in accordance with subrule </w:t>
      </w:r>
      <w:hyperlink r:id="rId79">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construct in accordance with the system’s approved standard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No variance to the design standards is allowed under this permit. If a variance to the design standards is needed, the system must apply for an individual construction permit following the procedures in </w:t>
      </w:r>
      <w:hyperlink r:id="rId80">
        <w:r>
          <w:rPr>
            <w:rStyle w:val="Hyperlink"/>
            <w:rFonts w:ascii="Times New Roman" w:hAnsi="Times New Roman"/>
            <w:b w:val="false"/>
            <w:i w:val="false"/>
            <w:color w:val="000000"/>
            <w:sz w:val="22"/>
          </w:rPr>
          <w:t>567—subrule 40.4(1)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43.3(4)</w:t>
      </w:r>
      <w:r>
        <w:rPr>
          <w:rFonts w:ascii="Times New Roman" w:hAnsi="Times New Roman"/>
          <w:b w:val="false"/>
          <w:i w:val="false"/>
          <w:color w:val="000000"/>
          <w:sz w:val="22"/>
        </w:rPr>
        <w:t> </w:t>
      </w:r>
      <w:r>
        <w:rPr>
          <w:rFonts w:ascii="Times New Roman" w:hAnsi="Times New Roman"/>
          <w:b w:val="false"/>
          <w:i/>
          <w:color w:val="000000"/>
          <w:sz w:val="22"/>
        </w:rPr>
        <w:t xml:space="preserve">Waiver from engineering requirements. </w:t>
      </w:r>
      <w:r>
        <w:rPr>
          <w:rFonts w:ascii="Times New Roman" w:hAnsi="Times New Roman"/>
          <w:b w:val="false"/>
          <w:i w:val="false"/>
          <w:color w:val="000000"/>
          <w:sz w:val="22"/>
        </w:rPr>
        <w:t xml:space="preserve">The requirement for plans and specifications prepared by a licensed professional engineer may be waived for the following types of projects, provided the improvement complies with the standards for construction. This waiver does not relieve the supplier of water from meeting the application and permit requirements pursuant to </w:t>
      </w:r>
      <w:hyperlink r:id="rId81">
        <w:r>
          <w:rPr>
            <w:rStyle w:val="Hyperlink"/>
            <w:rFonts w:ascii="Times New Roman" w:hAnsi="Times New Roman"/>
            <w:b w:val="false"/>
            <w:i w:val="false"/>
            <w:color w:val="000000"/>
            <w:sz w:val="22"/>
          </w:rPr>
          <w:t>43.3(3)</w:t>
        </w:r>
      </w:hyperlink>
      <w:r>
        <w:rPr>
          <w:rFonts w:ascii="Times New Roman" w:hAnsi="Times New Roman"/>
          <w:b w:val="false"/>
          <w:i w:val="false"/>
          <w:color w:val="000000"/>
          <w:sz w:val="22"/>
        </w:rPr>
        <w:t>, except that the applicant need not obtain a written permit prior to installing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Simple chemical feed,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improvement consists only of a simple chemical solution application or installation, which in no way affects the performance of a larger treatment process, or is included as part of a larger treatment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chemical application is by a positive displacement pump (of the piston type with a solenoid operated diaphragm), the acceptability of said pump to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supplier of water provides the department with a schematic of the installation and manufacturer’s specifications sufficient enough to determine if the simple chemical feed installation meets, where applicable, standards for construction pursuant to </w:t>
      </w:r>
      <w:hyperlink r:id="rId82">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final installation is approved based on an on-site review and inspection by department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installation includes only the prepackaged delivery of chemicals (from sacks, containers, or carboys) and does not include the bulk storage or transfer of chemicals (from a delivery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Self-contained treatment unit,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equipment is of a type which can be purchased “off the shelf,” is self-contained requiring only a piping hookup for installation and operates throughout a range of 35 to 80 pounds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plant is designed to serve no more than an average of 250 individuals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adequate information from the supplier of water on the type of treatment unit, such as manufacturer’s specifications, a schematic indicating the installation’s location within the system and any other information necessary for review by the department to determine if the installation will alleviate the maximum contaminant level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final installation is approved based on an on-site inspection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w:t>
      </w:r>
      <w:r>
        <w:rPr>
          <w:rFonts w:ascii="Times New Roman" w:hAnsi="Times New Roman"/>
          <w:b w:val="false"/>
          <w:i w:val="false"/>
          <w:color w:val="000000"/>
          <w:sz w:val="22"/>
        </w:rPr>
        <w:t> </w:t>
      </w:r>
      <w:r>
        <w:rPr>
          <w:rFonts w:ascii="Times New Roman" w:hAnsi="Times New Roman"/>
          <w:b w:val="false"/>
          <w:i/>
          <w:color w:val="000000"/>
          <w:sz w:val="22"/>
        </w:rPr>
        <w:t xml:space="preserve">Project planning and basis of design. </w:t>
      </w:r>
      <w:r>
        <w:rPr>
          <w:rFonts w:ascii="Times New Roman" w:hAnsi="Times New Roman"/>
          <w:b w:val="false"/>
          <w:i w:val="false"/>
          <w:color w:val="000000"/>
          <w:sz w:val="22"/>
        </w:rPr>
        <w:t xml:space="preserve">An engineering report containing information and data necessary to determine the conformance of the project to the standards for construction and operation in </w:t>
      </w:r>
      <w:hyperlink r:id="rId83">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and the adequacy of the project to supply water in sufficient quantity and at sufficient pressure and of a quality that complies with drinking water standards pursuant to </w:t>
      </w:r>
      <w:hyperlink r:id="rId84">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must be submitted to the department either with the project or in advance.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information and data must supply pertinent information as set forth in part one of the Ten States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reject receipt or delay review of the plans and specifications until an adequate basis of design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w:t>
      </w:r>
      <w:r>
        <w:rPr>
          <w:rFonts w:ascii="Times New Roman" w:hAnsi="Times New Roman"/>
          <w:b w:val="false"/>
          <w:i w:val="false"/>
          <w:color w:val="000000"/>
          <w:sz w:val="22"/>
        </w:rPr>
        <w:t> </w:t>
      </w:r>
      <w:r>
        <w:rPr>
          <w:rFonts w:ascii="Times New Roman" w:hAnsi="Times New Roman"/>
          <w:b w:val="false"/>
          <w:i/>
          <w:color w:val="000000"/>
          <w:sz w:val="22"/>
        </w:rPr>
        <w:t xml:space="preserve">Standard specifications for water main construction. </w:t>
      </w:r>
      <w:r>
        <w:rPr>
          <w:rFonts w:ascii="Times New Roman" w:hAnsi="Times New Roman"/>
          <w:b w:val="false"/>
          <w:i w:val="false"/>
          <w:color w:val="000000"/>
          <w:sz w:val="22"/>
        </w:rPr>
        <w:t xml:space="preserve">Standard specifications for water main construction by an entity may be submitted to the department or an authorized local public works department for approval. Such approval shall apply to all future water main construction by or for that entity for which plans are submitted with a statement requiring construction in accordance with all applicable approved standard specifications unless the standards for public water supply systems specified in </w:t>
      </w:r>
      <w:hyperlink r:id="rId86">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are modified subsequent to such approval and the standard specifications would not be approvable under the modified standards. In those cases where such approved specifications are on file, construction may commence 30 days following receipt of such plans by the department or an authorized local public works department if no response has been received indicating construction shall not commence until a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43.3(7)</w:t>
      </w:r>
      <w:r>
        <w:rPr>
          <w:rFonts w:ascii="Times New Roman" w:hAnsi="Times New Roman"/>
          <w:b w:val="false"/>
          <w:i w:val="false"/>
          <w:color w:val="000000"/>
          <w:sz w:val="22"/>
        </w:rPr>
        <w:t> </w:t>
      </w:r>
      <w:r>
        <w:rPr>
          <w:rFonts w:ascii="Times New Roman" w:hAnsi="Times New Roman"/>
          <w:b w:val="false"/>
          <w:i/>
          <w:color w:val="000000"/>
          <w:sz w:val="22"/>
        </w:rPr>
        <w:t xml:space="preserve">Site, separation distance, and monitoring requirements for new raw water source(s) and underground finished water storage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required. </w:t>
      </w:r>
      <w:r>
        <w:rPr>
          <w:rFonts w:ascii="Times New Roman" w:hAnsi="Times New Roman"/>
          <w:b w:val="false"/>
          <w:i w:val="false"/>
          <w:color w:val="000000"/>
          <w:sz w:val="22"/>
        </w:rPr>
        <w:t>The site for each proposed raw water supply source or finished water below-ground level storage facility must be approved by the department prior to the submission of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Criteria for approval. </w:t>
      </w:r>
      <w:r>
        <w:rPr>
          <w:rFonts w:ascii="Times New Roman" w:hAnsi="Times New Roman"/>
          <w:b w:val="false"/>
          <w:i w:val="false"/>
          <w:color w:val="000000"/>
          <w:sz w:val="22"/>
        </w:rPr>
        <w:t>A site may be approved by the director if the director concludes that the criteria in this paragraph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source. Wells shall be planned and constructed to adapt to the geologic and groundwater conditions of the proposed well site to ensure production of water from the wells that is both microbially safe and free of substances that could cause harmful human health effects. Groundwater wells must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Drainage must be directed away from the well in all directions for a minimum radius of 15 feet.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well site must be separated from contamination sources by the distances specified in Table A at a minimum.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the well site has received preliminary approval from the department, the owner of the proposed well must submit proof of legal control of the land for a 200-foot radius around the well, through purchase, lease, easement, ordinance, or other similar means. Proof of legal control must be submitted as part of the construction permit application, prior to construction. The legal control must be maintained by the public water system for the life of the well, and the system must ensure that the siting criteria indicated in Table A are met.</w:t>
      </w:r>
    </w:p>
    <w:p>
      <w:pPr>
        <w:spacing w:before="0" w:after="0"/>
        <w:ind w:left="120"/>
        <w:jc w:val="both"/>
      </w:pPr>
      <w:r>
        <w:rPr>
          <w:rFonts w:ascii="Times New Roman" w:hAnsi="Times New Roman"/>
          <w:b w:val="false"/>
          <w:i w:val="false"/>
          <w:color w:val="000000"/>
          <w:sz w:val="22"/>
        </w:rPr>
        <w:t>However, if the proposed well is for an existing noncommunity water system and is replacing an existing well that either does not meet the current standards or is in poor condition, the requirement of 200-foot legal control may be waived by the department provided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proposed well is located on the best available site;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existing facility does not have adequate land to provide the 200-foot control zone;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has attempted to obtain legal control without success;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is no other public water supply available to which the supply could connect.</w:t>
      </w:r>
    </w:p>
    <w:p>
      <w:pPr>
        <w:spacing w:before="0" w:after="0"/>
        <w:ind w:left="120"/>
        <w:jc w:val="both"/>
      </w:pPr>
      <w:r>
        <w:rPr>
          <w:rFonts w:ascii="Times New Roman" w:hAnsi="Times New Roman"/>
          <w:b w:val="false"/>
          <w:i w:val="false"/>
          <w:color w:val="000000"/>
          <w:sz w:val="22"/>
        </w:rPr>
        <w:t>4. When the proposed well is located in an existing well field and will withdraw water from the same aquifer as the existing well(s), individual separation distances may be waived if substantial historical data are available indicating that no contamination has resulted.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 well shall be constructed within the projected plume of any known anthropogenic groundwater contamination without the department’s written approval. The department may allow a well to be constructed within a contamination plume if the applicant can provide adequate treatment to ensure that all drinking water standards are met and that the pumpage of the proposed well will not cause migration of the plume such that it impacts the water quality of other nearby wells. The applicant must demonstrate, using a hydrogeologic model acceptable to the department, that the time of transport is greater than two years for a viral, bacterial, or other microorganism contaminant and greater than ten years for all chemical contaminants. At a minimum, modeling of the projected plume must take into account the proposed pumpage rate of the well. The department may require additional construction standards for these situations to ensure protection of the groundwater from contamination.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department may require that an identification tag be applied to each well and may supply the numbered tag. The responsibility for ensuring that the tag is properly attached to the well is with the certified water well contractor for new wells and with the department for existing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source. The applicant must submit proof that a proposed surface water source can, through readily available treatment methodology, comply with </w:t>
      </w:r>
      <w:hyperlink r:id="rId87">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and that the raw water source is adequately protected against potential health hazards including, but not limited to, point source discharges, hazardous chemical spills, and the potential sources of contamination listed in Table A.</w:t>
      </w:r>
    </w:p>
    <w:p>
      <w:pPr>
        <w:spacing w:before="0" w:after="0"/>
        <w:ind w:left="120"/>
        <w:jc w:val="both"/>
      </w:pPr>
      <w:r>
        <w:rPr>
          <w:rFonts w:ascii="Times New Roman" w:hAnsi="Times New Roman"/>
          <w:b w:val="false"/>
          <w:i w:val="false"/>
          <w:color w:val="000000"/>
          <w:sz w:val="22"/>
        </w:rPr>
        <w:t>After a surface water impoundment has received preliminary approval from the department for use as a raw water source, the owner of the water supply system shall submit proof of legal control through ownership, lease, easement, or other similar means, of contiguous land for a distance of 400 feet from the shoreline at the maximum water level. Legal control shall be for the life of the impoundment and shall control location of sources of contamination within the 400-foot distance. Proof of legal control should be submitted as part of the construction permit application and shall be submitted prior to issuance of a permit to construct.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Below-ground storage facilities. The minimum separation between a below-ground level finished water storage facility and any source of contamination listed in Table A as being 50 feet or more shall be 50 feet. The specific separation distances listed in Table A that are less than 50 feet shall apply to a below-ground level finished water storage facility as indicated in the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Separation distances. Greater separation distances may be required where necessary to ensure that no adverse effects to water supplies or the existing environment will result. Lesser separation distances may be considered if detailed justification is provided by the applicant’s engineer showing that no adverse effects will result from a lesser separation distance, and the regional staff recommends approval of the lesser distance. Such exceptions must be based on special construction techniques or localized geologic or hydrologic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source water monitoring requirements. </w:t>
      </w:r>
      <w:r>
        <w:rPr>
          <w:rFonts w:ascii="Times New Roman" w:hAnsi="Times New Roman"/>
          <w:b w:val="false"/>
          <w:i w:val="false"/>
          <w:color w:val="000000"/>
          <w:sz w:val="22"/>
        </w:rPr>
        <w:t>Water quality monitoring shall be conducted on all new water sources and results submitted to the department prior to placing the new water source into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sources. Water samples shall be collected from each new water source and analyzed for all appropriate contaminants as specified in </w:t>
      </w:r>
      <w:hyperlink r:id="rId89">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xml:space="preserve"> consistent with the particular water system classification. If multiple new sources are being added, compositing of the samples (within a single system) shall be allowed in accordance with the composite sampling requirements outlined in </w:t>
      </w:r>
      <w:hyperlink r:id="rId90">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A single sample may be allowed to meet this requirement, if approved by the department.</w:t>
      </w:r>
    </w:p>
    <w:p>
      <w:pPr>
        <w:spacing w:before="0" w:after="0"/>
        <w:ind w:left="120"/>
        <w:jc w:val="both"/>
      </w:pPr>
      <w:r>
        <w:rPr>
          <w:rFonts w:ascii="Times New Roman" w:hAnsi="Times New Roman"/>
          <w:b w:val="false"/>
          <w:i w:val="false"/>
          <w:color w:val="000000"/>
          <w:sz w:val="22"/>
        </w:rPr>
        <w:t>Subsequent water testing shall be conducted consistent with the water system’s water supply operation permit monitoring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sources. Water samples collected from groundwater sources in accordance with </w:t>
      </w:r>
      <w:hyperlink r:id="rId91">
        <w:r>
          <w:rPr>
            <w:rStyle w:val="Hyperlink"/>
            <w:rFonts w:ascii="Times New Roman" w:hAnsi="Times New Roman"/>
            <w:b w:val="false"/>
            <w:i w:val="false"/>
            <w:color w:val="000000"/>
            <w:sz w:val="22"/>
          </w:rPr>
          <w:t>43.3(7)</w:t>
        </w:r>
      </w:hyperlink>
      <w:r>
        <w:rPr>
          <w:rFonts w:ascii="Times New Roman" w:hAnsi="Times New Roman"/>
          <w:b w:val="false"/>
          <w:i/>
          <w:color w:val="000000"/>
          <w:sz w:val="22"/>
        </w:rPr>
        <w:t>“c”</w:t>
      </w:r>
      <w:r>
        <w:rPr>
          <w:rFonts w:ascii="Times New Roman" w:hAnsi="Times New Roman"/>
          <w:b w:val="false"/>
          <w:i w:val="false"/>
          <w:color w:val="000000"/>
          <w:sz w:val="22"/>
        </w:rPr>
        <w:t>(1) shall be conducted at the conclusion of the drawdown/yield test pumping procedure, with the exception of bacteriological monitoring. Bacteriological monitoring must be conducted after disinfection of each new well and subsequent pumping of the chlorinated water to waste. Water samples must be analyzed for ammonia. Water samples should also be analyzed for alkalinity, pH, calcium, chloride, copper, hardness, iron, magnesium, manganese, potassium, silica, specific conductance, sodium, sulfate, filterable and nonfilterable solids, and zinc.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sources. Water samples collected from surface water sources in accordance with </w:t>
      </w:r>
      <w:hyperlink r:id="rId92">
        <w:r>
          <w:rPr>
            <w:rStyle w:val="Hyperlink"/>
            <w:rFonts w:ascii="Times New Roman" w:hAnsi="Times New Roman"/>
            <w:b w:val="false"/>
            <w:i w:val="false"/>
            <w:color w:val="000000"/>
            <w:sz w:val="22"/>
          </w:rPr>
          <w:t>43.3(7)</w:t>
        </w:r>
      </w:hyperlink>
      <w:r>
        <w:rPr>
          <w:rFonts w:ascii="Times New Roman" w:hAnsi="Times New Roman"/>
          <w:b w:val="false"/>
          <w:i/>
          <w:color w:val="000000"/>
          <w:sz w:val="22"/>
        </w:rPr>
        <w:t>“c”</w:t>
      </w:r>
      <w:r>
        <w:rPr>
          <w:rFonts w:ascii="Times New Roman" w:hAnsi="Times New Roman"/>
          <w:b w:val="false"/>
          <w:i w:val="false"/>
          <w:color w:val="000000"/>
          <w:sz w:val="22"/>
        </w:rPr>
        <w:t>(1) should be collected prior to the design of the surface water treatment facility and shall be conducted and analyzed prior to utilization of the source. The samples shall be collected during June, July, and August. In addition, quarterly monitoring shall be conducted in March, June, September, and December at a location representative of the raw water at its point of withdrawal. Monitoring shall be for turbidity, alkalinity, pH, calcium, chloride, color, copper, hardness, iron, magnesium, manganese, potassium, silica, specific conductance, sodium, sulfate, filterable and nonfilterable solids, carbonate, bicarbonate, algae (qualitative and quantitative), total organic carbon, five-day biochemical oxygen demand, dissolved oxygen, surfactants, nitrogen series (organic, ammonia, nitrite, and nitrate), and phosphate.</w:t>
      </w:r>
    </w:p>
    <w:p>
      <w:pPr>
        <w:spacing w:before="60" w:after="0"/>
        <w:ind w:left="120"/>
        <w:jc w:val="center"/>
      </w:pPr>
      <w:r>
        <w:rPr>
          <w:rFonts w:ascii="Times New Roman" w:hAnsi="Times New Roman"/>
          <w:b w:val="false"/>
          <w:i w:val="false"/>
          <w:color w:val="000000"/>
          <w:sz w:val="22"/>
        </w:rPr>
        <w:t>TABLE A: SEPARATION DISTANCES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34"/>
        <w:gridCol w:w="3506"/>
        <w:gridCol w:w="3650"/>
      </w:tblGrid>
      <w:tr>
        <w:trPr>
          <w:trHeight w:val="585" w:hRule="atLeast"/>
        </w:trPr>
        <w:tc>
          <w:tcPr>
            <w:tcW w:w="403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SOURCE OF CONTAMINATION</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4"/>
              <w:jc w:val="center"/>
            </w:pPr>
            <w:r>
              <w:rPr>
                <w:rFonts w:ascii="Times New Roman" w:hAnsi="Times New Roman"/>
                <w:b w:val="false"/>
                <w:i w:val="false"/>
                <w:color w:val="000000"/>
                <w:sz w:val="16"/>
              </w:rPr>
              <w:t>REQUIRED MINIMUM LATERAL DISTANCE FROM WELL AS HORIZONTAL ON THE GROUND SURFACE,</w:t>
            </w:r>
          </w:p>
          <w:p>
            <w:pPr>
              <w:spacing w:before="0" w:after="0"/>
              <w:ind w:left="164"/>
              <w:jc w:val="center"/>
            </w:pPr>
            <w:r>
              <w:rPr>
                <w:rFonts w:ascii="Times New Roman" w:hAnsi="Times New Roman"/>
                <w:b w:val="false"/>
                <w:i w:val="false"/>
                <w:color w:val="000000"/>
                <w:sz w:val="16"/>
              </w:rPr>
              <w:t>IN FEET</w:t>
            </w:r>
          </w:p>
        </w:tc>
      </w:tr>
      <w:tr>
        <w:trPr>
          <w:trHeight w:val="270" w:hRule="atLeast"/>
        </w:trPr>
        <w:tc>
          <w:tcPr>
            <w:tcW w:w="4034"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Deep Well</w:t>
            </w:r>
            <w:r>
              <w:rPr>
                <w:rFonts w:ascii="Times New Roman" w:hAnsi="Times New Roman"/>
                <w:b w:val="false"/>
                <w:i w:val="false"/>
                <w:color w:val="000000"/>
                <w:sz w:val="18"/>
                <w:vertAlign w:val="superscript"/>
              </w:rPr>
              <w:t>1</w:t>
            </w:r>
          </w:p>
        </w:tc>
        <w:tc>
          <w:tcPr>
            <w:tcW w:w="365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Shallow Well</w:t>
            </w:r>
            <w:r>
              <w:rPr>
                <w:rFonts w:ascii="Times New Roman" w:hAnsi="Times New Roman"/>
                <w:b w:val="false"/>
                <w:i w:val="false"/>
                <w:color w:val="000000"/>
                <w:sz w:val="18"/>
                <w:vertAlign w:val="superscript"/>
              </w:rPr>
              <w:t>1</w:t>
            </w:r>
          </w:p>
        </w:tc>
      </w:tr>
      <w:tr>
        <w:trPr>
          <w:trHeight w:val="24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4"/>
              <w:jc w:val="left"/>
            </w:pPr>
            <w:r>
              <w:rPr>
                <w:rFonts w:ascii="Times New Roman" w:hAnsi="Times New Roman"/>
                <w:b w:val="false"/>
                <w:i w:val="false"/>
                <w:color w:val="000000"/>
                <w:sz w:val="16"/>
              </w:rPr>
              <w:t>WASTEWATER STRUCTURES:</w:t>
            </w:r>
          </w:p>
        </w:tc>
      </w:tr>
      <w:tr>
        <w:trPr>
          <w:trHeight w:val="37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344"/>
              <w:jc w:val="left"/>
            </w:pPr>
            <w:r>
              <w:rPr>
                <w:rFonts w:ascii="Times New Roman" w:hAnsi="Times New Roman"/>
                <w:b w:val="false"/>
                <w:i w:val="false"/>
                <w:color w:val="000000"/>
                <w:sz w:val="16"/>
              </w:rPr>
              <w:t>Point of Discharge to Ground Surface</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Sanitary &amp; industrial discharges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Water treatment plant wastes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Well house floor drains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w:t>
            </w:r>
          </w:p>
        </w:tc>
      </w:tr>
      <w:tr>
        <w:trPr>
          <w:trHeight w:val="25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344"/>
              <w:jc w:val="left"/>
            </w:pPr>
            <w:r>
              <w:rPr>
                <w:rFonts w:ascii="Times New Roman" w:hAnsi="Times New Roman"/>
                <w:b w:val="false"/>
                <w:i w:val="false"/>
                <w:color w:val="000000"/>
                <w:sz w:val="16"/>
              </w:rPr>
              <w:t>Sewers &amp; Drains</w:t>
            </w:r>
            <w:r>
              <w:rPr>
                <w:rFonts w:ascii="Times New Roman" w:hAnsi="Times New Roman"/>
                <w:b w:val="false"/>
                <w:i w:val="false"/>
                <w:color w:val="000000"/>
                <w:sz w:val="18"/>
                <w:vertAlign w:val="superscript"/>
              </w:rPr>
              <w:t>2</w:t>
            </w:r>
          </w:p>
        </w:tc>
      </w:tr>
      <w:tr>
        <w:trPr>
          <w:trHeight w:val="58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Sanitary &amp; storm sewers, drains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25 feet: prohibited</w:t>
            </w:r>
          </w:p>
          <w:p>
            <w:pPr>
              <w:spacing w:before="0" w:after="0"/>
              <w:ind w:left="160"/>
              <w:jc w:val="left"/>
            </w:pPr>
            <w:r>
              <w:rPr>
                <w:rFonts w:ascii="Times New Roman" w:hAnsi="Times New Roman"/>
                <w:b w:val="false"/>
                <w:i w:val="false"/>
                <w:color w:val="000000"/>
                <w:sz w:val="16"/>
              </w:rPr>
              <w:t>25 – 75 feet if water main pipe</w:t>
            </w:r>
          </w:p>
          <w:p>
            <w:pPr>
              <w:spacing w:before="0" w:after="0"/>
              <w:ind w:left="160"/>
              <w:jc w:val="left"/>
            </w:pPr>
            <w:r>
              <w:rPr>
                <w:rFonts w:ascii="Times New Roman" w:hAnsi="Times New Roman"/>
                <w:b w:val="false"/>
                <w:i w:val="false"/>
                <w:color w:val="000000"/>
                <w:sz w:val="16"/>
              </w:rPr>
              <w:t>75 – 200 feet if sanitary sewer pipe</w:t>
            </w:r>
          </w:p>
        </w:tc>
        <w:tc>
          <w:tcPr>
            <w:tcW w:w="36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25 feet: prohibited</w:t>
            </w:r>
          </w:p>
          <w:p>
            <w:pPr>
              <w:spacing w:before="0" w:after="0"/>
              <w:ind w:left="160"/>
              <w:jc w:val="left"/>
            </w:pPr>
            <w:r>
              <w:rPr>
                <w:rFonts w:ascii="Times New Roman" w:hAnsi="Times New Roman"/>
                <w:b w:val="false"/>
                <w:i w:val="false"/>
                <w:color w:val="000000"/>
                <w:sz w:val="16"/>
              </w:rPr>
              <w:t>25 – 75 feet if water main pipe</w:t>
            </w:r>
          </w:p>
          <w:p>
            <w:pPr>
              <w:spacing w:before="0" w:after="0"/>
              <w:ind w:left="160"/>
              <w:jc w:val="left"/>
            </w:pPr>
            <w:r>
              <w:rPr>
                <w:rFonts w:ascii="Times New Roman" w:hAnsi="Times New Roman"/>
                <w:b w:val="false"/>
                <w:i w:val="false"/>
                <w:color w:val="000000"/>
                <w:sz w:val="16"/>
              </w:rPr>
              <w:t>75 – 200 feet if sanitary sewer main pipe</w:t>
            </w:r>
          </w:p>
        </w:tc>
      </w:tr>
      <w:tr>
        <w:trPr>
          <w:trHeight w:val="76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Sewer force mains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75 feet: prohibited</w:t>
            </w:r>
          </w:p>
          <w:p>
            <w:pPr>
              <w:spacing w:before="0" w:after="0"/>
              <w:ind w:left="160"/>
              <w:jc w:val="left"/>
            </w:pPr>
            <w:r>
              <w:rPr>
                <w:rFonts w:ascii="Times New Roman" w:hAnsi="Times New Roman"/>
                <w:b w:val="false"/>
                <w:i w:val="false"/>
                <w:color w:val="000000"/>
                <w:sz w:val="16"/>
              </w:rPr>
              <w:t>75 – 400 feet if water main pipe</w:t>
            </w:r>
          </w:p>
          <w:p>
            <w:pPr>
              <w:spacing w:before="0" w:after="0"/>
              <w:ind w:left="160"/>
              <w:jc w:val="left"/>
            </w:pPr>
            <w:r>
              <w:rPr>
                <w:rFonts w:ascii="Times New Roman" w:hAnsi="Times New Roman"/>
                <w:b w:val="false"/>
                <w:i w:val="false"/>
                <w:color w:val="000000"/>
                <w:sz w:val="16"/>
              </w:rPr>
              <w:t>400 – 1000 feet if sanitary sewer pipe</w:t>
            </w:r>
          </w:p>
        </w:tc>
        <w:tc>
          <w:tcPr>
            <w:tcW w:w="36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75 feet: prohibited</w:t>
            </w:r>
          </w:p>
          <w:p>
            <w:pPr>
              <w:spacing w:before="0" w:after="0"/>
              <w:ind w:left="160"/>
              <w:jc w:val="left"/>
            </w:pPr>
            <w:r>
              <w:rPr>
                <w:rFonts w:ascii="Times New Roman" w:hAnsi="Times New Roman"/>
                <w:b w:val="false"/>
                <w:i w:val="false"/>
                <w:color w:val="000000"/>
                <w:sz w:val="16"/>
              </w:rPr>
              <w:t>75 – 400 feet if water main pipe</w:t>
            </w:r>
          </w:p>
          <w:p>
            <w:pPr>
              <w:spacing w:before="0" w:after="0"/>
              <w:ind w:left="160"/>
              <w:jc w:val="left"/>
            </w:pPr>
            <w:r>
              <w:rPr>
                <w:rFonts w:ascii="Times New Roman" w:hAnsi="Times New Roman"/>
                <w:b w:val="false"/>
                <w:i w:val="false"/>
                <w:color w:val="000000"/>
                <w:sz w:val="16"/>
              </w:rPr>
              <w:t>400 – 1000 feet if sanitary sewer main pipe</w:t>
            </w:r>
          </w:p>
        </w:tc>
      </w:tr>
      <w:tr>
        <w:trPr>
          <w:trHeight w:val="40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 xml:space="preserve">Water plant treatment process wastes that are treated onsite </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5 feet: prohibited</w:t>
            </w:r>
          </w:p>
          <w:p>
            <w:pPr>
              <w:spacing w:before="0" w:after="0"/>
              <w:ind w:left="160"/>
              <w:jc w:val="left"/>
            </w:pPr>
            <w:r>
              <w:rPr>
                <w:rFonts w:ascii="Times New Roman" w:hAnsi="Times New Roman"/>
                <w:b w:val="false"/>
                <w:i w:val="false"/>
                <w:color w:val="000000"/>
                <w:sz w:val="16"/>
              </w:rPr>
              <w:t>5 – 50 feet if sanitary sewer pipe</w:t>
            </w:r>
          </w:p>
        </w:tc>
        <w:tc>
          <w:tcPr>
            <w:tcW w:w="36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5 feet: prohibited</w:t>
            </w:r>
          </w:p>
          <w:p>
            <w:pPr>
              <w:spacing w:before="0" w:after="0"/>
              <w:ind w:left="160"/>
              <w:jc w:val="left"/>
            </w:pPr>
            <w:r>
              <w:rPr>
                <w:rFonts w:ascii="Times New Roman" w:hAnsi="Times New Roman"/>
                <w:b w:val="false"/>
                <w:i w:val="false"/>
                <w:color w:val="000000"/>
                <w:sz w:val="16"/>
              </w:rPr>
              <w:t>5 – 50 feet if sanitary sewer main pipe</w:t>
            </w:r>
          </w:p>
        </w:tc>
      </w:tr>
      <w:tr>
        <w:trPr>
          <w:trHeight w:val="58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Water plant wastes to sanitary sewer</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25 feet: prohibited</w:t>
            </w:r>
          </w:p>
          <w:p>
            <w:pPr>
              <w:spacing w:before="0" w:after="0"/>
              <w:ind w:left="160"/>
              <w:jc w:val="left"/>
            </w:pPr>
            <w:r>
              <w:rPr>
                <w:rFonts w:ascii="Times New Roman" w:hAnsi="Times New Roman"/>
                <w:b w:val="false"/>
                <w:i w:val="false"/>
                <w:color w:val="000000"/>
                <w:sz w:val="16"/>
              </w:rPr>
              <w:t>25 – 75 feet if water main pipe</w:t>
            </w:r>
          </w:p>
          <w:p>
            <w:pPr>
              <w:spacing w:before="0" w:after="0"/>
              <w:ind w:left="160"/>
              <w:jc w:val="left"/>
            </w:pPr>
            <w:r>
              <w:rPr>
                <w:rFonts w:ascii="Times New Roman" w:hAnsi="Times New Roman"/>
                <w:b w:val="false"/>
                <w:i w:val="false"/>
                <w:color w:val="000000"/>
                <w:sz w:val="16"/>
              </w:rPr>
              <w:t>75 – 200 feet if sanitary sewer pipe</w:t>
            </w:r>
          </w:p>
        </w:tc>
        <w:tc>
          <w:tcPr>
            <w:tcW w:w="36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25 feet: prohibited</w:t>
            </w:r>
          </w:p>
          <w:p>
            <w:pPr>
              <w:spacing w:before="0" w:after="0"/>
              <w:ind w:left="160"/>
              <w:jc w:val="left"/>
            </w:pPr>
            <w:r>
              <w:rPr>
                <w:rFonts w:ascii="Times New Roman" w:hAnsi="Times New Roman"/>
                <w:b w:val="false"/>
                <w:i w:val="false"/>
                <w:color w:val="000000"/>
                <w:sz w:val="16"/>
              </w:rPr>
              <w:t>25 – 75 feet if water main pipe</w:t>
            </w:r>
          </w:p>
          <w:p>
            <w:pPr>
              <w:spacing w:before="0" w:after="0"/>
              <w:ind w:left="160"/>
              <w:jc w:val="left"/>
            </w:pPr>
            <w:r>
              <w:rPr>
                <w:rFonts w:ascii="Times New Roman" w:hAnsi="Times New Roman"/>
                <w:b w:val="false"/>
                <w:i w:val="false"/>
                <w:color w:val="000000"/>
                <w:sz w:val="16"/>
              </w:rPr>
              <w:t>75 – 200 feet if sanitary sewer main pipe</w:t>
            </w:r>
          </w:p>
        </w:tc>
      </w:tr>
      <w:tr>
        <w:trPr>
          <w:trHeight w:val="58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Well house floor drains to sewers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25 feet: prohibited</w:t>
            </w:r>
          </w:p>
          <w:p>
            <w:pPr>
              <w:spacing w:before="0" w:after="0"/>
              <w:ind w:left="160"/>
              <w:jc w:val="left"/>
            </w:pPr>
            <w:r>
              <w:rPr>
                <w:rFonts w:ascii="Times New Roman" w:hAnsi="Times New Roman"/>
                <w:b w:val="false"/>
                <w:i w:val="false"/>
                <w:color w:val="000000"/>
                <w:sz w:val="16"/>
              </w:rPr>
              <w:t>25 – 75 feet if water main pipe</w:t>
            </w:r>
          </w:p>
          <w:p>
            <w:pPr>
              <w:spacing w:before="0" w:after="0"/>
              <w:ind w:left="160"/>
              <w:jc w:val="left"/>
            </w:pPr>
            <w:r>
              <w:rPr>
                <w:rFonts w:ascii="Times New Roman" w:hAnsi="Times New Roman"/>
                <w:b w:val="false"/>
                <w:i w:val="false"/>
                <w:color w:val="000000"/>
                <w:sz w:val="16"/>
              </w:rPr>
              <w:t>75 – 200 feet if sanitary sewer pipe</w:t>
            </w:r>
          </w:p>
        </w:tc>
        <w:tc>
          <w:tcPr>
            <w:tcW w:w="36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25 feet: prohibited</w:t>
            </w:r>
          </w:p>
          <w:p>
            <w:pPr>
              <w:spacing w:before="0" w:after="0"/>
              <w:ind w:left="160"/>
              <w:jc w:val="left"/>
            </w:pPr>
            <w:r>
              <w:rPr>
                <w:rFonts w:ascii="Times New Roman" w:hAnsi="Times New Roman"/>
                <w:b w:val="false"/>
                <w:i w:val="false"/>
                <w:color w:val="000000"/>
                <w:sz w:val="16"/>
              </w:rPr>
              <w:t>25 – 75 feet if water main pipe</w:t>
            </w:r>
          </w:p>
          <w:p>
            <w:pPr>
              <w:spacing w:before="0" w:after="0"/>
              <w:ind w:left="160"/>
              <w:jc w:val="left"/>
            </w:pPr>
            <w:r>
              <w:rPr>
                <w:rFonts w:ascii="Times New Roman" w:hAnsi="Times New Roman"/>
                <w:b w:val="false"/>
                <w:i w:val="false"/>
                <w:color w:val="000000"/>
                <w:sz w:val="16"/>
              </w:rPr>
              <w:t>75 – 200 feet if sanitary sewer main pipe</w:t>
            </w:r>
          </w:p>
        </w:tc>
      </w:tr>
      <w:tr>
        <w:trPr>
          <w:trHeight w:val="40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Well house floor drains to surface</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5 feet: prohibited</w:t>
            </w:r>
          </w:p>
          <w:p>
            <w:pPr>
              <w:spacing w:before="0" w:after="0"/>
              <w:ind w:left="160"/>
              <w:jc w:val="left"/>
            </w:pPr>
            <w:r>
              <w:rPr>
                <w:rFonts w:ascii="Times New Roman" w:hAnsi="Times New Roman"/>
                <w:b w:val="false"/>
                <w:i w:val="false"/>
                <w:color w:val="000000"/>
                <w:sz w:val="16"/>
              </w:rPr>
              <w:t>5 – 50 feet if sanitary sewer pipe</w:t>
            </w:r>
          </w:p>
        </w:tc>
        <w:tc>
          <w:tcPr>
            <w:tcW w:w="36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 – 5 feet: prohibited</w:t>
            </w:r>
          </w:p>
          <w:p>
            <w:pPr>
              <w:spacing w:before="0" w:after="0"/>
              <w:ind w:left="160"/>
              <w:jc w:val="left"/>
            </w:pPr>
            <w:r>
              <w:rPr>
                <w:rFonts w:ascii="Times New Roman" w:hAnsi="Times New Roman"/>
                <w:b w:val="false"/>
                <w:i w:val="false"/>
                <w:color w:val="000000"/>
                <w:sz w:val="16"/>
              </w:rPr>
              <w:t>5 – 50 feet if sanitary sewer main pipe</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344"/>
              <w:jc w:val="left"/>
            </w:pPr>
            <w:r>
              <w:rPr>
                <w:rFonts w:ascii="Times New Roman" w:hAnsi="Times New Roman"/>
                <w:b w:val="false"/>
                <w:i w:val="false"/>
                <w:color w:val="000000"/>
                <w:sz w:val="16"/>
              </w:rPr>
              <w:t>Land Disposal of Treated Wastes</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Irrigation of wastewater</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5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Land application of solid wastes</w:t>
            </w:r>
            <w:r>
              <w:rPr>
                <w:rFonts w:ascii="Times New Roman" w:hAnsi="Times New Roman"/>
                <w:b w:val="false"/>
                <w:i w:val="false"/>
                <w:color w:val="000000"/>
                <w:sz w:val="18"/>
                <w:vertAlign w:val="superscript"/>
              </w:rPr>
              <w:t>3</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344"/>
              <w:jc w:val="left"/>
            </w:pPr>
            <w:r>
              <w:rPr>
                <w:rFonts w:ascii="Times New Roman" w:hAnsi="Times New Roman"/>
                <w:b w:val="false"/>
                <w:i w:val="false"/>
                <w:color w:val="000000"/>
                <w:sz w:val="16"/>
              </w:rPr>
              <w:t>Other</w:t>
            </w:r>
          </w:p>
        </w:tc>
      </w:tr>
      <w:tr>
        <w:trPr>
          <w:trHeight w:val="61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Private sewage disposal systems and onsite treatment systems – open portion of treatment system</w:t>
            </w:r>
            <w:r>
              <w:rPr>
                <w:rFonts w:ascii="Times New Roman" w:hAnsi="Times New Roman"/>
                <w:b w:val="false"/>
                <w:i w:val="false"/>
                <w:color w:val="000000"/>
                <w:sz w:val="18"/>
                <w:vertAlign w:val="superscript"/>
              </w:rPr>
              <w:t>4</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61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Private sewage disposal systems and onsite treatment systems – closed portion of treatment system</w:t>
            </w:r>
            <w:r>
              <w:rPr>
                <w:rFonts w:ascii="Times New Roman" w:hAnsi="Times New Roman"/>
                <w:b w:val="false"/>
                <w:i w:val="false"/>
                <w:color w:val="000000"/>
                <w:sz w:val="18"/>
                <w:vertAlign w:val="superscript"/>
              </w:rPr>
              <w:t>4</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Lagoons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r>
      <w:tr>
        <w:trPr>
          <w:trHeight w:val="40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Mechanical wastewater treatment plants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4"/>
              <w:jc w:val="left"/>
            </w:pPr>
            <w:r>
              <w:rPr>
                <w:rFonts w:ascii="Times New Roman" w:hAnsi="Times New Roman"/>
                <w:b w:val="false"/>
                <w:i w:val="false"/>
                <w:color w:val="000000"/>
                <w:sz w:val="16"/>
              </w:rPr>
              <w:t>CHEMICALS:</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Chemical application to ground surface</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r>
      <w:tr>
        <w:trPr>
          <w:trHeight w:val="43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Chemical &amp; mineral storage above ground</w:t>
            </w: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w:t>
            </w:r>
            <w:r>
              <w:rPr>
                <w:rFonts w:ascii="Times New Roman" w:hAnsi="Times New Roman"/>
                <w:b w:val="false"/>
                <w:i w:val="false"/>
                <w:color w:val="000000"/>
                <w:sz w:val="18"/>
                <w:vertAlign w:val="superscript"/>
              </w:rPr>
              <w:t>6</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r>
      <w:tr>
        <w:trPr>
          <w:trHeight w:val="40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Chemical &amp; mineral storage on or under ground</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58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Transmission pipelines (such as fertilizer, liquid petroleum, or anhydrous ammonia)</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4"/>
              <w:jc w:val="left"/>
            </w:pPr>
            <w:r>
              <w:rPr>
                <w:rFonts w:ascii="Times New Roman" w:hAnsi="Times New Roman"/>
                <w:b w:val="false"/>
                <w:i w:val="false"/>
                <w:color w:val="000000"/>
                <w:sz w:val="16"/>
              </w:rPr>
              <w:t>ANIMALS:</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Animal pasturage</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Animal enclosure</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both"/>
            </w:pPr>
            <w:r>
              <w:rPr>
                <w:rFonts w:ascii="Times New Roman" w:hAnsi="Times New Roman"/>
                <w:b w:val="false"/>
                <w:i w:val="false"/>
                <w:color w:val="000000"/>
                <w:sz w:val="16"/>
              </w:rPr>
              <w:t>Earthen silage storage trench or pit</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344"/>
              <w:jc w:val="left"/>
            </w:pPr>
            <w:r>
              <w:rPr>
                <w:rFonts w:ascii="Times New Roman" w:hAnsi="Times New Roman"/>
                <w:b w:val="false"/>
                <w:i w:val="false"/>
                <w:color w:val="000000"/>
                <w:sz w:val="16"/>
              </w:rPr>
              <w:t>Animal Wastes</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Land application of liquid or slurry</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Land application of solids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Solids stockpile</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Storage basin or lagoon</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Storage tank</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4"/>
              <w:jc w:val="left"/>
            </w:pPr>
            <w:r>
              <w:rPr>
                <w:rFonts w:ascii="Times New Roman" w:hAnsi="Times New Roman"/>
                <w:b w:val="false"/>
                <w:i w:val="false"/>
                <w:color w:val="000000"/>
                <w:sz w:val="16"/>
              </w:rPr>
              <w:t>MISCELLANEOUS:</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Basements, pits, sumps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Cemeteries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Cisterns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r>
      <w:tr>
        <w:trPr>
          <w:trHeight w:val="510"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Flowing streams or other surface water bodies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GHEX loop boreholes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Railroads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r>
      <w:tr>
        <w:trPr>
          <w:trHeight w:val="225" w:hRule="atLeast"/>
        </w:trPr>
        <w:tc>
          <w:tcPr>
            <w:tcW w:w="4034"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Private wells</w:t>
            </w:r>
          </w:p>
        </w:tc>
        <w:tc>
          <w:tcPr>
            <w:tcW w:w="35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365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55" w:hRule="atLeast"/>
        </w:trPr>
        <w:tc>
          <w:tcPr>
            <w:tcW w:w="4034" w:type="dxa"/>
            <w:tcBorders>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Solid waste landfills and disposal sites</w:t>
            </w:r>
            <w:r>
              <w:rPr>
                <w:rFonts w:ascii="Times New Roman" w:hAnsi="Times New Roman"/>
                <w:b w:val="false"/>
                <w:i w:val="false"/>
                <w:color w:val="000000"/>
                <w:sz w:val="18"/>
                <w:vertAlign w:val="superscript"/>
              </w:rPr>
              <w:t xml:space="preserve"> 7</w:t>
            </w:r>
          </w:p>
        </w:tc>
        <w:tc>
          <w:tcPr>
            <w:tcW w:w="3506" w:type="dxa"/>
            <w:tcBorders>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c>
          <w:tcPr>
            <w:tcW w:w="365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Deep and shallow wells, as defined in 567—40.2(455B): A deep well is a well located and constructed in such a manner that there is a continuous layer of low permeability soil or rock at least 5 feet thick located at least 25 feet below the normal ground surface and above the aquifer from which water is to be drawn. A shallow well is a well located and constructed in such a manner that there is not a continuous layer of low permeability soil or rock (or equivalent retarding mechanism acceptable to the department) at least 5 feet thick, the top of which is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The separation distances are dependent upon two factors: the type of piping that is in the existing sewer or drain, as noted in the table, and that the piping was properly installed in accordance with the standards.</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Solid wastes are those derived from the treatment of water or wastewater. Certain types of solid wastes from water treatment processes may be land-applied within the separation distance on an individual, case-by-case basis.</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Private sewage disposal system is defined in 567—subrule 69.1(2). “Onsite treatment system” includes any wastewater treatment system not included in the definition of a private sewage disposal system that is utilizing onsite wastewater treatment technologies to treat domestic waste, such as those specified in 567—Chapter 69 (but excluding waste stabilization ponds). Open portions of treatment systems include subsurface absorption systems, mound systems, intermittent sand filters, constructed wetlands, open bottom media filters, and waste stabilization ponds. Closed portions of treatment systems include septic tanks, aerobic treatment units, fully contained media filters and impervious vault toilets. These separation distances also apply to septic systems that are not considered privately owned.</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The minimum separation distance for liquid fuel storage associated with standby power generators shall be 50 feet if secondary containment is provided. Secondary containment shall provide for a minimum of 110 percent of the liquid fuel storage capacity. Double-walled storage tanks shall not be considered as secondary containment. The separation distance for liquefied petroleum gas (LPG) storage shall be 15 feet.</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Electrical power transformers mounted on a single utility pole are exempt from the minimum separation distance requirements.</w:t>
      </w:r>
    </w:p>
    <w:p>
      <w:pPr>
        <w:spacing w:before="0" w:after="0"/>
        <w:ind w:left="120"/>
        <w:jc w:val="both"/>
      </w:pPr>
      <w:r>
        <w:rPr>
          <w:rFonts w:ascii="Times New Roman" w:hAnsi="Times New Roman"/>
          <w:b w:val="false"/>
          <w:i w:val="false"/>
          <w:color w:val="000000"/>
          <w:sz w:val="18"/>
          <w:vertAlign w:val="superscript"/>
        </w:rPr>
        <w:t xml:space="preserve"> 7</w:t>
      </w:r>
      <w:r>
        <w:rPr>
          <w:rFonts w:ascii="Times New Roman" w:hAnsi="Times New Roman"/>
          <w:b w:val="false"/>
          <w:i w:val="false"/>
          <w:color w:val="000000"/>
          <w:sz w:val="16"/>
        </w:rPr>
        <w:t>Solid waste means garbage, refuse, rubbish, and other similar discarded solid or semisolid materials, including but not limited to such materials resulting from industrial, commercial, agricultural, and domestic activities.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43.3(8)</w:t>
      </w:r>
      <w:r>
        <w:rPr>
          <w:rFonts w:ascii="Times New Roman" w:hAnsi="Times New Roman"/>
          <w:b w:val="false"/>
          <w:i w:val="false"/>
          <w:color w:val="000000"/>
          <w:sz w:val="22"/>
        </w:rPr>
        <w:t> </w:t>
      </w:r>
      <w:r>
        <w:rPr>
          <w:rFonts w:ascii="Times New Roman" w:hAnsi="Times New Roman"/>
          <w:b w:val="false"/>
          <w:i/>
          <w:color w:val="000000"/>
          <w:sz w:val="22"/>
        </w:rPr>
        <w:t xml:space="preserve">Drinking water system components. </w:t>
      </w:r>
      <w:r>
        <w:rPr>
          <w:rFonts w:ascii="Times New Roman" w:hAnsi="Times New Roman"/>
          <w:b w:val="false"/>
          <w:i w:val="false"/>
          <w:color w:val="000000"/>
          <w:sz w:val="22"/>
        </w:rPr>
        <w:t>Any drinking water system component which comes into contact with raw, partially treated, or finished water must be suitable for the intended use in a potable water system. The component must be certified by an American National Standards Institute (ANSI) accredited third party for conformance with American National Standards Institute/National Sanitation Foundation (ANSI/NSF) Standard 61 specifications, if such specification exists for the particular product, unless approved components are not reasonably available for use, in accordance with guidance provided by the department. If the component does not meet the ANSI/NSF Standard 61 specifications or no specification is available, the person seeking to supply or use the component must prove to the satisfaction of the department that the component is not toxic or otherwise a potential hazard in a potable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43.3(9)</w:t>
      </w:r>
      <w:r>
        <w:rPr>
          <w:rFonts w:ascii="Times New Roman" w:hAnsi="Times New Roman"/>
          <w:b w:val="false"/>
          <w:i w:val="false"/>
          <w:color w:val="000000"/>
          <w:sz w:val="22"/>
        </w:rPr>
        <w:t> </w:t>
      </w:r>
      <w:r>
        <w:rPr>
          <w:rFonts w:ascii="Times New Roman" w:hAnsi="Times New Roman"/>
          <w:b w:val="false"/>
          <w:i/>
          <w:color w:val="000000"/>
          <w:sz w:val="22"/>
        </w:rPr>
        <w:t xml:space="preserve">Water treatment filter media material. </w:t>
      </w:r>
      <w:r>
        <w:rPr>
          <w:rFonts w:ascii="Times New Roman" w:hAnsi="Times New Roman"/>
          <w:b w:val="false"/>
          <w:i w:val="false"/>
          <w:color w:val="000000"/>
          <w:sz w:val="22"/>
        </w:rPr>
        <w:t>For single media filters, grain sizes up to 0.8 mm effective size may be approved for filters designed to remove constituents other than those contained in the primary drinking water standards. Pilot or full-scale studies demonstrating satisfactory treatment efficiency and operation with the proposed media will be required prior to issuing any construction permits which allow filter media sizes greater than 0.55 mm.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43.3(10)</w:t>
      </w:r>
      <w:r>
        <w:rPr>
          <w:rFonts w:ascii="Times New Roman" w:hAnsi="Times New Roman"/>
          <w:b w:val="false"/>
          <w:i w:val="false"/>
          <w:color w:val="000000"/>
          <w:sz w:val="22"/>
        </w:rPr>
        <w:t> </w:t>
      </w:r>
      <w:r>
        <w:rPr>
          <w:rFonts w:ascii="Times New Roman" w:hAnsi="Times New Roman"/>
          <w:b w:val="false"/>
          <w:i/>
          <w:color w:val="000000"/>
          <w:sz w:val="22"/>
        </w:rPr>
        <w:t xml:space="preserve">Best available treatment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BATs for organic compounds. </w:t>
      </w:r>
      <w:r>
        <w:rPr>
          <w:rFonts w:ascii="Times New Roman" w:hAnsi="Times New Roman"/>
          <w:b w:val="false"/>
          <w:i w:val="false"/>
          <w:color w:val="000000"/>
          <w:sz w:val="22"/>
        </w:rPr>
        <w:t xml:space="preserve">The department identifies as indicated in the table below either granular activated carbon (GAC), packed tower aeration (PTA), or oxidation (OXID) as the best available technology, treatment technique, or other means available for achieving compliance with the maximum contaminant level for organic contaminants identified in 567—paragraph </w:t>
      </w:r>
      <w:hyperlink r:id="rId93">
        <w:r>
          <w:rPr>
            <w:rStyle w:val="Hyperlink"/>
            <w:rFonts w:ascii="Times New Roman" w:hAnsi="Times New Roman"/>
            <w:b w:val="false"/>
            <w:i w:val="false"/>
            <w:color w:val="000000"/>
            <w:sz w:val="22"/>
          </w:rPr>
          <w:t>41.5(1)</w:t>
        </w:r>
      </w:hyperlink>
      <w:r>
        <w:rPr>
          <w:rFonts w:ascii="Times New Roman" w:hAnsi="Times New Roman"/>
          <w:b w:val="false"/>
          <w:i/>
          <w:color w:val="000000"/>
          <w:sz w:val="22"/>
        </w:rPr>
        <w:t xml:space="preserve">“b.” </w:t>
      </w:r>
      <w:r>
        <w:rPr>
          <w:rFonts w:ascii="Times New Roman" w:hAnsi="Times New Roman"/>
          <w:b w:val="false"/>
          <w:i w:val="false"/>
          <w:color w:val="000000"/>
          <w:sz w:val="22"/>
        </w:rPr>
        <w:t>For the purposes of setting MCLs for synthetic organic chemicals, any BAT must be at least as effective as granular activated carbon.</w:t>
      </w:r>
    </w:p>
    <w:tbl>
      <w:tblPr>
        <w:tblW w:w="5000" w:type="pct"/>
        <w:tblCellSpacing w:w="0" w:type="auto"/>
        <w:tblBorders>
          <w:top w:val="none"/>
          <w:left w:val="none"/>
          <w:bottom w:val="none"/>
          <w:right w:val="none"/>
          <w:insideH w:val="none"/>
          <w:insideV w:val="none"/>
        </w:tblBorders>
        <w:tblLayout w:type="fixed"/>
      </w:tblPr>
      <w:tblGrid>
        <w:gridCol w:w="5884"/>
        <w:gridCol w:w="1769"/>
        <w:gridCol w:w="1769"/>
        <w:gridCol w:w="1768"/>
      </w:tblGrid>
      <w:tr>
        <w:trPr>
          <w:trHeight w:val="225" w:hRule="atLeast"/>
        </w:trPr>
        <w:tc>
          <w:tcPr>
            <w:tcW w:w="588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ORGANIC CONTAMINANT</w:t>
            </w:r>
          </w:p>
        </w:tc>
        <w:tc>
          <w:tcPr>
            <w:tcW w:w="17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GAC</w:t>
            </w:r>
          </w:p>
        </w:tc>
        <w:tc>
          <w:tcPr>
            <w:tcW w:w="176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PTA</w:t>
            </w:r>
          </w:p>
        </w:tc>
        <w:tc>
          <w:tcPr>
            <w:tcW w:w="17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OXID</w:t>
            </w:r>
          </w:p>
        </w:tc>
      </w:tr>
      <w:tr>
        <w:trPr>
          <w:trHeight w:val="225"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Alachlor</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Aldicarb</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Aldicarb sulfone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Aldicarb sulfoxide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Atrazine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Benzo(a)pyrene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Carbofuran</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Carbon tetrachloride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Chlordane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2,4-D</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Dalapon</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Dibromochloropropane (DBCP)</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o-Dichlorobenzene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p-Dichlorobenzene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1,2-Dichloroethane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cis-1,2-Dichloroethylene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trans-1,2-Dichloroethylene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1,1-Dichloroethylene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Dichloromethane</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1,2-Dichloropropane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Di(2-ethylhexyl)adipate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Di(2-ethylhexyl)phthalate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Dinoseb</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Diquat</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Endothall</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Endrin</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Ethylene dibromide (EDB)</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Ethylbenzene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Glyphosate</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Heptachlor</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Heptachlor epoxide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Hexachlorobenzene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Hexachlorocyclopentadiene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Lindane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Methoxychlor</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Monochlorobenzene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Oxamyl (Vydate)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Pentachlorophenol</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Picloram</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Polychlorinated biphenyls (PCB)</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Simazine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Styrene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2,4,5-TP (Silvex)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Tetrachloroethylene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1,2,4-Trichlorobenzene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1,1,1-Trichloroethane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1,1,2-Trichloroethane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Trichloroethylene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2,3,7,8-TCDD (Dioxin)</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Toluene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Toxaphene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75"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Vinyl chloride</w:t>
            </w:r>
          </w:p>
        </w:tc>
        <w:tc>
          <w:tcPr>
            <w:tcW w:w="1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Xylene</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7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BATs for inorganic compounds and radionuclides.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Inorganic compounds. The department identifies the following as the best technology, treatment techniques, or other means available for achieving compliance with the maximum contaminant levels for the inorganic contaminants listed in </w:t>
      </w:r>
      <w:hyperlink r:id="rId94">
        <w:r>
          <w:rPr>
            <w:rStyle w:val="Hyperlink"/>
            <w:rFonts w:ascii="Times New Roman" w:hAnsi="Times New Roman"/>
            <w:b w:val="false"/>
            <w:i w:val="false"/>
            <w:color w:val="000000"/>
            <w:sz w:val="22"/>
          </w:rPr>
          <w:t>567—paragraph 41.3(1)</w:t>
        </w:r>
        <w:r>
          <w:rPr>
            <w:rFonts w:ascii="Times New Roman" w:hAnsi="Times New Roman"/>
            <w:b w:val="false"/>
            <w:i/>
            <w:color w:val="000000"/>
            <w:sz w:val="22"/>
          </w:rPr>
          <w:t>“b,”</w:t>
        </w:r>
      </w:hyperlink>
      <w:r>
        <w:rPr>
          <w:rFonts w:ascii="Times New Roman" w:hAnsi="Times New Roman"/>
          <w:b w:val="false"/>
          <w:i w:val="false"/>
          <w:color w:val="000000"/>
          <w:sz w:val="22"/>
        </w:rPr>
        <w:t xml:space="preserve"> except fluoride.</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INORGANIC CHEMICAL</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BAT(s)</w:t>
            </w:r>
          </w:p>
        </w:tc>
      </w:tr>
      <w:tr>
        <w:trPr>
          <w:trHeight w:val="225"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Antimony</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2, 7</w:t>
            </w:r>
          </w:p>
        </w:tc>
      </w:tr>
      <w:tr>
        <w:trPr>
          <w:trHeight w:val="24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Arsenic</w:t>
            </w:r>
            <w:r>
              <w:rPr>
                <w:rFonts w:ascii="Times New Roman" w:hAnsi="Times New Roman"/>
                <w:b w:val="false"/>
                <w:i w:val="false"/>
                <w:color w:val="000000"/>
                <w:sz w:val="18"/>
                <w:vertAlign w:val="superscript"/>
              </w:rPr>
              <w:t>d</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1, 2, 5, 6, 7, 9, 11</w:t>
            </w:r>
            <w:r>
              <w:rPr>
                <w:rFonts w:ascii="Times New Roman" w:hAnsi="Times New Roman"/>
                <w:b w:val="false"/>
                <w:i w:val="false"/>
                <w:color w:val="000000"/>
                <w:sz w:val="18"/>
                <w:vertAlign w:val="superscript"/>
              </w:rPr>
              <w:t>e</w:t>
            </w:r>
          </w:p>
        </w:tc>
      </w:tr>
      <w:tr>
        <w:trPr>
          <w:trHeight w:val="21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Asbestos</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2, 3, 8</w:t>
            </w:r>
          </w:p>
        </w:tc>
      </w:tr>
      <w:tr>
        <w:trPr>
          <w:trHeight w:val="21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Barium</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5, 6, 7, 9</w:t>
            </w:r>
          </w:p>
        </w:tc>
      </w:tr>
      <w:tr>
        <w:trPr>
          <w:trHeight w:val="21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Beryllium</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1, 2, 5, 6, 7</w:t>
            </w:r>
          </w:p>
        </w:tc>
      </w:tr>
      <w:tr>
        <w:trPr>
          <w:trHeight w:val="21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Cadmium</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2, 5, 6, 7</w:t>
            </w:r>
          </w:p>
        </w:tc>
      </w:tr>
      <w:tr>
        <w:trPr>
          <w:trHeight w:val="24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Chromium</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2, 5, 6</w:t>
            </w:r>
            <w:r>
              <w:rPr>
                <w:rFonts w:ascii="Times New Roman" w:hAnsi="Times New Roman"/>
                <w:b w:val="false"/>
                <w:i w:val="false"/>
                <w:color w:val="000000"/>
                <w:sz w:val="18"/>
                <w:vertAlign w:val="superscript"/>
              </w:rPr>
              <w:t>b</w:t>
            </w:r>
            <w:r>
              <w:rPr>
                <w:rFonts w:ascii="Times New Roman" w:hAnsi="Times New Roman"/>
                <w:b w:val="false"/>
                <w:i w:val="false"/>
                <w:color w:val="000000"/>
                <w:sz w:val="16"/>
              </w:rPr>
              <w:t>, 7</w:t>
            </w:r>
          </w:p>
        </w:tc>
      </w:tr>
      <w:tr>
        <w:trPr>
          <w:trHeight w:val="21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Cyanide</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5, 7, 12</w:t>
            </w:r>
          </w:p>
        </w:tc>
      </w:tr>
      <w:tr>
        <w:trPr>
          <w:trHeight w:val="24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Mercury</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2</w:t>
            </w:r>
            <w:r>
              <w:rPr>
                <w:rFonts w:ascii="Times New Roman" w:hAnsi="Times New Roman"/>
                <w:b w:val="false"/>
                <w:i w:val="false"/>
                <w:color w:val="000000"/>
                <w:sz w:val="18"/>
                <w:vertAlign w:val="superscript"/>
              </w:rPr>
              <w:t>a</w:t>
            </w:r>
            <w:r>
              <w:rPr>
                <w:rFonts w:ascii="Times New Roman" w:hAnsi="Times New Roman"/>
                <w:b w:val="false"/>
                <w:i w:val="false"/>
                <w:color w:val="000000"/>
                <w:sz w:val="16"/>
              </w:rPr>
              <w:t>, 4, 6</w:t>
            </w:r>
            <w:r>
              <w:rPr>
                <w:rFonts w:ascii="Times New Roman" w:hAnsi="Times New Roman"/>
                <w:b w:val="false"/>
                <w:i w:val="false"/>
                <w:color w:val="000000"/>
                <w:sz w:val="18"/>
                <w:vertAlign w:val="superscript"/>
              </w:rPr>
              <w:t>a</w:t>
            </w:r>
            <w:r>
              <w:rPr>
                <w:rFonts w:ascii="Times New Roman" w:hAnsi="Times New Roman"/>
                <w:b w:val="false"/>
                <w:i w:val="false"/>
                <w:color w:val="000000"/>
                <w:sz w:val="16"/>
              </w:rPr>
              <w:t>, 7</w:t>
            </w:r>
            <w:r>
              <w:rPr>
                <w:rFonts w:ascii="Times New Roman" w:hAnsi="Times New Roman"/>
                <w:b w:val="false"/>
                <w:i w:val="false"/>
                <w:color w:val="000000"/>
                <w:sz w:val="18"/>
                <w:vertAlign w:val="superscript"/>
              </w:rPr>
              <w:t>a</w:t>
            </w:r>
          </w:p>
        </w:tc>
      </w:tr>
      <w:tr>
        <w:trPr>
          <w:trHeight w:val="21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Nickel</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5, 6, 7</w:t>
            </w:r>
          </w:p>
        </w:tc>
      </w:tr>
      <w:tr>
        <w:trPr>
          <w:trHeight w:val="21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Nitrate</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5, 7, 9</w:t>
            </w:r>
          </w:p>
        </w:tc>
      </w:tr>
      <w:tr>
        <w:trPr>
          <w:trHeight w:val="21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Nitrite</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5, 7</w:t>
            </w:r>
          </w:p>
        </w:tc>
      </w:tr>
      <w:tr>
        <w:trPr>
          <w:trHeight w:val="24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Selenium</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1, 2</w:t>
            </w:r>
            <w:r>
              <w:rPr>
                <w:rFonts w:ascii="Times New Roman" w:hAnsi="Times New Roman"/>
                <w:b w:val="false"/>
                <w:i w:val="false"/>
                <w:color w:val="000000"/>
                <w:sz w:val="18"/>
                <w:vertAlign w:val="superscript"/>
              </w:rPr>
              <w:t>c</w:t>
            </w:r>
            <w:r>
              <w:rPr>
                <w:rFonts w:ascii="Times New Roman" w:hAnsi="Times New Roman"/>
                <w:b w:val="false"/>
                <w:i w:val="false"/>
                <w:color w:val="000000"/>
                <w:sz w:val="16"/>
              </w:rPr>
              <w:t>, 6, 7, 9</w:t>
            </w:r>
          </w:p>
        </w:tc>
      </w:tr>
      <w:tr>
        <w:trPr>
          <w:trHeight w:val="210" w:hRule="atLeast"/>
        </w:trPr>
        <w:tc>
          <w:tcPr>
            <w:tcW w:w="559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Thallium</w:t>
            </w:r>
          </w:p>
        </w:tc>
        <w:tc>
          <w:tcPr>
            <w:tcW w:w="5595" w:type="dxa"/>
            <w:tcBorders/>
            <w:tcMar>
              <w:top w:w="30" w:type="dxa"/>
              <w:left w:w="30" w:type="dxa"/>
              <w:bottom w:w="15" w:type="dxa"/>
              <w:right w:w="30" w:type="dxa"/>
            </w:tcMar>
            <w:vAlign w:val="top"/>
          </w:tcPr>
          <w:p>
            <w:pPr>
              <w:spacing w:before="0" w:after="0"/>
              <w:ind w:left="622"/>
              <w:jc w:val="left"/>
            </w:pPr>
            <w:r>
              <w:rPr>
                <w:rFonts w:ascii="Times New Roman" w:hAnsi="Times New Roman"/>
                <w:b w:val="false"/>
                <w:i w:val="false"/>
                <w:color w:val="000000"/>
                <w:sz w:val="16"/>
              </w:rPr>
              <w:t>1, 5</w:t>
            </w:r>
          </w:p>
        </w:tc>
      </w:tr>
    </w:tbl>
    <w:p>
      <w:pPr>
        <w:spacing w:before="60" w:after="0"/>
        <w:ind w:left="120"/>
        <w:jc w:val="center"/>
      </w:pPr>
      <w:r>
        <w:rPr>
          <w:rFonts w:ascii="Times New Roman" w:hAnsi="Times New Roman"/>
          <w:b w:val="false"/>
          <w:i w:val="false"/>
          <w:color w:val="000000"/>
          <w:sz w:val="18"/>
          <w:u w:val="single"/>
        </w:rPr>
        <w:t>Key to BATs</w:t>
      </w:r>
    </w:p>
    <w:tbl>
      <w:tblPr>
        <w:tblW w:w="5000" w:type="pct"/>
        <w:tblCellSpacing w:w="0" w:type="auto"/>
        <w:tblBorders>
          <w:top w:val="none"/>
          <w:left w:val="none"/>
          <w:bottom w:val="none"/>
          <w:right w:val="none"/>
          <w:insideH w:val="none"/>
          <w:insideV w:val="none"/>
        </w:tblBorders>
        <w:tblLayout w:type="fixed"/>
      </w:tblPr>
      <w:tblGrid>
        <w:gridCol w:w="3794"/>
        <w:gridCol w:w="3698"/>
        <w:gridCol w:w="3698"/>
      </w:tblGrid>
      <w:tr>
        <w:trPr>
          <w:trHeight w:val="210" w:hRule="atLeast"/>
        </w:trPr>
        <w:tc>
          <w:tcPr>
            <w:tcW w:w="3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1=Activated Alumina</w:t>
            </w:r>
          </w:p>
        </w:tc>
        <w:tc>
          <w:tcPr>
            <w:tcW w:w="36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5=Ion Exchange</w:t>
            </w:r>
          </w:p>
        </w:tc>
        <w:tc>
          <w:tcPr>
            <w:tcW w:w="36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9=Electrodialysis</w:t>
            </w:r>
          </w:p>
        </w:tc>
      </w:tr>
      <w:tr>
        <w:trPr>
          <w:trHeight w:val="210" w:hRule="atLeast"/>
        </w:trPr>
        <w:tc>
          <w:tcPr>
            <w:tcW w:w="3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2=Coagulation/Filtration*</w:t>
            </w:r>
          </w:p>
        </w:tc>
        <w:tc>
          <w:tcPr>
            <w:tcW w:w="36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6=Lime Softening*</w:t>
            </w:r>
          </w:p>
        </w:tc>
        <w:tc>
          <w:tcPr>
            <w:tcW w:w="36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10=Chlorine</w:t>
            </w:r>
          </w:p>
        </w:tc>
      </w:tr>
      <w:tr>
        <w:trPr>
          <w:trHeight w:val="210" w:hRule="atLeast"/>
        </w:trPr>
        <w:tc>
          <w:tcPr>
            <w:tcW w:w="3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3=Direct and Diatomite Filtration</w:t>
            </w:r>
          </w:p>
        </w:tc>
        <w:tc>
          <w:tcPr>
            <w:tcW w:w="36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7=Reverse Osmosis</w:t>
            </w:r>
          </w:p>
        </w:tc>
        <w:tc>
          <w:tcPr>
            <w:tcW w:w="36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11=Oxidation/Filtration</w:t>
            </w:r>
          </w:p>
        </w:tc>
      </w:tr>
      <w:tr>
        <w:trPr>
          <w:trHeight w:val="390" w:hRule="atLeast"/>
        </w:trPr>
        <w:tc>
          <w:tcPr>
            <w:tcW w:w="3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4=Granular Activated Carbon</w:t>
            </w:r>
          </w:p>
        </w:tc>
        <w:tc>
          <w:tcPr>
            <w:tcW w:w="36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8=Corrosion Control</w:t>
            </w:r>
          </w:p>
        </w:tc>
        <w:tc>
          <w:tcPr>
            <w:tcW w:w="36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12=Alkaline Chlorination (pH greater than or equal to 8.5)</w:t>
            </w:r>
          </w:p>
        </w:tc>
      </w:tr>
    </w:tbl>
    <w:p>
      <w:pPr>
        <w:spacing w:before="0" w:after="0"/>
        <w:ind w:left="120"/>
        <w:jc w:val="both"/>
      </w:pPr>
      <w:r>
        <w:rPr>
          <w:rFonts w:ascii="Times New Roman" w:hAnsi="Times New Roman"/>
          <w:b w:val="false"/>
          <w:i w:val="false"/>
          <w:color w:val="000000"/>
          <w:sz w:val="16"/>
        </w:rPr>
        <w:t>*not BAT for systems with less than 500 service connections</w:t>
      </w:r>
    </w:p>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16"/>
        </w:rPr>
        <w:t>BAT only if influent Hg concentrations are less than or equal to 10 micrograms/liter.</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16"/>
        </w:rPr>
        <w:t>BAT for Chromium III only.</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16"/>
        </w:rPr>
        <w:t>BAT for Selenium IV only.</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16"/>
        </w:rPr>
        <w:t>BAT for Arsenic V. Preoxidation may be required to convert Arsenic III to Arsenic V.</w:t>
      </w:r>
    </w:p>
    <w:p>
      <w:pPr>
        <w:spacing w:before="0" w:after="0"/>
        <w:ind w:left="120"/>
        <w:jc w:val="both"/>
      </w:pPr>
      <w:r>
        <w:rPr>
          <w:rFonts w:ascii="Times New Roman" w:hAnsi="Times New Roman"/>
          <w:b w:val="false"/>
          <w:i w:val="false"/>
          <w:color w:val="000000"/>
          <w:sz w:val="18"/>
          <w:vertAlign w:val="superscript"/>
        </w:rPr>
        <w:t>e</w:t>
      </w:r>
      <w:r>
        <w:rPr>
          <w:rFonts w:ascii="Times New Roman" w:hAnsi="Times New Roman"/>
          <w:b w:val="false"/>
          <w:i w:val="false"/>
          <w:color w:val="000000"/>
          <w:sz w:val="16"/>
        </w:rPr>
        <w:t>To obtain high removals, iron to arsenic ratio must be at least 20:1.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Small system compliance technologies for arsenic. The department identifies in the following table the affordable technology, treatment techniques, or other means available to systems serving 10,000 or fewer persons for achieving compliance with the arsenic maximum contaminant level.</w:t>
      </w:r>
    </w:p>
    <w:p>
      <w:pPr>
        <w:spacing w:before="60" w:after="0"/>
        <w:ind w:left="120"/>
        <w:jc w:val="center"/>
      </w:pPr>
      <w:r>
        <w:rPr>
          <w:rFonts w:ascii="Times New Roman" w:hAnsi="Times New Roman"/>
          <w:b w:val="false"/>
          <w:i w:val="false"/>
          <w:color w:val="000000"/>
          <w:sz w:val="22"/>
        </w:rPr>
        <w:t>SMALL SYSTEM COMPLIANCE TECHNOLOGIES FOR ARSENIC</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907"/>
        <w:gridCol w:w="6283"/>
      </w:tblGrid>
      <w:tr>
        <w:trPr>
          <w:trHeight w:val="270" w:hRule="atLeast"/>
        </w:trPr>
        <w:tc>
          <w:tcPr>
            <w:tcW w:w="490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Technology</w:t>
            </w:r>
          </w:p>
        </w:tc>
        <w:tc>
          <w:tcPr>
            <w:tcW w:w="628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Affordable for listed small system categories</w:t>
            </w:r>
            <w:r>
              <w:rPr>
                <w:rFonts w:ascii="Times New Roman" w:hAnsi="Times New Roman"/>
                <w:b w:val="false"/>
                <w:i w:val="false"/>
                <w:color w:val="000000"/>
                <w:sz w:val="18"/>
                <w:vertAlign w:val="superscript"/>
              </w:rPr>
              <w:t>2</w:t>
            </w:r>
          </w:p>
        </w:tc>
      </w:tr>
      <w:tr>
        <w:trPr>
          <w:trHeight w:val="240" w:hRule="atLeast"/>
        </w:trPr>
        <w:tc>
          <w:tcPr>
            <w:tcW w:w="4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Activated alumina</w:t>
            </w:r>
          </w:p>
        </w:tc>
        <w:tc>
          <w:tcPr>
            <w:tcW w:w="6283"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size categories</w:t>
            </w:r>
          </w:p>
        </w:tc>
      </w:tr>
      <w:tr>
        <w:trPr>
          <w:trHeight w:val="255" w:hRule="atLeast"/>
        </w:trPr>
        <w:tc>
          <w:tcPr>
            <w:tcW w:w="4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Coagulation/filtration</w:t>
            </w:r>
            <w:r>
              <w:rPr>
                <w:rFonts w:ascii="Times New Roman" w:hAnsi="Times New Roman"/>
                <w:b w:val="false"/>
                <w:i w:val="false"/>
                <w:color w:val="000000"/>
                <w:sz w:val="18"/>
                <w:vertAlign w:val="superscript"/>
              </w:rPr>
              <w:t>3</w:t>
            </w:r>
          </w:p>
        </w:tc>
        <w:tc>
          <w:tcPr>
            <w:tcW w:w="6283"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501 – 3,300 and 3,301 – 10,000</w:t>
            </w:r>
          </w:p>
        </w:tc>
      </w:tr>
      <w:tr>
        <w:trPr>
          <w:trHeight w:val="225" w:hRule="atLeast"/>
        </w:trPr>
        <w:tc>
          <w:tcPr>
            <w:tcW w:w="4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Coagulation-assisted microfiltration</w:t>
            </w:r>
          </w:p>
        </w:tc>
        <w:tc>
          <w:tcPr>
            <w:tcW w:w="6283"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501 – 3,300 and 3,301 – 10,000</w:t>
            </w:r>
          </w:p>
        </w:tc>
      </w:tr>
      <w:tr>
        <w:trPr>
          <w:trHeight w:val="255" w:hRule="atLeast"/>
        </w:trPr>
        <w:tc>
          <w:tcPr>
            <w:tcW w:w="4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Electrodialysis reversal</w:t>
            </w:r>
            <w:r>
              <w:rPr>
                <w:rFonts w:ascii="Times New Roman" w:hAnsi="Times New Roman"/>
                <w:b w:val="false"/>
                <w:i w:val="false"/>
                <w:color w:val="000000"/>
                <w:sz w:val="18"/>
                <w:vertAlign w:val="superscript"/>
              </w:rPr>
              <w:t>4</w:t>
            </w:r>
          </w:p>
        </w:tc>
        <w:tc>
          <w:tcPr>
            <w:tcW w:w="6283"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501 – 3,300 and 3,301 – 10,000</w:t>
            </w:r>
          </w:p>
        </w:tc>
      </w:tr>
      <w:tr>
        <w:trPr>
          <w:trHeight w:val="225" w:hRule="atLeast"/>
        </w:trPr>
        <w:tc>
          <w:tcPr>
            <w:tcW w:w="4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Enhanced coagulation/filtration</w:t>
            </w:r>
          </w:p>
        </w:tc>
        <w:tc>
          <w:tcPr>
            <w:tcW w:w="6283"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size categories</w:t>
            </w:r>
          </w:p>
        </w:tc>
      </w:tr>
      <w:tr>
        <w:trPr>
          <w:trHeight w:val="225" w:hRule="atLeast"/>
        </w:trPr>
        <w:tc>
          <w:tcPr>
            <w:tcW w:w="4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Enhanced lime softening (pH &gt; 10.5)</w:t>
            </w:r>
          </w:p>
        </w:tc>
        <w:tc>
          <w:tcPr>
            <w:tcW w:w="6283"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size categories</w:t>
            </w:r>
          </w:p>
        </w:tc>
      </w:tr>
      <w:tr>
        <w:trPr>
          <w:trHeight w:val="225" w:hRule="atLeast"/>
        </w:trPr>
        <w:tc>
          <w:tcPr>
            <w:tcW w:w="4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Ion exchange</w:t>
            </w:r>
          </w:p>
        </w:tc>
        <w:tc>
          <w:tcPr>
            <w:tcW w:w="6283"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size categories</w:t>
            </w:r>
          </w:p>
        </w:tc>
      </w:tr>
      <w:tr>
        <w:trPr>
          <w:trHeight w:val="255" w:hRule="atLeast"/>
        </w:trPr>
        <w:tc>
          <w:tcPr>
            <w:tcW w:w="4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Lime softening</w:t>
            </w:r>
            <w:r>
              <w:rPr>
                <w:rFonts w:ascii="Times New Roman" w:hAnsi="Times New Roman"/>
                <w:b w:val="false"/>
                <w:i w:val="false"/>
                <w:color w:val="000000"/>
                <w:sz w:val="18"/>
                <w:vertAlign w:val="superscript"/>
              </w:rPr>
              <w:t>3</w:t>
            </w:r>
          </w:p>
        </w:tc>
        <w:tc>
          <w:tcPr>
            <w:tcW w:w="6283"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501 – 3,300 and 3,301 – 10,000</w:t>
            </w:r>
          </w:p>
        </w:tc>
      </w:tr>
      <w:tr>
        <w:trPr>
          <w:trHeight w:val="255" w:hRule="atLeast"/>
        </w:trPr>
        <w:tc>
          <w:tcPr>
            <w:tcW w:w="4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Oxidation/filtration</w:t>
            </w:r>
            <w:r>
              <w:rPr>
                <w:rFonts w:ascii="Times New Roman" w:hAnsi="Times New Roman"/>
                <w:b w:val="false"/>
                <w:i w:val="false"/>
                <w:color w:val="000000"/>
                <w:sz w:val="18"/>
                <w:vertAlign w:val="superscript"/>
              </w:rPr>
              <w:t>5</w:t>
            </w:r>
          </w:p>
        </w:tc>
        <w:tc>
          <w:tcPr>
            <w:tcW w:w="6283"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size categories</w:t>
            </w:r>
          </w:p>
        </w:tc>
      </w:tr>
      <w:tr>
        <w:trPr>
          <w:trHeight w:val="255" w:hRule="atLeast"/>
        </w:trPr>
        <w:tc>
          <w:tcPr>
            <w:tcW w:w="490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Reverse osmosis</w:t>
            </w:r>
            <w:r>
              <w:rPr>
                <w:rFonts w:ascii="Times New Roman" w:hAnsi="Times New Roman"/>
                <w:b w:val="false"/>
                <w:i w:val="false"/>
                <w:color w:val="000000"/>
                <w:sz w:val="18"/>
                <w:vertAlign w:val="superscript"/>
              </w:rPr>
              <w:t>4</w:t>
            </w:r>
          </w:p>
        </w:tc>
        <w:tc>
          <w:tcPr>
            <w:tcW w:w="62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501 – 3,300 and 3,301 – 10,000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Technologies are for Arsenic V. Preoxidation may be required to convert Arsenic III to Arsenic V.</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There are three categories of small systems: those serving 25 to 500 people, those serving 501 to 3,300 people, and those serving 3,301 to 10,000 people.</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Unlikely to be installed solely for arsenic removal. May require pH adjustment to optimal range if high removals are needed.</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Technologies reject a large volume of water. May not be appropriate for areas where water quantity may be an issue.</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To obtain high removals, iron to arsenic ratio must be at least 20:1.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Radionuclides.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identifies in the following table the best available technology for achieving compliance with the radionuclide maximum contaminant levels as indicated.</w:t>
      </w:r>
    </w:p>
    <w:p>
      <w:pPr>
        <w:spacing w:before="60" w:after="0"/>
        <w:ind w:left="120"/>
        <w:jc w:val="center"/>
      </w:pPr>
      <w:r>
        <w:rPr>
          <w:rFonts w:ascii="Times New Roman" w:hAnsi="Times New Roman"/>
          <w:b w:val="false"/>
          <w:i w:val="false"/>
          <w:color w:val="000000"/>
          <w:sz w:val="22"/>
        </w:rPr>
        <w:t>RADIONUCLIDE BAT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40" w:hRule="atLeast"/>
        </w:trPr>
        <w:tc>
          <w:tcPr>
            <w:tcW w:w="55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Contaminant</w:t>
            </w:r>
          </w:p>
        </w:tc>
        <w:tc>
          <w:tcPr>
            <w:tcW w:w="559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Best Available Technology</w:t>
            </w:r>
          </w:p>
        </w:tc>
      </w:tr>
      <w:tr>
        <w:trPr>
          <w:trHeight w:val="420"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Gross alpha particle activity</w:t>
            </w:r>
          </w:p>
          <w:p>
            <w:pPr>
              <w:spacing w:before="0" w:after="0"/>
              <w:ind w:left="160"/>
              <w:jc w:val="both"/>
            </w:pPr>
            <w:r>
              <w:rPr>
                <w:rFonts w:ascii="Times New Roman" w:hAnsi="Times New Roman"/>
                <w:b w:val="false"/>
                <w:i w:val="false"/>
                <w:color w:val="000000"/>
                <w:sz w:val="16"/>
              </w:rPr>
              <w:t xml:space="preserve"> (excluding radon and uranium)</w:t>
            </w:r>
          </w:p>
        </w:tc>
        <w:tc>
          <w:tcPr>
            <w:tcW w:w="5595"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Reverse osmosis</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Beta particle and photon radioactivity</w:t>
            </w:r>
          </w:p>
        </w:tc>
        <w:tc>
          <w:tcPr>
            <w:tcW w:w="5595"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Ion exchange, reverse osmosis</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Combined radium-226 and radium-228</w:t>
            </w:r>
          </w:p>
        </w:tc>
        <w:tc>
          <w:tcPr>
            <w:tcW w:w="5595"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Ion exchange, reverse osmosis, lime softening</w:t>
            </w:r>
          </w:p>
        </w:tc>
      </w:tr>
      <w:tr>
        <w:trPr>
          <w:trHeight w:val="405" w:hRule="atLeast"/>
        </w:trPr>
        <w:tc>
          <w:tcPr>
            <w:tcW w:w="559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Uranium</w:t>
            </w:r>
          </w:p>
        </w:tc>
        <w:tc>
          <w:tcPr>
            <w:tcW w:w="55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Ion exchange, reverse osmosis, lime softening, coagulation/filtration</w:t>
            </w:r>
          </w:p>
        </w:tc>
      </w:tr>
    </w:tbl>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Small system compliance technologies. The following technologies are identified as radionuclide BAT for systems serving 10,000 or fewer people.</w:t>
      </w:r>
    </w:p>
    <w:p>
      <w:pPr>
        <w:spacing w:before="60" w:after="0"/>
        <w:ind w:left="120"/>
        <w:jc w:val="center"/>
      </w:pPr>
      <w:r>
        <w:rPr>
          <w:rFonts w:ascii="Times New Roman" w:hAnsi="Times New Roman"/>
          <w:b w:val="false"/>
          <w:i w:val="false"/>
          <w:color w:val="000000"/>
          <w:sz w:val="22"/>
        </w:rPr>
        <w:t>RADIONUCLIDES SMALL SYSTEM COMPLIANCE TECHNOLOGIES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70" w:hRule="atLeast"/>
        </w:trPr>
        <w:tc>
          <w:tcPr>
            <w:tcW w:w="55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Contaminant</w:t>
            </w:r>
          </w:p>
        </w:tc>
        <w:tc>
          <w:tcPr>
            <w:tcW w:w="559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Compliance Technology</w:t>
            </w:r>
            <w:r>
              <w:rPr>
                <w:rFonts w:ascii="Times New Roman" w:hAnsi="Times New Roman"/>
                <w:b w:val="false"/>
                <w:i w:val="false"/>
                <w:color w:val="000000"/>
                <w:sz w:val="18"/>
                <w:vertAlign w:val="superscript"/>
              </w:rPr>
              <w:t>a</w:t>
            </w:r>
          </w:p>
        </w:tc>
      </w:tr>
      <w:tr>
        <w:trPr>
          <w:trHeight w:val="240"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Gross alpha particle activity</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Beta particle and photon radioactivity</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1, 2</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Combined radium-226 and radium-228</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1, 2, 3, 4, 5, 6, 7</w:t>
            </w:r>
          </w:p>
        </w:tc>
      </w:tr>
      <w:tr>
        <w:trPr>
          <w:trHeight w:val="255" w:hRule="atLeast"/>
        </w:trPr>
        <w:tc>
          <w:tcPr>
            <w:tcW w:w="559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Uranium</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1, 2</w:t>
            </w:r>
            <w:r>
              <w:rPr>
                <w:rFonts w:ascii="Times New Roman" w:hAnsi="Times New Roman"/>
                <w:b w:val="false"/>
                <w:i w:val="false"/>
                <w:color w:val="000000"/>
                <w:sz w:val="18"/>
                <w:vertAlign w:val="superscript"/>
              </w:rPr>
              <w:t>b</w:t>
            </w:r>
            <w:r>
              <w:rPr>
                <w:rFonts w:ascii="Times New Roman" w:hAnsi="Times New Roman"/>
                <w:b w:val="false"/>
                <w:i w:val="false"/>
                <w:color w:val="000000"/>
                <w:sz w:val="16"/>
              </w:rPr>
              <w:t>, 3</w:t>
            </w:r>
            <w:r>
              <w:rPr>
                <w:rFonts w:ascii="Times New Roman" w:hAnsi="Times New Roman"/>
                <w:b w:val="false"/>
                <w:i w:val="false"/>
                <w:color w:val="000000"/>
                <w:sz w:val="18"/>
                <w:vertAlign w:val="superscript"/>
              </w:rPr>
              <w:t>b</w:t>
            </w:r>
            <w:r>
              <w:rPr>
                <w:rFonts w:ascii="Times New Roman" w:hAnsi="Times New Roman"/>
                <w:b w:val="false"/>
                <w:i w:val="false"/>
                <w:color w:val="000000"/>
                <w:sz w:val="16"/>
              </w:rPr>
              <w:t xml:space="preserve">, 8, 9 </w:t>
            </w:r>
          </w:p>
        </w:tc>
      </w:tr>
    </w:tbl>
    <w:tbl>
      <w:tblPr>
        <w:tblW w:w="5000" w:type="pct"/>
        <w:tblCellSpacing w:w="0" w:type="auto"/>
        <w:tblBorders>
          <w:top w:val="none"/>
          <w:left w:val="none"/>
          <w:bottom w:val="none"/>
          <w:right w:val="none"/>
          <w:insideH w:val="none"/>
          <w:insideV w:val="none"/>
        </w:tblBorders>
        <w:tblLayout w:type="fixed"/>
      </w:tblPr>
      <w:tblGrid>
        <w:gridCol w:w="267"/>
        <w:gridCol w:w="11253"/>
      </w:tblGrid>
      <w:tr>
        <w:trPr>
          <w:trHeight w:val="240" w:hRule="atLeast"/>
        </w:trPr>
        <w:tc>
          <w:tcPr>
            <w:tcW w:w="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2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a</w:t>
            </w:r>
            <w:r>
              <w:rPr>
                <w:rFonts w:ascii="Times New Roman" w:hAnsi="Times New Roman"/>
                <w:b w:val="false"/>
                <w:i w:val="false"/>
                <w:color w:val="000000"/>
                <w:sz w:val="16"/>
              </w:rPr>
              <w:t>Compliance technologies are listed with their corresponding number and potential limitations for use, as follows:</w:t>
            </w:r>
          </w:p>
        </w:tc>
      </w:tr>
      <w:tr>
        <w:trPr>
          <w:trHeight w:val="2535" w:hRule="atLeast"/>
        </w:trPr>
        <w:tc>
          <w:tcPr>
            <w:tcW w:w="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2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Ion exchange. The regeneration solution contains high concentrations of the contaminant ions. Disposal options should be carefully considered before choosing this technology.</w:t>
            </w:r>
          </w:p>
          <w:p>
            <w:pPr>
              <w:spacing w:before="0" w:after="0"/>
              <w:ind w:left="160"/>
              <w:jc w:val="left"/>
            </w:pPr>
            <w:r>
              <w:rPr>
                <w:rFonts w:ascii="Times New Roman" w:hAnsi="Times New Roman"/>
                <w:b w:val="false"/>
                <w:i w:val="false"/>
                <w:color w:val="000000"/>
                <w:sz w:val="16"/>
              </w:rPr>
              <w:t>2: Reverse osmosis. Reject water disposal options should be carefully considered before choosing this technology.</w:t>
            </w:r>
          </w:p>
          <w:p>
            <w:pPr>
              <w:spacing w:before="0" w:after="0"/>
              <w:ind w:left="160"/>
              <w:jc w:val="left"/>
            </w:pPr>
            <w:r>
              <w:rPr>
                <w:rFonts w:ascii="Times New Roman" w:hAnsi="Times New Roman"/>
                <w:b w:val="false"/>
                <w:i w:val="false"/>
                <w:color w:val="000000"/>
                <w:sz w:val="16"/>
              </w:rPr>
              <w:t>3: Lime softening. The complexity of the water chemistry may make this technology too complex for small systems.</w:t>
            </w:r>
          </w:p>
          <w:p>
            <w:pPr>
              <w:spacing w:before="0" w:after="0"/>
              <w:ind w:left="160"/>
              <w:jc w:val="left"/>
            </w:pPr>
            <w:r>
              <w:rPr>
                <w:rFonts w:ascii="Times New Roman" w:hAnsi="Times New Roman"/>
                <w:b w:val="false"/>
                <w:i w:val="false"/>
                <w:color w:val="000000"/>
                <w:sz w:val="16"/>
              </w:rPr>
              <w:t>4: Green sand filtration. Removal efficiencies can vary depending on water quality.</w:t>
            </w:r>
          </w:p>
          <w:p>
            <w:pPr>
              <w:spacing w:before="0" w:after="0"/>
              <w:ind w:left="160"/>
              <w:jc w:val="left"/>
            </w:pPr>
            <w:r>
              <w:rPr>
                <w:rFonts w:ascii="Times New Roman" w:hAnsi="Times New Roman"/>
                <w:b w:val="false"/>
                <w:i w:val="false"/>
                <w:color w:val="000000"/>
                <w:sz w:val="16"/>
              </w:rPr>
              <w:t>5: Coprecipitation with barium sulfate. This technology has limited applications to small systems, and is most applicable to systems with sufficiently high sulfate levels that already have a suitable filtration treatment train in place.</w:t>
            </w:r>
          </w:p>
          <w:p>
            <w:pPr>
              <w:spacing w:before="0" w:after="0"/>
              <w:ind w:left="160"/>
              <w:jc w:val="left"/>
            </w:pPr>
            <w:r>
              <w:rPr>
                <w:rFonts w:ascii="Times New Roman" w:hAnsi="Times New Roman"/>
                <w:b w:val="false"/>
                <w:i w:val="false"/>
                <w:color w:val="000000"/>
                <w:sz w:val="16"/>
              </w:rPr>
              <w:t>6: Electrodialysis/electrodialysis reversal.</w:t>
            </w:r>
          </w:p>
          <w:p>
            <w:pPr>
              <w:spacing w:before="0" w:after="0"/>
              <w:ind w:left="160"/>
              <w:jc w:val="left"/>
            </w:pPr>
            <w:r>
              <w:rPr>
                <w:rFonts w:ascii="Times New Roman" w:hAnsi="Times New Roman"/>
                <w:b w:val="false"/>
                <w:i w:val="false"/>
                <w:color w:val="000000"/>
                <w:sz w:val="16"/>
              </w:rPr>
              <w:t>7: Pre-formed hydrous manganese oxide filtration. This technology is most applicable to small systems that have existing filtration technology.</w:t>
            </w:r>
          </w:p>
          <w:p>
            <w:pPr>
              <w:spacing w:before="0" w:after="0"/>
              <w:ind w:left="160"/>
              <w:jc w:val="left"/>
            </w:pPr>
            <w:r>
              <w:rPr>
                <w:rFonts w:ascii="Times New Roman" w:hAnsi="Times New Roman"/>
                <w:b w:val="false"/>
                <w:i w:val="false"/>
                <w:color w:val="000000"/>
                <w:sz w:val="16"/>
              </w:rPr>
              <w:t>8: Activated alumina. The regeneration solution contains high concentrations of the contaminant ions. Disposal options should be carefully considered before choosing this technology. Handling of chemicals required during regeneration and pH adjustment requires an adequately trained operator.</w:t>
            </w:r>
          </w:p>
          <w:p>
            <w:pPr>
              <w:spacing w:before="0" w:after="0"/>
              <w:ind w:left="160"/>
              <w:jc w:val="left"/>
            </w:pPr>
            <w:r>
              <w:rPr>
                <w:rFonts w:ascii="Times New Roman" w:hAnsi="Times New Roman"/>
                <w:b w:val="false"/>
                <w:i w:val="false"/>
                <w:color w:val="000000"/>
                <w:sz w:val="16"/>
              </w:rPr>
              <w:t>9: Enhanced coagulation/filtration. This technology assumes that it is a modification to an existing coagulation/filtration process.</w:t>
            </w:r>
          </w:p>
        </w:tc>
      </w:tr>
      <w:tr>
        <w:trPr>
          <w:trHeight w:val="240" w:hRule="atLeast"/>
        </w:trPr>
        <w:tc>
          <w:tcPr>
            <w:tcW w:w="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2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b</w:t>
            </w:r>
            <w:r>
              <w:rPr>
                <w:rFonts w:ascii="Times New Roman" w:hAnsi="Times New Roman"/>
                <w:b w:val="false"/>
                <w:i w:val="false"/>
                <w:color w:val="000000"/>
                <w:sz w:val="16"/>
              </w:rPr>
              <w:t>Not recommended for systems serving 25 to 500 persons.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BATs for disinfection byproducts and disinfectants. </w:t>
      </w:r>
      <w:r>
        <w:rPr>
          <w:rFonts w:ascii="Times New Roman" w:hAnsi="Times New Roman"/>
          <w:b w:val="false"/>
          <w:i w:val="false"/>
          <w:color w:val="000000"/>
          <w:sz w:val="22"/>
        </w:rPr>
        <w:t xml:space="preserve">The department identifies the following as the best technology, treatment techniques, or other means available for achieving compliance with the maximum contaminant levels for the disinfection byproducts listed in 567—paragraph </w:t>
      </w:r>
      <w:hyperlink r:id="rId95">
        <w:r>
          <w:rPr>
            <w:rStyle w:val="Hyperlink"/>
            <w:rFonts w:ascii="Times New Roman" w:hAnsi="Times New Roman"/>
            <w:b w:val="false"/>
            <w:i w:val="false"/>
            <w:color w:val="000000"/>
            <w:sz w:val="22"/>
          </w:rPr>
          <w:t>41.5(2)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the maximum residual disinfectant levels listed in 567—paragraph </w:t>
      </w:r>
      <w:hyperlink r:id="rId96">
        <w:r>
          <w:rPr>
            <w:rStyle w:val="Hyperlink"/>
            <w:rFonts w:ascii="Times New Roman" w:hAnsi="Times New Roman"/>
            <w:b w:val="false"/>
            <w:i w:val="false"/>
            <w:color w:val="000000"/>
            <w:sz w:val="22"/>
          </w:rPr>
          <w:t>41.5(2)</w:t>
        </w:r>
      </w:hyperlink>
      <w:r>
        <w:rPr>
          <w:rFonts w:ascii="Times New Roman" w:hAnsi="Times New Roman"/>
          <w:b w:val="false"/>
          <w:i/>
          <w:color w:val="000000"/>
          <w:sz w:val="22"/>
        </w:rPr>
        <w:t>“c.”</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155"/>
        <w:gridCol w:w="7035"/>
      </w:tblGrid>
      <w:tr>
        <w:trPr>
          <w:trHeight w:val="420" w:hRule="atLeast"/>
        </w:trPr>
        <w:tc>
          <w:tcPr>
            <w:tcW w:w="4155"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DBP</w:t>
            </w:r>
          </w:p>
          <w:p>
            <w:pPr>
              <w:spacing w:before="0" w:after="0"/>
              <w:ind w:left="160"/>
              <w:jc w:val="center"/>
            </w:pPr>
            <w:r>
              <w:rPr>
                <w:rFonts w:ascii="Times New Roman" w:hAnsi="Times New Roman"/>
                <w:b w:val="false"/>
                <w:i w:val="false"/>
                <w:color w:val="000000"/>
                <w:sz w:val="16"/>
              </w:rPr>
              <w:t>MCL or MRDL</w:t>
            </w:r>
          </w:p>
        </w:tc>
        <w:tc>
          <w:tcPr>
            <w:tcW w:w="7035" w:type="dxa"/>
            <w:tcBorders>
              <w:bottom w:val="doub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Best Available Technology</w:t>
            </w:r>
          </w:p>
        </w:tc>
      </w:tr>
      <w:tr>
        <w:trPr>
          <w:trHeight w:val="240" w:hRule="atLeast"/>
        </w:trPr>
        <w:tc>
          <w:tcPr>
            <w:tcW w:w="415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Bromate MCL</w:t>
            </w:r>
          </w:p>
        </w:tc>
        <w:tc>
          <w:tcPr>
            <w:tcW w:w="7035"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Control of ozone treatment process to reduce production of bromate</w:t>
            </w:r>
          </w:p>
        </w:tc>
      </w:tr>
      <w:tr>
        <w:trPr>
          <w:trHeight w:val="405" w:hRule="atLeast"/>
        </w:trPr>
        <w:tc>
          <w:tcPr>
            <w:tcW w:w="415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Chlorite MCL</w:t>
            </w:r>
          </w:p>
        </w:tc>
        <w:tc>
          <w:tcPr>
            <w:tcW w:w="7035"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Control of treatment processes to reduce disinfectant demand and control of disinfection treatment processes to reduce disinfectant levels</w:t>
            </w:r>
          </w:p>
        </w:tc>
      </w:tr>
      <w:tr>
        <w:trPr>
          <w:trHeight w:val="480" w:hRule="atLeast"/>
        </w:trPr>
        <w:tc>
          <w:tcPr>
            <w:tcW w:w="41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HAA5 and TTHM MCL running annual average</w:t>
            </w:r>
          </w:p>
        </w:tc>
        <w:tc>
          <w:tcPr>
            <w:tcW w:w="7035"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Enhanced coagulation or enhanced softening or GAC10, with chlorine as the primary and residual disinfectant</w:t>
            </w:r>
          </w:p>
        </w:tc>
      </w:tr>
      <w:tr>
        <w:trPr>
          <w:trHeight w:val="1470" w:hRule="atLeast"/>
        </w:trPr>
        <w:tc>
          <w:tcPr>
            <w:tcW w:w="41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HAA5 and TTHM MCL LRAA</w:t>
            </w:r>
          </w:p>
        </w:tc>
        <w:tc>
          <w:tcPr>
            <w:tcW w:w="7035"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Non-consecutive system: Enhanced coagulation or enhanced softening, plus GAC10; or nanofiltration with a molecular weight cutoff that is less than or equal to 1000 Daltons; or GAC20</w:t>
            </w:r>
            <w:r>
              <w:br/>
            </w: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Consecutive system serving at least 10,000 persons*: Improved distribution system and storage tank management to reduce residence time, plus the use of chloramines for disinfectant residual maintenance</w:t>
            </w:r>
            <w:r>
              <w:br/>
            </w: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Consecutive system serving fewer than 10,000 persons*: Improved distribution system and storage tank management to reduce residence time</w:t>
            </w:r>
          </w:p>
        </w:tc>
      </w:tr>
      <w:tr>
        <w:trPr>
          <w:trHeight w:val="405" w:hRule="atLeast"/>
        </w:trPr>
        <w:tc>
          <w:tcPr>
            <w:tcW w:w="415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MRDL</w:t>
            </w:r>
          </w:p>
        </w:tc>
        <w:tc>
          <w:tcPr>
            <w:tcW w:w="703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Control of treatment processes to reduce disinfectant demand and control of disinfection treatment processes to reduce disinfectant levels</w:t>
            </w:r>
          </w:p>
        </w:tc>
      </w:tr>
    </w:tbl>
    <w:p>
      <w:pPr>
        <w:spacing w:before="0" w:after="0"/>
        <w:ind w:left="120"/>
        <w:jc w:val="both"/>
      </w:pPr>
      <w:r>
        <w:rPr>
          <w:rFonts w:ascii="Times New Roman" w:hAnsi="Times New Roman"/>
          <w:b w:val="false"/>
          <w:i w:val="false"/>
          <w:color w:val="000000"/>
          <w:sz w:val="16"/>
        </w:rPr>
        <w:t>* Applies only to the disinfected water that consecutive systems buy or otherwise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Requirement to install BAT. </w:t>
      </w:r>
      <w:r>
        <w:rPr>
          <w:rFonts w:ascii="Times New Roman" w:hAnsi="Times New Roman"/>
          <w:b w:val="false"/>
          <w:i w:val="false"/>
          <w:color w:val="000000"/>
          <w:sz w:val="22"/>
        </w:rPr>
        <w:t xml:space="preserve">The department shall require community water systems and nontransient noncommunity water systems to install and use any treatment method identified in </w:t>
      </w:r>
      <w:hyperlink r:id="rId97">
        <w:r>
          <w:rPr>
            <w:rStyle w:val="Hyperlink"/>
            <w:rFonts w:ascii="Times New Roman" w:hAnsi="Times New Roman"/>
            <w:b w:val="false"/>
            <w:i w:val="false"/>
            <w:color w:val="000000"/>
            <w:sz w:val="22"/>
          </w:rPr>
          <w:t>43.3(10)</w:t>
        </w:r>
      </w:hyperlink>
      <w:r>
        <w:rPr>
          <w:rFonts w:ascii="Times New Roman" w:hAnsi="Times New Roman"/>
          <w:b w:val="false"/>
          <w:i w:val="false"/>
          <w:color w:val="000000"/>
          <w:sz w:val="22"/>
        </w:rPr>
        <w:t xml:space="preserve"> as a condition for granting an interim contaminant level except as provided in paragraph </w:t>
      </w:r>
      <w:r>
        <w:rPr>
          <w:rFonts w:ascii="Times New Roman" w:hAnsi="Times New Roman"/>
          <w:b w:val="false"/>
          <w:i/>
          <w:color w:val="000000"/>
          <w:sz w:val="22"/>
        </w:rPr>
        <w:t>“e.”</w:t>
      </w:r>
      <w:r>
        <w:rPr>
          <w:rFonts w:ascii="Times New Roman" w:hAnsi="Times New Roman"/>
          <w:b w:val="false"/>
          <w:i w:val="false"/>
          <w:color w:val="000000"/>
          <w:sz w:val="22"/>
        </w:rPr>
        <w:t xml:space="preserve"> If, after the system’s installation of the treatment method, the system cannot meet the maximum contaminant level, the system shall be eligible for a compliance schedule with an interim contaminant level granted under the provisions of </w:t>
      </w:r>
      <w:hyperlink r:id="rId98">
        <w:r>
          <w:rPr>
            <w:rStyle w:val="Hyperlink"/>
            <w:rFonts w:ascii="Times New Roman" w:hAnsi="Times New Roman"/>
            <w:b w:val="false"/>
            <w:i w:val="false"/>
            <w:color w:val="000000"/>
            <w:sz w:val="22"/>
          </w:rPr>
          <w:t>567—subrule 42.1(9)</w:t>
        </w:r>
      </w:hyperlink>
      <w:r>
        <w:rPr>
          <w:rFonts w:ascii="Times New Roman" w:hAnsi="Times New Roman"/>
          <w:b w:val="false"/>
          <w:i w:val="false"/>
          <w:color w:val="000000"/>
          <w:sz w:val="22"/>
        </w:rPr>
        <w:t xml:space="preserve"> and rule </w:t>
      </w:r>
      <w:hyperlink r:id="rId99">
        <w:r>
          <w:rPr>
            <w:rStyle w:val="Hyperlink"/>
            <w:rFonts w:ascii="Times New Roman" w:hAnsi="Times New Roman"/>
            <w:b w:val="false"/>
            <w:i w:val="false"/>
            <w:color w:val="000000"/>
            <w:sz w:val="22"/>
          </w:rPr>
          <w:t>567—43.2(455B)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Engineering assessment option. </w:t>
      </w:r>
      <w:r>
        <w:rPr>
          <w:rFonts w:ascii="Times New Roman" w:hAnsi="Times New Roman"/>
          <w:b w:val="false"/>
          <w:i w:val="false"/>
          <w:color w:val="000000"/>
          <w:sz w:val="22"/>
        </w:rPr>
        <w:t xml:space="preserve">If a system can demonstrate through comprehensive engineering assessments, which may at the direction of the department include pilot plant studies, that the treatment methods identified in </w:t>
      </w:r>
      <w:hyperlink r:id="rId100">
        <w:r>
          <w:rPr>
            <w:rStyle w:val="Hyperlink"/>
            <w:rFonts w:ascii="Times New Roman" w:hAnsi="Times New Roman"/>
            <w:b w:val="false"/>
            <w:i w:val="false"/>
            <w:color w:val="000000"/>
            <w:sz w:val="22"/>
          </w:rPr>
          <w:t>43.3(10)</w:t>
        </w:r>
      </w:hyperlink>
      <w:r>
        <w:rPr>
          <w:rFonts w:ascii="Times New Roman" w:hAnsi="Times New Roman"/>
          <w:b w:val="false"/>
          <w:i w:val="false"/>
          <w:color w:val="000000"/>
          <w:sz w:val="22"/>
        </w:rPr>
        <w:t xml:space="preserve"> would only achieve a de minimis reduction in contaminants, the department may issue a schedule of compliance that requires the system being granted the variance to examine other treatment methods as a condition of obtaining the interim contaminant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Compliance schedule. </w:t>
      </w:r>
      <w:r>
        <w:rPr>
          <w:rFonts w:ascii="Times New Roman" w:hAnsi="Times New Roman"/>
          <w:b w:val="false"/>
          <w:i w:val="false"/>
          <w:color w:val="000000"/>
          <w:sz w:val="22"/>
        </w:rPr>
        <w:t xml:space="preserve">If the department determines that a treatment method identified in </w:t>
      </w:r>
      <w:hyperlink r:id="rId101">
        <w:r>
          <w:rPr>
            <w:rStyle w:val="Hyperlink"/>
            <w:rFonts w:ascii="Times New Roman" w:hAnsi="Times New Roman"/>
            <w:b w:val="false"/>
            <w:i w:val="false"/>
            <w:color w:val="000000"/>
            <w:sz w:val="22"/>
          </w:rPr>
          <w:t>43.3(10)</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is technically feasible, the department may require the system to install or use that treatment method in connection with a compliance schedule issued under the provisions of </w:t>
      </w:r>
      <w:hyperlink r:id="rId102">
        <w:r>
          <w:rPr>
            <w:rStyle w:val="Hyperlink"/>
            <w:rFonts w:ascii="Times New Roman" w:hAnsi="Times New Roman"/>
            <w:b w:val="false"/>
            <w:i w:val="false"/>
            <w:color w:val="000000"/>
            <w:sz w:val="22"/>
          </w:rPr>
          <w:t>567—subrule 42.1(9)</w:t>
        </w:r>
      </w:hyperlink>
      <w:r>
        <w:rPr>
          <w:rFonts w:ascii="Times New Roman" w:hAnsi="Times New Roman"/>
          <w:b w:val="false"/>
          <w:i w:val="false"/>
          <w:color w:val="000000"/>
          <w:sz w:val="22"/>
        </w:rPr>
        <w:t xml:space="preserve"> and rule </w:t>
      </w:r>
      <w:hyperlink r:id="rId103">
        <w:r>
          <w:rPr>
            <w:rStyle w:val="Hyperlink"/>
            <w:rFonts w:ascii="Times New Roman" w:hAnsi="Times New Roman"/>
            <w:b w:val="false"/>
            <w:i w:val="false"/>
            <w:color w:val="000000"/>
            <w:sz w:val="22"/>
          </w:rPr>
          <w:t>567—43.2(455B)</w:t>
        </w:r>
      </w:hyperlink>
      <w:r>
        <w:rPr>
          <w:rFonts w:ascii="Times New Roman" w:hAnsi="Times New Roman"/>
          <w:b w:val="false"/>
          <w:i w:val="false"/>
          <w:color w:val="000000"/>
          <w:sz w:val="22"/>
        </w:rPr>
        <w:t>. The determination shall be based upon studies by the system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Avoidance of unacceptable risk to health (URTH). </w:t>
      </w:r>
      <w:r>
        <w:rPr>
          <w:rFonts w:ascii="Times New Roman" w:hAnsi="Times New Roman"/>
          <w:b w:val="false"/>
          <w:i w:val="false"/>
          <w:color w:val="000000"/>
          <w:sz w:val="22"/>
        </w:rPr>
        <w:t xml:space="preserve">The department may require a public water system to use bottled water, point-of-use devices, point-of-entry devices or other means as a condition of granting a variance or an exemption, or issuance of a compliance schedule, from the requirements of </w:t>
      </w:r>
      <w:hyperlink r:id="rId104">
        <w:r>
          <w:rPr>
            <w:rStyle w:val="Hyperlink"/>
            <w:rFonts w:ascii="Times New Roman" w:hAnsi="Times New Roman"/>
            <w:b w:val="false"/>
            <w:i w:val="false"/>
            <w:color w:val="000000"/>
            <w:sz w:val="22"/>
          </w:rPr>
          <w:t>43.3(10)</w:t>
        </w:r>
      </w:hyperlink>
      <w:r>
        <w:rPr>
          <w:rFonts w:ascii="Times New Roman" w:hAnsi="Times New Roman"/>
          <w:b w:val="false"/>
          <w:i w:val="false"/>
          <w:color w:val="000000"/>
          <w:sz w:val="22"/>
        </w:rPr>
        <w:t xml:space="preserve"> to avoid an unreasonable risk to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6190C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567—43.4</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of completion. </w:t>
      </w:r>
      <w:r>
        <w:rPr>
          <w:rFonts w:ascii="Times New Roman" w:hAnsi="Times New Roman"/>
          <w:b w:val="false"/>
          <w:i w:val="false"/>
          <w:color w:val="000000"/>
          <w:sz w:val="22"/>
        </w:rPr>
        <w:t xml:space="preserve">Within 30 days after completion of construction, installation or modification of any project, the permit holder shall submit a certification by a licensed professional engineer that the project was completed in accordance with the approved plans and specifications except if the project received a waiver pursuant to </w:t>
      </w:r>
      <w:hyperlink r:id="rId105">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567—43.5</w:t>
      </w:r>
      <w:r>
        <w:rPr>
          <w:rFonts w:ascii="Times New Roman" w:hAnsi="Times New Roman"/>
          <w:b/>
          <w:i w:val="false"/>
          <w:color w:val="000000"/>
          <w:sz w:val="22"/>
        </w:rPr>
        <w:t xml:space="preserve">(455B) </w:t>
      </w:r>
      <w:r>
        <w:rPr>
          <w:rFonts w:ascii="Times New Roman" w:hAnsi="Times New Roman"/>
          <w:b/>
          <w:i w:val="false"/>
          <w:color w:val="000000"/>
          <w:sz w:val="22"/>
        </w:rPr>
        <w:t xml:space="preserve">Filtration and disinfection for surface water and influenced groundwater public water supply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color w:val="000000"/>
          <w:sz w:val="22"/>
        </w:rPr>
        <w:t xml:space="preserve">Applicability/general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to all public water supply systems using surface water or groundwater under the direct influence of surface water, in whole or in part, and establish criteria under which filtration is required as a treatment technique. In addition, these rules establish treatment technique requirements in lieu of maximum contaminant levels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heterotrophic plate count bacteria, </w:t>
      </w:r>
      <w:r>
        <w:rPr>
          <w:rFonts w:ascii="Times New Roman" w:hAnsi="Times New Roman"/>
          <w:b w:val="false"/>
          <w:i/>
          <w:color w:val="000000"/>
          <w:sz w:val="22"/>
        </w:rPr>
        <w:t>Legionella</w:t>
      </w:r>
      <w:r>
        <w:rPr>
          <w:rFonts w:ascii="Times New Roman" w:hAnsi="Times New Roman"/>
          <w:b w:val="false"/>
          <w:i w:val="false"/>
          <w:color w:val="000000"/>
          <w:sz w:val="22"/>
        </w:rPr>
        <w:t xml:space="preserve">, viruses and turbidity. Each public water system with a surface water source or a groundwater source under the direct influence of surface water must provide treatment of that source water which complies with these treatment technique requirements. Systems which serve at least 10,000 persons must also comply with the requirements of </w:t>
      </w:r>
      <w:hyperlink r:id="rId106">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Systems which serve fewer than 10,000 persons must also comply with the requirements of </w:t>
      </w:r>
      <w:hyperlink r:id="rId107">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(455B). The treatment technique requirements consist of installing and properly operating water treatment processes which reliably achieve: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99.9 percent (3-log) removal or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between a point where the raw water is not subject to recontamination by surface water runoff and a point downstream before or at the first customer;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99.99 percent (4-log) removal or inactivation of viruses between a point where the raw water is not subject to recontamination by surface water runoff and a point downstream before or at the first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Criteria for identification of groundwater under the direct influence of surface water. “Groundwater under the direct influence of surface water” means any water beneath the surface of the ground with: (1) significant occurrence of insects or other macroorganisms, algae, or large-diameter pathogens such as </w:t>
      </w:r>
      <w:r>
        <w:rPr>
          <w:rFonts w:ascii="Times New Roman" w:hAnsi="Times New Roman"/>
          <w:b w:val="false"/>
          <w:i/>
          <w:color w:val="000000"/>
          <w:sz w:val="22"/>
        </w:rPr>
        <w:t>Giardia lamblia</w:t>
      </w:r>
      <w:r>
        <w:rPr>
          <w:rFonts w:ascii="Times New Roman" w:hAnsi="Times New Roman"/>
          <w:b w:val="false"/>
          <w:i w:val="false"/>
          <w:color w:val="000000"/>
          <w:sz w:val="22"/>
        </w:rPr>
        <w:t>, or (2) significant and relatively rapid shifts in water characteristics such as turbidity (particulate content), temperature, conductivity, or pH which closely correlate to climatological or surface water conditions. Direct influence must be determined for individual sources in accordance with criteria established by the department. The department determination of direct influence may be based on site-specific measurements of water quality or documentation of well construction characteristics and geology with field evaluation. Only surface water and groundwater sources under the direct influence of surface water that are at risk to the contamination from Giardia cysts are subject to the requirements of this rule. Groundwater sources shall not be subject to this rule. The evaluation process shall be used to delineate between surface water, groundwater under the direct influence of surface water and groundwater. The identification of a source as surface water and groundwater under the direct influence of surface water shall be determined for an individual source, by the department, in accordance with the following criteria. The public water supply shall provide to the department that information necessary to make the determination. The evaluation process will involve one or more of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Preliminary evaluation. The department shall conduct a preliminary evaluation of information on the source provided by the public water supply to determine if the source is an obvious surface water (e.g., pond, lake, stream) or groundwater under the direct influence of surface water. The source shall be evaluated during that period of highest susceptibility to influence from surface water. The preliminary evaluation may include a review of surveys, reports, geological information of the area, physical properties of the source, and a review of departmental and public water system records. If the source is identified as a surface water, no additional evaluation shall be conducted. If the source is a groundwater and identified as a deep well, it shall be classified as a groundwater not under the direct influence of surface water and no additional evaluation shall be conducted, unless through direct knowledge or documentation the source does not meet the requirements of </w:t>
      </w:r>
      <w:hyperlink r:id="rId108">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 xml:space="preserve">(2). The deep well shall then be evaluated in accordance with </w:t>
      </w:r>
      <w:hyperlink r:id="rId109">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 xml:space="preserve">(3). If the source is a shallow well, the source shall be evaluated in accordance with </w:t>
      </w:r>
      <w:hyperlink r:id="rId110">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 xml:space="preserve">(2). If the source is a spring, infiltration gallery, radial collector well, or any other subsurface source, it shall be evaluated in accordance with </w:t>
      </w:r>
      <w:hyperlink r:id="rId111">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Well source evaluation. Shallow wells greater than 50 feet in lateral distance from a surface water source shall be evaluated for direct influence of surface water through a review of departmental or public water system files in accordance with </w:t>
      </w:r>
      <w:hyperlink r:id="rId112">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 xml:space="preserve">(2)“1” and </w:t>
      </w:r>
      <w:hyperlink r:id="rId113">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 xml:space="preserve">(2)“2.” Sources that meet the criteria shall be considered to be not under the direct influence of surface water. No additional evaluation will be required. Shallow wells 50 feet or less in lateral distance from a surface water shall be in accordance with </w:t>
      </w:r>
      <w:hyperlink r:id="rId114">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(3) and (4).</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Well construction criteria. The well shall be constructed so as to prevent surface water from entering the well or traversing the casing.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Water quality criteria. Water quality records shall indicate: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record of total coliform or fecal coliform contamination in untreated samples collected over the past three years.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history of turbidity problems associated with the well, other than turbidity as a result of inorganic chemical precipitates.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No history of known or suspected outbreak of Giardia or other pathogenic organisms associated with surface water (e.g., </w:t>
      </w:r>
      <w:r>
        <w:rPr>
          <w:rFonts w:ascii="Times New Roman" w:hAnsi="Times New Roman"/>
          <w:b w:val="false"/>
          <w:i/>
          <w:color w:val="000000"/>
          <w:sz w:val="22"/>
        </w:rPr>
        <w:t>Cryptosporidium</w:t>
      </w:r>
      <w:r>
        <w:rPr>
          <w:rFonts w:ascii="Times New Roman" w:hAnsi="Times New Roman"/>
          <w:b w:val="false"/>
          <w:i w:val="false"/>
          <w:color w:val="000000"/>
          <w:sz w:val="22"/>
        </w:rPr>
        <w:t>) which has been attributed to the well.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Other available data. If data on particulate matter analysis of the well are available, there shall be no evidence of particulate matter present that is associated with surface water. If information on turbidity or temperature monitoring of the well and nearby surface water is available, there shall be no data on the source which correlates with that of a nearby surface water.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Further evaluation. Wells that do not meet all the requirements listed shall require further evaluation in accordance with </w:t>
      </w:r>
      <w:hyperlink r:id="rId115">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(3)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Formal evaluation. The evaluation shall be conducted by the department or a licensed professional engineer at the direction of the public water supply. The evaluation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Complete file review. In addition to the information gathered in </w:t>
      </w:r>
      <w:hyperlink r:id="rId116">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(1), the complete file review shall consider but not be limited to: design and construction details; evidence of direct surface water contamination; water quality analysis; indications of waterborne disease outbreaks; operational procedures; and customer complaints regarding water quality or water-related infectious illness. Sources other than a well source shall be evaluated in a like manner to include a field survey.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Field survey. A field survey shall substantiate findings of the complete file review and determine if the source is at risk to pathogens from direct surface water influence. The field survey shall examine the following criteria for evidence that surface water enters the source through defects in the source which include but are not limited to: a lack of a surface seal on wells, infiltration gallery laterals exposed to surface water, springs open to the atmosphere, surface runoff entering a spring or other collector, and distances to obvious surface water sources.</w:t>
      </w:r>
    </w:p>
    <w:p>
      <w:pPr>
        <w:spacing w:before="0" w:after="0"/>
        <w:ind w:left="120"/>
        <w:jc w:val="both"/>
      </w:pPr>
      <w:r>
        <w:rPr>
          <w:rFonts w:ascii="Times New Roman" w:hAnsi="Times New Roman"/>
          <w:b w:val="false"/>
          <w:i w:val="false"/>
          <w:color w:val="000000"/>
          <w:sz w:val="22"/>
        </w:rPr>
        <w:t xml:space="preserve">A report summarizing the findings of the complete file review and field survey shall be submitted to the department for final review and classification of the source. If the complete file review or field survey demonstrates conclusively that the source is subject to the direct surface water influence, the source shall be classified as under the direct influence of surface water. Either method or both may be used to demonstrate that the source is a surface water or groundwater under the direct influence of surface water. If the findings do not demonstrate conclusive evidence of direct influence of surface water, the analysis outlined in </w:t>
      </w:r>
      <w:hyperlink r:id="rId117">
        <w:r>
          <w:rPr>
            <w:rStyle w:val="Hyperlink"/>
            <w:rFonts w:ascii="Times New Roman" w:hAnsi="Times New Roman"/>
            <w:b w:val="false"/>
            <w:i w:val="false"/>
            <w:color w:val="000000"/>
            <w:sz w:val="22"/>
          </w:rPr>
          <w:t>43.5(1)</w:t>
        </w:r>
      </w:hyperlink>
      <w:r>
        <w:rPr>
          <w:rFonts w:ascii="Times New Roman" w:hAnsi="Times New Roman"/>
          <w:b w:val="false"/>
          <w:i/>
          <w:color w:val="000000"/>
          <w:sz w:val="22"/>
        </w:rPr>
        <w:t>“b”</w:t>
      </w:r>
      <w:r>
        <w:rPr>
          <w:rFonts w:ascii="Times New Roman" w:hAnsi="Times New Roman"/>
          <w:b w:val="false"/>
          <w:i w:val="false"/>
          <w:color w:val="000000"/>
          <w:sz w:val="22"/>
        </w:rPr>
        <w:t>(4) should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Particulate analysis and physical properties evaluation.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Surface water indicators. Particulate analysis shall be conducted to identify organisms which only occur in surface waters as opposed to groundwaters, and whose presence in a groundwater would indicate the direct influence of surface 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Identification of a Giardia cyst, live diatoms, and blue-green, green, or other chloroplast containing algae in any source water shall be considered evidence of direct surface water influence.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Rotifers and insect parts are indicators of surface water. Without knowledge of which species is present, the finding of rotifers indicates that the source is either directly influenced by surface water, or the water contains organic matter sufficient to support the growth of rotifers. Insects or insect parts shall be considered strong evidence of surface water influence, if not direct evidence.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presence of coccidia (e.g., </w:t>
      </w:r>
      <w:r>
        <w:rPr>
          <w:rFonts w:ascii="Times New Roman" w:hAnsi="Times New Roman"/>
          <w:b w:val="false"/>
          <w:i/>
          <w:color w:val="000000"/>
          <w:sz w:val="22"/>
        </w:rPr>
        <w:t>Cryptosporidium</w:t>
      </w:r>
      <w:r>
        <w:rPr>
          <w:rFonts w:ascii="Times New Roman" w:hAnsi="Times New Roman"/>
          <w:b w:val="false"/>
          <w:i w:val="false"/>
          <w:color w:val="000000"/>
          <w:sz w:val="22"/>
        </w:rPr>
        <w:t>) in the source water is considered a good indicator of direct influence of surface water. Other macroorganisms (greater than 7 um) which are parasitic to animals and fish such as, but not limited to, helminths (e.g., tapeworm cysts), ascaris, and Diphyllobothrium, shall be considered as indicators of direct influence of surface water.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Physical properties. Turbidity, temperature, pH and conductivity provide supportive, but less direct, evidence of direct influence of surface water. Turbidity fluctuations of greater than 0.5-1.0 NTU over the course of a year may be indicative of direct influence of surface water. Temperature fluctuations may also indicate surface water influence. Changes in other chemical parameters such as pH, conductivity, or hardness may also give an indirect indication of influence by nearby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A public water system using a surface water source or a groundwater source under the direct influence of surface water is considered to be in compliance with the requirements of this subrule if it meets the filtration requirements in </w:t>
      </w:r>
      <w:hyperlink r:id="rId118">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and the disinfection requirements in </w:t>
      </w:r>
      <w:hyperlink r:id="rId119">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in accordance with the effective dates specified within the respective subrules.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operator requirement. Each public water system using a surface water source or a groundwater source under the direct influence of surface water must be operated by a certified operator who meets the requirements of </w:t>
      </w:r>
      <w:hyperlink r:id="rId120">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r>
        <w:rPr>
          <w:rFonts w:ascii="Times New Roman" w:hAnsi="Times New Roman"/>
          <w:b w:val="false"/>
          <w:i w:val="false"/>
          <w:color w:val="000000"/>
          <w:sz w:val="22"/>
        </w:rPr>
        <w:t xml:space="preserve">All community and noncommunity public water supply systems using surface water or groundwater under the direct influence of surface water in whole or in part shall be required to provide disinfection in compliance with this subrule and filtration in compliance with </w:t>
      </w:r>
      <w:hyperlink r:id="rId121">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If the department has determined that filtration is required, the system must comply with any interim disinfection requirements the department deems necessary before filtration is installed. A system providing filtration on or before December 30, 1991, must meet the disinfection requirements of this subrule beginning June 29, 1993. A system providing filtration after December 30, 1991, must meet the disinfection requirements of this subrule when filtration is installed. Failure to meet any requirement of this subrule after the applicable date specified in this subrule is a treatment technique violation. The disinfection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treatment criteria. </w:t>
      </w:r>
      <w:r>
        <w:rPr>
          <w:rFonts w:ascii="Times New Roman" w:hAnsi="Times New Roman"/>
          <w:b w:val="false"/>
          <w:i w:val="false"/>
          <w:color w:val="000000"/>
          <w:sz w:val="22"/>
        </w:rPr>
        <w:t xml:space="preserve">The disinfection treatment must be sufficient to ensure that the total treatment processes of that system achieve at least 99.9 percent (3-log) inactivation or removal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and at least 99.99 percent (4-log) inactivation or removal of viruses, acceptable to the department. At least 0.5 log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must be achieved through disinfection treatment using a chemical disinfectant even if the required inactivation or removal is met or exceeded through physical treatment processes. Each system is required to calculate the total inactivation ratio (CTcalculated/CTrequired) each day the treatment plant is in operation. The system’s total inactivation ratio must be equal to or greater than 1.0 in order to ensure that the minimum inactivation and removal requirements have been achieved. If the system’s total inactivation ratio for the day is below 1.0, the system must notify the department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Disinfection system. </w:t>
      </w:r>
      <w:r>
        <w:rPr>
          <w:rFonts w:ascii="Times New Roman" w:hAnsi="Times New Roman"/>
          <w:b w:val="false"/>
          <w:i w:val="false"/>
          <w:color w:val="000000"/>
          <w:sz w:val="22"/>
        </w:rPr>
        <w:t>The disinfection system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Redundant components, including an auxiliary power supply with automatic start-up and alarm to ensure that disinfectant application is maintained continuously while water is being delivered to the distribution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shutoff of delivery of water to the distribution system whenever there is less than 0.3 mg/L of residual disinfectant concentration in the water. If the department determines that automatic shutoff would cause unreasonable risk to health or interfere with fire protection, the system must comply with </w:t>
      </w:r>
      <w:hyperlink r:id="rId122">
        <w:r>
          <w:rPr>
            <w:rStyle w:val="Hyperlink"/>
            <w:rFonts w:ascii="Times New Roman" w:hAnsi="Times New Roman"/>
            <w:b w:val="false"/>
            <w:i w:val="false"/>
            <w:color w:val="000000"/>
            <w:sz w:val="22"/>
          </w:rPr>
          <w:t>43.5(2)</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entering system. </w:t>
      </w:r>
      <w:r>
        <w:rPr>
          <w:rFonts w:ascii="Times New Roman" w:hAnsi="Times New Roman"/>
          <w:b w:val="false"/>
          <w:i w:val="false"/>
          <w:color w:val="000000"/>
          <w:sz w:val="22"/>
        </w:rPr>
        <w:t xml:space="preserve">The residual disinfectant concentration in the water entering the distribution system, measured as specified in </w:t>
      </w:r>
      <w:hyperlink r:id="rId123">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(5) and </w:t>
      </w:r>
      <w:hyperlink r:id="rId124">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(2), cannot be less than 0.3 mg/L free residual or 1.5 mg/L total residual chlorine for more than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in the system. </w:t>
      </w:r>
      <w:r>
        <w:rPr>
          <w:rFonts w:ascii="Times New Roman" w:hAnsi="Times New Roman"/>
          <w:b w:val="false"/>
          <w:i w:val="false"/>
          <w:color w:val="000000"/>
          <w:sz w:val="22"/>
        </w:rPr>
        <w:t xml:space="preserve">The residual disinfectant concentration in the distribution system, measured as total chlorine, combined chlorine, or chlorine dioxide, as specified in </w:t>
      </w:r>
      <w:hyperlink r:id="rId125">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(5) and </w:t>
      </w:r>
      <w:hyperlink r:id="rId126">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 xml:space="preserve">(2), cannot be undetectable in more than 5 percent of the samples each month for any two consecutive months that the system serves water to the public. Water within the distribution system with a heterotrophic plate count bacteria concentration less than or equal to 500/mL, measured as heterotrophic plate count (HPC) as specified in 567—paragraph </w:t>
      </w:r>
      <w:hyperlink r:id="rId127">
        <w:r>
          <w:rPr>
            <w:rStyle w:val="Hyperlink"/>
            <w:rFonts w:ascii="Times New Roman" w:hAnsi="Times New Roman"/>
            <w:b w:val="false"/>
            <w:i w:val="false"/>
            <w:color w:val="000000"/>
            <w:sz w:val="22"/>
          </w:rPr>
          <w:t>41.2(3)</w:t>
        </w:r>
      </w:hyperlink>
      <w:r>
        <w:rPr>
          <w:rFonts w:ascii="Times New Roman" w:hAnsi="Times New Roman"/>
          <w:b w:val="false"/>
          <w:i/>
          <w:color w:val="000000"/>
          <w:sz w:val="22"/>
        </w:rPr>
        <w:t>“e,”</w:t>
      </w:r>
      <w:r>
        <w:rPr>
          <w:rFonts w:ascii="Times New Roman" w:hAnsi="Times New Roman"/>
          <w:b w:val="false"/>
          <w:i w:val="false"/>
          <w:color w:val="000000"/>
          <w:sz w:val="22"/>
        </w:rPr>
        <w:t xml:space="preserve"> is deemed to have a detectable disinfectant residual for purposes of determining compliance with this requirement. Therefore, the value “V” in the following formula cannot exceed 5 percent in one month for any two consecutive months.</w:t>
      </w:r>
    </w:p>
    <w:tbl>
      <w:tblPr>
        <w:tblW w:w="5000" w:type="pct"/>
        <w:tblCellSpacing w:w="0" w:type="auto"/>
        <w:tblBorders>
          <w:top w:val="none"/>
          <w:left w:val="none"/>
          <w:bottom w:val="none"/>
          <w:right w:val="none"/>
          <w:insideH w:val="none"/>
          <w:insideV w:val="none"/>
        </w:tblBorders>
        <w:tblLayout w:type="fixed"/>
      </w:tblPr>
      <w:tblGrid>
        <w:gridCol w:w="1492"/>
        <w:gridCol w:w="1492"/>
        <w:gridCol w:w="1338"/>
        <w:gridCol w:w="2260"/>
        <w:gridCol w:w="1337"/>
        <w:gridCol w:w="1491"/>
        <w:gridCol w:w="1779"/>
      </w:tblGrid>
      <w:tr>
        <w:trPr>
          <w:trHeight w:val="225" w:hRule="atLeast"/>
        </w:trPr>
        <w:tc>
          <w:tcPr>
            <w:tcW w:w="149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V</w:t>
            </w:r>
          </w:p>
        </w:tc>
        <w:tc>
          <w:tcPr>
            <w:tcW w:w="149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3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32"/>
              </w:rPr>
              <w:t>[</w:t>
            </w:r>
          </w:p>
        </w:tc>
        <w:tc>
          <w:tcPr>
            <w:tcW w:w="226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 + d + e</w:t>
            </w:r>
          </w:p>
        </w:tc>
        <w:tc>
          <w:tcPr>
            <w:tcW w:w="1337"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32"/>
              </w:rPr>
              <w:t>]</w:t>
            </w:r>
          </w:p>
        </w:tc>
        <w:tc>
          <w:tcPr>
            <w:tcW w:w="149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779"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0" w:type="auto"/>
            <w:vMerge/>
            <w:tcBorders>
              <w:top w:val="nil"/>
            </w:tcBorders>
          </w:tcPr>
          <w:p/>
        </w:tc>
        <w:tc>
          <w:tcPr>
            <w:tcW w:w="0" w:type="auto"/>
            <w:vMerge/>
            <w:tcBorders>
              <w:top w:val="nil"/>
            </w:tcBorders>
          </w:tcPr>
          <w:p/>
        </w:tc>
        <w:tc>
          <w:tcPr>
            <w:tcW w:w="0" w:type="auto"/>
            <w:vMerge/>
            <w:tcBorders>
              <w:top w:val="nil"/>
            </w:tcBorders>
          </w:tcPr>
          <w:p/>
        </w:tc>
        <w:tc>
          <w:tcPr>
            <w:tcW w:w="226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 + b</w:t>
            </w: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where: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642"/>
        <w:gridCol w:w="10667"/>
      </w:tblGrid>
      <w:tr>
        <w:trPr>
          <w:trHeight w:val="270" w:hRule="atLeast"/>
        </w:trPr>
        <w:tc>
          <w:tcPr>
            <w:tcW w:w="64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a = </w:t>
            </w:r>
          </w:p>
        </w:tc>
        <w:tc>
          <w:tcPr>
            <w:tcW w:w="10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instances in which the residual disinfectant concentration is measured;</w:t>
            </w:r>
          </w:p>
        </w:tc>
      </w:tr>
      <w:tr>
        <w:trPr>
          <w:trHeight w:val="495" w:hRule="atLeast"/>
        </w:trPr>
        <w:tc>
          <w:tcPr>
            <w:tcW w:w="64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b = </w:t>
            </w:r>
          </w:p>
        </w:tc>
        <w:tc>
          <w:tcPr>
            <w:tcW w:w="10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instances in which the residual disinfectant concentration is not measured but heterotrophic plate count bacteria (HPC) is measured;</w:t>
            </w:r>
          </w:p>
        </w:tc>
      </w:tr>
      <w:tr>
        <w:trPr>
          <w:trHeight w:val="600" w:hRule="atLeast"/>
        </w:trPr>
        <w:tc>
          <w:tcPr>
            <w:tcW w:w="64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c = </w:t>
            </w:r>
          </w:p>
        </w:tc>
        <w:tc>
          <w:tcPr>
            <w:tcW w:w="10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instances in which the residual disinfectant concentration is measured but not detected and no HPC is measured;</w:t>
            </w:r>
          </w:p>
        </w:tc>
      </w:tr>
      <w:tr>
        <w:trPr>
          <w:trHeight w:val="495" w:hRule="atLeast"/>
        </w:trPr>
        <w:tc>
          <w:tcPr>
            <w:tcW w:w="64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d = </w:t>
            </w:r>
          </w:p>
        </w:tc>
        <w:tc>
          <w:tcPr>
            <w:tcW w:w="10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instances in which no residual disinfectant concentration is detected and where the HPC is greater than 500/mL; and</w:t>
            </w:r>
          </w:p>
        </w:tc>
      </w:tr>
      <w:tr>
        <w:trPr>
          <w:trHeight w:val="495" w:hRule="atLeast"/>
        </w:trPr>
        <w:tc>
          <w:tcPr>
            <w:tcW w:w="64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e = </w:t>
            </w:r>
          </w:p>
        </w:tc>
        <w:tc>
          <w:tcPr>
            <w:tcW w:w="10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instances in which the residual disinfectant concentration is not measured and HPC is greater than 500/mL.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 public water system that uses a surface water source or a groundwater source under the direct influence of surface water must provide treatment consisting of both disinfection, as specified in </w:t>
      </w:r>
      <w:hyperlink r:id="rId128">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and filtration treatment which complies with the turbidity requirements of subrules </w:t>
      </w:r>
      <w:hyperlink r:id="rId129">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43.5(5)</w:t>
        </w:r>
      </w:hyperlink>
      <w:r>
        <w:rPr>
          <w:rFonts w:ascii="Times New Roman" w:hAnsi="Times New Roman"/>
          <w:b w:val="false"/>
          <w:i w:val="false"/>
          <w:color w:val="000000"/>
          <w:sz w:val="22"/>
        </w:rPr>
        <w:t xml:space="preserve">. A system providing or required to provide filtration on or before December 30, 1991, must meet the requirements of this subrule by June 29, 1993. A system providing or required to provide filtration after December 30, 1991, must meet the requirements of this subrule when filtration is installed. Beginning January 1, 2002, systems serving at least 10,000 people must meet the turbidity requirements in </w:t>
      </w:r>
      <w:hyperlink r:id="rId132">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Beginning January 1, 2005, systems serving fewer than 10,000 people must meet the turbidity requirements in </w:t>
      </w:r>
      <w:hyperlink r:id="rId133">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(455B). A system shall install filtration within 18 months after the department determines, in writing, that filtration is required. The department may require and the system shall comply with any interim turbidity requirements the department deems necessary. Failure to meet any requirements of the referenced subrules after the dates specified is a treatment technique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Conventional filtration treatment or direct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using conventional filtration or direct filtration, the turbidity level of representative samples of a system’s filtered water must be less than or equal to 0.5 nephelometric turbidity units (NTU) in at least 95 percent of the measurements taken each month when measured as specified in </w:t>
      </w:r>
      <w:hyperlink r:id="rId134">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35">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turbidity level of representative samples of a system’s filtered water must at no time exceed 5 NTU when measured as specified in </w:t>
      </w:r>
      <w:hyperlink r:id="rId136">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37">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Slow sand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using slow sand filtration, the turbidity level of representative samples of a system’s filtered water must be less than or equal to 1 NTU in at least 95 percent of the measurements taken each month when measured as specified in </w:t>
      </w:r>
      <w:hyperlink r:id="rId138">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39">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turbidity level of representative samples of a system’s filtered water must at no time exceed 5 NTU when measured as specified in </w:t>
      </w:r>
      <w:hyperlink r:id="rId140">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41">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Diatomaceous earth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using diatomaceous earth filtration, the turbidity level of representative samples of a system’s filtered water must be less than or equal to 1 NTU in at least 95 percent of the measurements taken each month when measured as specified in </w:t>
      </w:r>
      <w:hyperlink r:id="rId142">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43">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turbidity level of representative samples of a system’s filtered water must at no time exceed 5 NTU when measured as specified in </w:t>
      </w:r>
      <w:hyperlink r:id="rId144">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45">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filtration technologies. </w:t>
      </w:r>
      <w:r>
        <w:rPr>
          <w:rFonts w:ascii="Times New Roman" w:hAnsi="Times New Roman"/>
          <w:b w:val="false"/>
          <w:i w:val="false"/>
          <w:color w:val="000000"/>
          <w:sz w:val="22"/>
        </w:rPr>
        <w:t xml:space="preserve">A public water system may use either a filtration technology not listed in </w:t>
      </w:r>
      <w:hyperlink r:id="rId146">
        <w:r>
          <w:rPr>
            <w:rStyle w:val="Hyperlink"/>
            <w:rFonts w:ascii="Times New Roman" w:hAnsi="Times New Roman"/>
            <w:b w:val="false"/>
            <w:i w:val="false"/>
            <w:color w:val="000000"/>
            <w:sz w:val="22"/>
          </w:rPr>
          <w:t>43.5(3)</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hyperlink r:id="rId147">
        <w:r>
          <w:rPr>
            <w:rStyle w:val="Hyperlink"/>
            <w:rFonts w:ascii="Times New Roman" w:hAnsi="Times New Roman"/>
            <w:b w:val="false"/>
            <w:i w:val="false"/>
            <w:color w:val="000000"/>
            <w:sz w:val="22"/>
          </w:rPr>
          <w:t>43.5(3)</w:t>
        </w:r>
      </w:hyperlink>
      <w:r>
        <w:rPr>
          <w:rFonts w:ascii="Times New Roman" w:hAnsi="Times New Roman"/>
          <w:b w:val="false"/>
          <w:i/>
          <w:color w:val="000000"/>
          <w:sz w:val="22"/>
        </w:rPr>
        <w:t>“d”</w:t>
      </w:r>
      <w:r>
        <w:rPr>
          <w:rFonts w:ascii="Times New Roman" w:hAnsi="Times New Roman"/>
          <w:b w:val="false"/>
          <w:i w:val="false"/>
          <w:color w:val="000000"/>
          <w:sz w:val="22"/>
        </w:rPr>
        <w:t xml:space="preserve"> or a filtration technology listed in </w:t>
      </w:r>
      <w:hyperlink r:id="rId148">
        <w:r>
          <w:rPr>
            <w:rStyle w:val="Hyperlink"/>
            <w:rFonts w:ascii="Times New Roman" w:hAnsi="Times New Roman"/>
            <w:b w:val="false"/>
            <w:i w:val="false"/>
            <w:color w:val="000000"/>
            <w:sz w:val="22"/>
          </w:rPr>
          <w:t>43.5(3)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149">
        <w:r>
          <w:rPr>
            <w:rStyle w:val="Hyperlink"/>
            <w:rFonts w:ascii="Times New Roman" w:hAnsi="Times New Roman"/>
            <w:b w:val="false"/>
            <w:i w:val="false"/>
            <w:color w:val="000000"/>
            <w:sz w:val="22"/>
          </w:rPr>
          <w:t>43.5(3)</w:t>
        </w:r>
      </w:hyperlink>
      <w:r>
        <w:rPr>
          <w:rFonts w:ascii="Times New Roman" w:hAnsi="Times New Roman"/>
          <w:b w:val="false"/>
          <w:i/>
          <w:color w:val="000000"/>
          <w:sz w:val="22"/>
        </w:rPr>
        <w:t>“c”</w:t>
      </w:r>
      <w:r>
        <w:rPr>
          <w:rFonts w:ascii="Times New Roman" w:hAnsi="Times New Roman"/>
          <w:b w:val="false"/>
          <w:i w:val="false"/>
          <w:color w:val="000000"/>
          <w:sz w:val="22"/>
        </w:rPr>
        <w:t xml:space="preserve"> at a higher turbidity level if it demonstrates to the department through a preliminary report submitted by a licensed professional engineer, using pilot plant studies or other means, that the alternative filtration technology in combination with disinfection treatment that meets the requirements of </w:t>
      </w:r>
      <w:hyperlink r:id="rId150">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consistently achieves 99.9 percent removal or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99.99 percent removal or inactivation of viruses. For a system that uses alternative filtration technology and makes this demonstration, the turbidity treatment technique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turbidity level of representative samples of a system’s filtered water must be less than or equal to 1 NTU in at least 95 percent of the measurements taken each month when measured as specified in </w:t>
      </w:r>
      <w:hyperlink r:id="rId151">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52">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turbidity level of representative samples of a system’s filtered water must at no time exceed 5 NTU when measured as specified in </w:t>
      </w:r>
      <w:hyperlink r:id="rId153">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54">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xml:space="preserve">Beginning January 1, 2002, systems serving at least 10,000 people must meet the requirements for other filtration technologies in </w:t>
      </w:r>
      <w:hyperlink r:id="rId155">
        <w:r>
          <w:rPr>
            <w:rStyle w:val="Hyperlink"/>
            <w:rFonts w:ascii="Times New Roman" w:hAnsi="Times New Roman"/>
            <w:b w:val="false"/>
            <w:i w:val="false"/>
            <w:color w:val="000000"/>
            <w:sz w:val="22"/>
          </w:rPr>
          <w:t>43.9(3)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Beginning January 1, 2005, systems serving fewer than 10,000 people must meet the requirements for other filtration technologies in </w:t>
      </w:r>
      <w:hyperlink r:id="rId156">
        <w:r>
          <w:rPr>
            <w:rStyle w:val="Hyperlink"/>
            <w:rFonts w:ascii="Times New Roman" w:hAnsi="Times New Roman"/>
            <w:b w:val="false"/>
            <w:i w:val="false"/>
            <w:color w:val="000000"/>
            <w:sz w:val="22"/>
          </w:rPr>
          <w:t>567—43.10(455B)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w:t>
      </w:r>
      <w:r>
        <w:rPr>
          <w:rFonts w:ascii="Times New Roman" w:hAnsi="Times New Roman"/>
          <w:b w:val="false"/>
          <w:i w:val="false"/>
          <w:color w:val="000000"/>
          <w:sz w:val="22"/>
        </w:rPr>
        <w:t> </w:t>
      </w:r>
      <w:r>
        <w:rPr>
          <w:rFonts w:ascii="Times New Roman" w:hAnsi="Times New Roman"/>
          <w:b w:val="false"/>
          <w:i/>
          <w:color w:val="000000"/>
          <w:sz w:val="22"/>
        </w:rPr>
        <w:t xml:space="preserve">Analytical and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Analytical requirements. </w:t>
      </w:r>
      <w:r>
        <w:rPr>
          <w:rFonts w:ascii="Times New Roman" w:hAnsi="Times New Roman"/>
          <w:b w:val="false"/>
          <w:i w:val="false"/>
          <w:color w:val="000000"/>
          <w:sz w:val="22"/>
        </w:rPr>
        <w:t xml:space="preserve">Only the analytical method(s) specified in this paragraph, or otherwise approved by the department, may be used to demonstrate compliance with the requirements of </w:t>
      </w:r>
      <w:hyperlink r:id="rId157">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Measurements for pH, temperature, turbidity, and residual disinfectant concentrations must be conducted by a Grade II, III or IV operator meeting the requirements of </w:t>
      </w:r>
      <w:hyperlink r:id="rId159">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any person under the supervision of a Grade II, III or IV operator meeting the requirements of </w:t>
      </w:r>
      <w:hyperlink r:id="rId160">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or a laboratory certified by the department to perform analysis under </w:t>
      </w:r>
      <w:hyperlink r:id="rId161">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For consecutive public water supplies from a surface water or groundwater under the direct influence of surface water system, the disinfectant concentration analyses must be conducted by a certified operator who meets the requirements of </w:t>
      </w:r>
      <w:hyperlink r:id="rId162">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Measurements for heterotrophic plate count bacteria must be conducted by a laboratory certified by the department to do such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Turbidity analytical methodology. Turbidity analysis shall be conducted using the methodology in the following table. Each turbidimeter must be calibrated at least once every 90 days with a primary standard. The calibration of each turbidimeter used for compliance must be verified at least once per week with a primary standard, secondary standards, or the manufacturer’s proprietary calibration confirmation device or by a method approved by the department. If the verification is not within plus or minus 0.05 NTU for measurements of less than or equal to 0.5 NTU, or within plus or minus 10 percent of measurements greater than 0.5 NTU, the turbidimeter must be recalibrated.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115"/>
        <w:gridCol w:w="1824"/>
        <w:gridCol w:w="1824"/>
        <w:gridCol w:w="1824"/>
        <w:gridCol w:w="2016"/>
        <w:gridCol w:w="1883"/>
      </w:tblGrid>
      <w:tr>
        <w:trPr>
          <w:trHeight w:val="225" w:hRule="atLeast"/>
        </w:trPr>
        <w:tc>
          <w:tcPr>
            <w:tcW w:w="211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Analytical Method</w:t>
            </w:r>
          </w:p>
        </w:tc>
      </w:tr>
      <w:tr>
        <w:trPr>
          <w:trHeight w:val="240" w:hRule="atLeast"/>
        </w:trPr>
        <w:tc>
          <w:tcPr>
            <w:tcW w:w="211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Methodology</w:t>
            </w:r>
          </w:p>
        </w:tc>
        <w:tc>
          <w:tcPr>
            <w:tcW w:w="18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EPA</w:t>
            </w:r>
          </w:p>
        </w:tc>
        <w:tc>
          <w:tcPr>
            <w:tcW w:w="18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SM</w:t>
            </w:r>
          </w:p>
        </w:tc>
        <w:tc>
          <w:tcPr>
            <w:tcW w:w="18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GLI</w:t>
            </w:r>
          </w:p>
        </w:tc>
        <w:tc>
          <w:tcPr>
            <w:tcW w:w="20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HACH</w:t>
            </w:r>
          </w:p>
        </w:tc>
        <w:tc>
          <w:tcPr>
            <w:tcW w:w="18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Other</w:t>
            </w:r>
          </w:p>
        </w:tc>
      </w:tr>
      <w:tr>
        <w:trPr>
          <w:trHeight w:val="270" w:hRule="atLeast"/>
        </w:trPr>
        <w:tc>
          <w:tcPr>
            <w:tcW w:w="211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Nephelometric</w:t>
            </w:r>
            <w:r>
              <w:rPr>
                <w:rFonts w:ascii="Times New Roman" w:hAnsi="Times New Roman"/>
                <w:b w:val="false"/>
                <w:i w:val="false"/>
                <w:color w:val="000000"/>
                <w:sz w:val="18"/>
                <w:vertAlign w:val="superscript"/>
              </w:rPr>
              <w:t>5</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180.1</w:t>
            </w:r>
            <w:r>
              <w:rPr>
                <w:rFonts w:ascii="Times New Roman" w:hAnsi="Times New Roman"/>
                <w:b w:val="false"/>
                <w:i w:val="false"/>
                <w:color w:val="000000"/>
                <w:sz w:val="18"/>
                <w:vertAlign w:val="superscript"/>
              </w:rPr>
              <w:t>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2130B</w:t>
            </w:r>
            <w:r>
              <w:rPr>
                <w:rFonts w:ascii="Times New Roman" w:hAnsi="Times New Roman"/>
                <w:b w:val="false"/>
                <w:i w:val="false"/>
                <w:color w:val="000000"/>
                <w:sz w:val="18"/>
                <w:vertAlign w:val="superscript"/>
              </w:rPr>
              <w:t>2</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Method 2</w:t>
            </w:r>
            <w:r>
              <w:rPr>
                <w:rFonts w:ascii="Times New Roman" w:hAnsi="Times New Roman"/>
                <w:b w:val="false"/>
                <w:i w:val="false"/>
                <w:color w:val="000000"/>
                <w:sz w:val="18"/>
                <w:vertAlign w:val="superscript"/>
              </w:rPr>
              <w:t>3</w:t>
            </w:r>
          </w:p>
        </w:tc>
        <w:tc>
          <w:tcPr>
            <w:tcW w:w="20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FilterTrak 10133</w:t>
            </w:r>
            <w:r>
              <w:rPr>
                <w:rFonts w:ascii="Times New Roman" w:hAnsi="Times New Roman"/>
                <w:b w:val="false"/>
                <w:i w:val="false"/>
                <w:color w:val="000000"/>
                <w:sz w:val="18"/>
                <w:vertAlign w:val="superscript"/>
              </w:rPr>
              <w:t>4</w:t>
            </w:r>
          </w:p>
        </w:tc>
        <w:tc>
          <w:tcPr>
            <w:tcW w:w="188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645" w:hRule="atLeast"/>
        </w:trPr>
        <w:tc>
          <w:tcPr>
            <w:tcW w:w="211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Laser Nephelometry (online)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0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83"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Mitchell M5271</w:t>
            </w: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Mitchell M5331 Rev.</w:t>
            </w: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rPr>
              <w:t>1.2</w:t>
            </w:r>
            <w:r>
              <w:rPr>
                <w:rFonts w:ascii="Times New Roman" w:hAnsi="Times New Roman"/>
                <w:b w:val="false"/>
                <w:i w:val="false"/>
                <w:color w:val="000000"/>
                <w:sz w:val="18"/>
                <w:vertAlign w:val="superscript"/>
              </w:rPr>
              <w:t>10</w:t>
            </w:r>
          </w:p>
        </w:tc>
      </w:tr>
      <w:tr>
        <w:trPr>
          <w:trHeight w:val="1125" w:hRule="atLeast"/>
        </w:trPr>
        <w:tc>
          <w:tcPr>
            <w:tcW w:w="211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LED Nephelometry (online)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0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83"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Mitchell M5331</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Mitchell M5331 Rev.</w:t>
            </w: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rPr>
              <w:t>1.2</w:t>
            </w: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AMI Turbiwell</w:t>
            </w:r>
            <w:r>
              <w:rPr>
                <w:rFonts w:ascii="Times New Roman" w:hAnsi="Times New Roman"/>
                <w:b w:val="false"/>
                <w:i w:val="false"/>
                <w:color w:val="000000"/>
                <w:sz w:val="18"/>
                <w:vertAlign w:val="superscript"/>
              </w:rPr>
              <w:t>9</w:t>
            </w:r>
          </w:p>
        </w:tc>
      </w:tr>
      <w:tr>
        <w:trPr>
          <w:trHeight w:val="390" w:hRule="atLeast"/>
        </w:trPr>
        <w:tc>
          <w:tcPr>
            <w:tcW w:w="211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LED Nephelometry (portable)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0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Orion AQ4500</w:t>
            </w:r>
            <w:r>
              <w:rPr>
                <w:rFonts w:ascii="Times New Roman" w:hAnsi="Times New Roman"/>
                <w:b w:val="false"/>
                <w:i w:val="false"/>
                <w:color w:val="000000"/>
                <w:sz w:val="18"/>
                <w:vertAlign w:val="superscript"/>
              </w:rPr>
              <w:t>8</w:t>
            </w:r>
          </w:p>
        </w:tc>
      </w:tr>
      <w:tr>
        <w:trPr>
          <w:trHeight w:val="390" w:hRule="atLeast"/>
        </w:trPr>
        <w:tc>
          <w:tcPr>
            <w:tcW w:w="211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360-degree</w:t>
            </w:r>
            <w:r>
              <w:br/>
            </w:r>
            <w:r>
              <w:rPr>
                <w:rFonts w:ascii="Times New Roman" w:hAnsi="Times New Roman"/>
                <w:b w:val="false"/>
                <w:i w:val="false"/>
                <w:color w:val="000000"/>
                <w:sz w:val="16"/>
              </w:rPr>
              <w:t>Nephelometry</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0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Hach Method 10258</w:t>
            </w:r>
            <w:r>
              <w:rPr>
                <w:rFonts w:ascii="Times New Roman" w:hAnsi="Times New Roman"/>
                <w:b w:val="false"/>
                <w:i w:val="false"/>
                <w:color w:val="000000"/>
                <w:sz w:val="18"/>
                <w:vertAlign w:val="superscript"/>
              </w:rPr>
              <w:t>11</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“Methods for the Determination of Inorganic Substances in Environmental Samples,” EPA-600/R-93-100, August 1993. Available at NTIS, PB94-121811.</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Standard Methods for the Examination of Water and Wastewater, 18th edition, 1992, 19th edition, 1995, 20th edition, 1998, 21st edition, 2005, and 22nd edition, 2012 (any of these editions may be used),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GLI Method 2, “Turbidity,” November 2, 1992, Great Lakes Instruments, Inc., 8855 North 55th Street, Milwaukee, WI 53223.</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Hach FilterTrak Method 10133, “Determination of Turbidity by Laser Nephelometry,” January 2000, Revision 2.0, Hach Co., P.O. Box 389, Loveland, CO 80539-0389, telephone (800)227-4224.</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Styrene divinyl benzene beads (e.g., AMCO-AEPA-1 or equivalent) and stabilized formazin (e.g., Hach StablCal</w:t>
      </w:r>
      <w:r>
        <w:rPr>
          <w:rFonts w:ascii="Times New Roman" w:hAnsi="Times New Roman"/>
          <w:b w:val="false"/>
          <w:i w:val="false"/>
          <w:color w:val="000000"/>
          <w:sz w:val="18"/>
          <w:vertAlign w:val="superscript"/>
        </w:rPr>
        <w:t>TM</w:t>
      </w:r>
      <w:r>
        <w:rPr>
          <w:rFonts w:ascii="Times New Roman" w:hAnsi="Times New Roman"/>
          <w:b w:val="false"/>
          <w:i w:val="false"/>
          <w:color w:val="000000"/>
          <w:sz w:val="16"/>
        </w:rPr>
        <w:t xml:space="preserve"> or equivalent) are acceptable substitutes for formazin.</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Mitchell Method M5271, Revision 1.1. “Determination of Turbidity by Laser Nephelometry,” March 5, 2009. Available at </w:t>
      </w:r>
      <w:hyperlink r:id="rId163">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from Leck Mitchell, 656 Independence Valley Drive, Grand Junction, CO 81507.</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Mitchell Method M5331, Revision 1.1. “Determination of Turbidity by LED Nephelometry,” March 5, 2009. Available at </w:t>
      </w:r>
      <w:hyperlink r:id="rId164">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from Leck Mitchell, 656 Independence Valley Drive, Grand Junction, CO 81507.</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Orion Method AQ4500, Revision 1.0. “Determination of Turbidity by LED Nephelometry,” May 8, 2009. Available at </w:t>
      </w:r>
      <w:hyperlink r:id="rId165">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from Thermo Scientific, 166 Cummings Center, Beverly, MA 01915, </w:t>
      </w:r>
      <w:hyperlink r:id="rId166">
        <w:r>
          <w:rPr>
            <w:rStyle w:val="Hyperlink"/>
            <w:rFonts w:ascii="Times New Roman" w:hAnsi="Times New Roman"/>
            <w:b w:val="false"/>
            <w:i w:val="false"/>
            <w:color w:val="000000"/>
            <w:sz w:val="16"/>
            <w:u w:val="single"/>
          </w:rPr>
          <w:t>www.thermo.com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AMI Turbiwell, “Continuous Measurement of Turbidity Using a SWAN AMI Turbiwell Turbidimeter,” August 2009. Available at </w:t>
      </w:r>
      <w:hyperlink r:id="rId167">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from Markus Bernasconi, SWAN Analytische Instrumente AG, Studbachstrasse 13, CH-8340 Hinwil, Switzerland.</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Mitchell Method M5331, Revision 1.2. “Determination of Turbidity by LED or Laser Nephelometry,” February 2016. Available from Leck Mitchell, 656 Independence Valley Drive, Grand Junction, CO 81507.</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Hach Company. “Hach Method 10258 – Determination of Turbidity by 360-Degree Nephelometry,” January 2016. Available at </w:t>
      </w:r>
      <w:hyperlink r:id="rId168">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Temperature analytical methodology. The temperature shall be determined in compliance with the methodology listed in 567—subparagraph </w:t>
      </w:r>
      <w:hyperlink r:id="rId169">
        <w:r>
          <w:rPr>
            <w:rStyle w:val="Hyperlink"/>
            <w:rFonts w:ascii="Times New Roman" w:hAnsi="Times New Roman"/>
            <w:b w:val="false"/>
            <w:i w:val="false"/>
            <w:color w:val="000000"/>
            <w:sz w:val="22"/>
          </w:rPr>
          <w:t>41.4(1)</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pH (hydrogen ion concentration) analytical methodology. The pH shall be determined in compliance with the methodology listed in 567—subparagraph </w:t>
      </w:r>
      <w:hyperlink r:id="rId170">
        <w:r>
          <w:rPr>
            <w:rStyle w:val="Hyperlink"/>
            <w:rFonts w:ascii="Times New Roman" w:hAnsi="Times New Roman"/>
            <w:b w:val="false"/>
            <w:i w:val="false"/>
            <w:color w:val="000000"/>
            <w:sz w:val="22"/>
          </w:rPr>
          <w:t>41.4(1)</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Heterotrophic plate count bacteria analytical methodology. The heterotrophic plate count bacteria sampling and analysis shall be conducted in compliance with </w:t>
      </w:r>
      <w:hyperlink r:id="rId171">
        <w:r>
          <w:rPr>
            <w:rStyle w:val="Hyperlink"/>
            <w:rFonts w:ascii="Times New Roman" w:hAnsi="Times New Roman"/>
            <w:b w:val="false"/>
            <w:i w:val="false"/>
            <w:color w:val="000000"/>
            <w:sz w:val="22"/>
          </w:rPr>
          <w:t>567—subrule 41.2(3)</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43.5(2)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time from sample collection to initiation of analysis shall not exceed eight hours, and the samples must be held below 10 degrees C during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Residual disinfectant analytical methodology. The residual disinfectant concentrations shall be determined in compliance with one of the analytical methods in the following table. Residual disinfectant concentrations for free chlorine and combined chlorine may also be measured by using DPD colorimetric test kits. Free and total chlorine residuals may be measured continuously by adapting a specified chlorine residual method for use with a continuous monitoring instrument provided the chemistry, accuracy and precision remain the same. Instruments used for continuous monitoring must be verified with a grab sample measurement at least every seven days. The analyzer concentration must be within plus or minus 0.1 mg/L or plus or minus 15 percent (whichever is larger) of the grab sample measurement. If the verification is not within this range, immediate actions must be taken to resolve the issue and another verification must be conducted.</w:t>
      </w:r>
    </w:p>
    <w:p>
      <w:pPr>
        <w:spacing w:before="60" w:after="0"/>
        <w:ind w:left="120"/>
        <w:jc w:val="center"/>
      </w:pPr>
      <w:r>
        <w:rPr>
          <w:rFonts w:ascii="Times New Roman" w:hAnsi="Times New Roman"/>
          <w:b w:val="false"/>
          <w:i w:val="false"/>
          <w:color w:val="000000"/>
          <w:sz w:val="22"/>
        </w:rPr>
        <w:t>Disinfectant Analytical Methodology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91"/>
        <w:gridCol w:w="5067"/>
        <w:gridCol w:w="2909"/>
        <w:gridCol w:w="2909"/>
        <w:gridCol w:w="2909"/>
      </w:tblGrid>
      <w:tr>
        <w:trPr>
          <w:trHeight w:val="270" w:hRule="atLeast"/>
        </w:trPr>
        <w:tc>
          <w:tcPr>
            <w:tcW w:w="1891"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Residual</w:t>
            </w:r>
          </w:p>
        </w:tc>
        <w:tc>
          <w:tcPr>
            <w:tcW w:w="5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Methodology</w:t>
            </w:r>
          </w:p>
        </w:tc>
        <w:tc>
          <w:tcPr>
            <w:tcW w:w="290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 Methods</w:t>
            </w:r>
            <w:r>
              <w:rPr>
                <w:rFonts w:ascii="Times New Roman" w:hAnsi="Times New Roman"/>
                <w:b w:val="false"/>
                <w:i w:val="false"/>
                <w:color w:val="000000"/>
                <w:sz w:val="18"/>
                <w:vertAlign w:val="superscript"/>
              </w:rPr>
              <w:t>1,2</w:t>
            </w:r>
          </w:p>
        </w:tc>
        <w:tc>
          <w:tcPr>
            <w:tcW w:w="290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 Methods Online</w:t>
            </w:r>
            <w:r>
              <w:rPr>
                <w:rFonts w:ascii="Times New Roman" w:hAnsi="Times New Roman"/>
                <w:b w:val="false"/>
                <w:i w:val="false"/>
                <w:color w:val="000000"/>
                <w:sz w:val="18"/>
                <w:vertAlign w:val="superscript"/>
              </w:rPr>
              <w:t>6</w:t>
            </w:r>
          </w:p>
        </w:tc>
        <w:tc>
          <w:tcPr>
            <w:tcW w:w="290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Other</w:t>
            </w:r>
          </w:p>
        </w:tc>
      </w:tr>
      <w:tr>
        <w:trPr>
          <w:trHeight w:val="270" w:hRule="atLeast"/>
        </w:trPr>
        <w:tc>
          <w:tcPr>
            <w:tcW w:w="189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Free chlorine</w:t>
            </w: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Titration</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D</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D-00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D1253-03</w:t>
            </w: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08, 14</w:t>
            </w:r>
          </w:p>
        </w:tc>
      </w:tr>
      <w:tr>
        <w:trPr>
          <w:trHeight w:val="21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Ferrous Titrimetric</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F</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F-00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Colorimetric</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G</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G-00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Hach Method 10260</w:t>
            </w:r>
            <w:r>
              <w:rPr>
                <w:rFonts w:ascii="Times New Roman" w:hAnsi="Times New Roman"/>
                <w:b w:val="false"/>
                <w:i w:val="false"/>
                <w:color w:val="000000"/>
                <w:sz w:val="18"/>
                <w:vertAlign w:val="superscript"/>
              </w:rPr>
              <w:t>10</w:t>
            </w:r>
          </w:p>
        </w:tc>
      </w:tr>
      <w:tr>
        <w:trPr>
          <w:trHeight w:val="21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Syringaldazine (FACTS)</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H</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H-00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Online Chlorine Analyzer</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EPA 334.0</w:t>
            </w:r>
            <w:r>
              <w:rPr>
                <w:rFonts w:ascii="Times New Roman" w:hAnsi="Times New Roman"/>
                <w:b w:val="false"/>
                <w:i w:val="false"/>
                <w:color w:val="000000"/>
                <w:sz w:val="18"/>
                <w:vertAlign w:val="superscript"/>
              </w:rPr>
              <w:t>7</w:t>
            </w:r>
          </w:p>
        </w:tc>
      </w:tr>
      <w:tr>
        <w:trPr>
          <w:trHeight w:val="24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Sensor</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ChloroSense</w:t>
            </w:r>
            <w:r>
              <w:rPr>
                <w:rFonts w:ascii="Times New Roman" w:hAnsi="Times New Roman"/>
                <w:b w:val="false"/>
                <w:i w:val="false"/>
                <w:color w:val="000000"/>
                <w:sz w:val="18"/>
                <w:vertAlign w:val="superscript"/>
              </w:rPr>
              <w:t>8</w:t>
            </w:r>
          </w:p>
        </w:tc>
      </w:tr>
      <w:tr>
        <w:trPr>
          <w:trHeight w:val="255" w:hRule="atLeast"/>
        </w:trPr>
        <w:tc>
          <w:tcPr>
            <w:tcW w:w="0" w:type="auto"/>
            <w:vMerge/>
            <w:tcBorders>
              <w:top w:val="nil"/>
              <w:bottom w:val="single" w:color="000000" w:sz="8"/>
              <w:right w:val="single" w:color="000000" w:sz="8"/>
            </w:tcBorders>
          </w:tcPr>
          <w:p/>
        </w:tc>
        <w:tc>
          <w:tcPr>
            <w:tcW w:w="5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Indophenol Colorimetric</w:t>
            </w:r>
          </w:p>
        </w:tc>
        <w:tc>
          <w:tcPr>
            <w:tcW w:w="2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Hach Method 10241</w:t>
            </w:r>
            <w:r>
              <w:rPr>
                <w:rFonts w:ascii="Times New Roman" w:hAnsi="Times New Roman"/>
                <w:b w:val="false"/>
                <w:i w:val="false"/>
                <w:color w:val="000000"/>
                <w:sz w:val="18"/>
                <w:vertAlign w:val="superscript"/>
              </w:rPr>
              <w:t>11</w:t>
            </w:r>
          </w:p>
        </w:tc>
      </w:tr>
      <w:tr>
        <w:trPr>
          <w:trHeight w:val="255" w:hRule="atLeast"/>
        </w:trPr>
        <w:tc>
          <w:tcPr>
            <w:tcW w:w="189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chlorine</w:t>
            </w: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Titration</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D</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D-00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D1253-03</w:t>
            </w: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08, 14</w:t>
            </w:r>
          </w:p>
        </w:tc>
      </w:tr>
      <w:tr>
        <w:trPr>
          <w:trHeight w:val="21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Titration (low-level measurement)</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E</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E-00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1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Ferrous Titrimetric</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F</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F-00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Colorimetric</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G</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G-00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Hach Method 10260</w:t>
            </w:r>
            <w:r>
              <w:rPr>
                <w:rFonts w:ascii="Times New Roman" w:hAnsi="Times New Roman"/>
                <w:b w:val="false"/>
                <w:i w:val="false"/>
                <w:color w:val="000000"/>
                <w:sz w:val="18"/>
                <w:vertAlign w:val="superscript"/>
              </w:rPr>
              <w:t>10</w:t>
            </w:r>
          </w:p>
        </w:tc>
      </w:tr>
      <w:tr>
        <w:trPr>
          <w:trHeight w:val="21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Iodometric Electrode</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I</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I-00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Online Chlorine Analyzer</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EPA 334.0</w:t>
            </w:r>
            <w:r>
              <w:rPr>
                <w:rFonts w:ascii="Times New Roman" w:hAnsi="Times New Roman"/>
                <w:b w:val="false"/>
                <w:i w:val="false"/>
                <w:color w:val="000000"/>
                <w:sz w:val="18"/>
                <w:vertAlign w:val="superscript"/>
              </w:rPr>
              <w:t>7</w:t>
            </w:r>
          </w:p>
        </w:tc>
      </w:tr>
      <w:tr>
        <w:trPr>
          <w:trHeight w:val="255" w:hRule="atLeast"/>
        </w:trPr>
        <w:tc>
          <w:tcPr>
            <w:tcW w:w="0" w:type="auto"/>
            <w:vMerge/>
            <w:tcBorders>
              <w:top w:val="nil"/>
              <w:bottom w:val="single" w:color="000000" w:sz="8"/>
              <w:right w:val="single" w:color="000000" w:sz="8"/>
            </w:tcBorders>
          </w:tcPr>
          <w:p/>
        </w:tc>
        <w:tc>
          <w:tcPr>
            <w:tcW w:w="5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Sensor</w:t>
            </w:r>
          </w:p>
        </w:tc>
        <w:tc>
          <w:tcPr>
            <w:tcW w:w="2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ChloroSense</w:t>
            </w:r>
            <w:r>
              <w:rPr>
                <w:rFonts w:ascii="Times New Roman" w:hAnsi="Times New Roman"/>
                <w:b w:val="false"/>
                <w:i w:val="false"/>
                <w:color w:val="000000"/>
                <w:sz w:val="18"/>
                <w:vertAlign w:val="superscript"/>
              </w:rPr>
              <w:t>8</w:t>
            </w:r>
          </w:p>
        </w:tc>
      </w:tr>
      <w:tr>
        <w:trPr>
          <w:trHeight w:val="270" w:hRule="atLeast"/>
        </w:trPr>
        <w:tc>
          <w:tcPr>
            <w:tcW w:w="189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Chlorine dioxide</w:t>
            </w: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Titration</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C</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4500-C10</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C-00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7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Method</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D</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7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Titration</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E</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4500-C10</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E-00</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Sensor</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ChlordioX Plus</w:t>
            </w:r>
            <w:r>
              <w:rPr>
                <w:rFonts w:ascii="Times New Roman" w:hAnsi="Times New Roman"/>
                <w:b w:val="false"/>
                <w:i w:val="false"/>
                <w:color w:val="000000"/>
                <w:sz w:val="18"/>
                <w:vertAlign w:val="superscript"/>
              </w:rPr>
              <w:t>9</w:t>
            </w:r>
          </w:p>
        </w:tc>
      </w:tr>
      <w:tr>
        <w:trPr>
          <w:trHeight w:val="255" w:hRule="atLeast"/>
        </w:trPr>
        <w:tc>
          <w:tcPr>
            <w:tcW w:w="0" w:type="auto"/>
            <w:vMerge/>
            <w:tcBorders>
              <w:top w:val="nil"/>
              <w:bottom w:val="single" w:color="000000" w:sz="8"/>
              <w:right w:val="single" w:color="000000" w:sz="8"/>
            </w:tcBorders>
          </w:tcPr>
          <w:p/>
        </w:tc>
        <w:tc>
          <w:tcPr>
            <w:tcW w:w="5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Spectrophotometric</w:t>
            </w:r>
          </w:p>
        </w:tc>
        <w:tc>
          <w:tcPr>
            <w:tcW w:w="2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327.0, Revision 1.1</w:t>
            </w:r>
            <w:r>
              <w:rPr>
                <w:rFonts w:ascii="Times New Roman" w:hAnsi="Times New Roman"/>
                <w:b w:val="false"/>
                <w:i w:val="false"/>
                <w:color w:val="000000"/>
                <w:sz w:val="18"/>
                <w:vertAlign w:val="superscript"/>
              </w:rPr>
              <w:t>5</w:t>
            </w:r>
          </w:p>
        </w:tc>
      </w:tr>
      <w:tr>
        <w:trPr>
          <w:trHeight w:val="315" w:hRule="atLeast"/>
        </w:trPr>
        <w:tc>
          <w:tcPr>
            <w:tcW w:w="1891"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Ozone</w:t>
            </w:r>
          </w:p>
        </w:tc>
        <w:tc>
          <w:tcPr>
            <w:tcW w:w="50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Indigo method</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4500-O</w:t>
            </w:r>
            <w:r>
              <w:rPr>
                <w:rFonts w:ascii="Times New Roman" w:hAnsi="Times New Roman"/>
                <w:b w:val="false"/>
                <w:i w:val="false"/>
                <w:color w:val="000000"/>
                <w:sz w:val="18"/>
                <w:vertAlign w:val="subscript"/>
              </w:rPr>
              <w:t>3</w:t>
            </w:r>
            <w:r>
              <w:rPr>
                <w:rFonts w:ascii="Times New Roman" w:hAnsi="Times New Roman"/>
                <w:b w:val="false"/>
                <w:i w:val="false"/>
                <w:color w:val="000000"/>
                <w:sz w:val="16"/>
              </w:rPr>
              <w:t xml:space="preserve"> B</w:t>
            </w:r>
            <w:r>
              <w:rPr>
                <w:rFonts w:ascii="Times New Roman" w:hAnsi="Times New Roman"/>
                <w:b w:val="false"/>
                <w:i w:val="false"/>
                <w:color w:val="000000"/>
                <w:sz w:val="18"/>
                <w:vertAlign w:val="superscript"/>
              </w:rPr>
              <w:t>3</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4500-O</w:t>
            </w:r>
            <w:r>
              <w:rPr>
                <w:rFonts w:ascii="Times New Roman" w:hAnsi="Times New Roman"/>
                <w:b w:val="false"/>
                <w:i w:val="false"/>
                <w:color w:val="000000"/>
                <w:sz w:val="18"/>
                <w:vertAlign w:val="subscript"/>
              </w:rPr>
              <w:t>3</w:t>
            </w:r>
            <w:r>
              <w:rPr>
                <w:rFonts w:ascii="Times New Roman" w:hAnsi="Times New Roman"/>
                <w:b w:val="false"/>
                <w:i w:val="false"/>
                <w:color w:val="000000"/>
                <w:sz w:val="16"/>
              </w:rPr>
              <w:t xml:space="preserve"> B-97</w:t>
            </w:r>
          </w:p>
        </w:tc>
        <w:tc>
          <w:tcPr>
            <w:tcW w:w="290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Standard Methods for the Examination of Water and Wastewater, 18th edition, 1992, 19th edition, 1995, 20th edition, 1998, 21st edition, 2005, or 22nd edition, 2012 (any of these editions may be used), American Public Health Association, 800 I Street, NW, Washington, DC 20001-3710. Only the 18th, 19th, and 20th editions may be used for chlorine dioxide Method 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D.</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Other analytical test procedures are contained within Technical Notes on Drinking Water Methods, EPA-600/R-94-173, October 1994, which is available as NTIS PB95-104766.</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Standard Methods for the Examination of Water and Wastewater, 18th edition (1992), 19th edition (1995), 21st edition (2005), and 22nd edition (2012) ( any edition may be used);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Annual Book of ASTM Standards, Vol. 11.01, 2004; ASTM International; any year containing the cited version of the method may be used. Copies of this method may be obtained from ASTM International, 100 Barr Harbor Drive, P.O. Box C700, West Conshohocken, PA 19428-2959.</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EPA Method 327.0, Revision 1.1, “Determination of Chlorine Dioxide and Chlorite Ion in Drinking Water Using Lissamine Green B and Horseradish Peroxidase with Detection by Visible Spectrophotometry,” US EPA, May 2005, EPA 815-R-05-008. Available online at </w:t>
      </w:r>
      <w:hyperlink r:id="rId173">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Standard Methods Online is available at </w:t>
      </w:r>
      <w:hyperlink r:id="rId174">
        <w:r>
          <w:rPr>
            <w:rStyle w:val="Hyperlink"/>
            <w:rFonts w:ascii="Times New Roman" w:hAnsi="Times New Roman"/>
            <w:b w:val="false"/>
            <w:i w:val="false"/>
            <w:color w:val="000000"/>
            <w:sz w:val="16"/>
            <w:u w:val="single"/>
          </w:rPr>
          <w:t>www.standardmethods.org</w:t>
        </w:r>
      </w:hyperlink>
      <w:r>
        <w:rPr>
          <w:rFonts w:ascii="Times New Roman" w:hAnsi="Times New Roman"/>
          <w:b w:val="false"/>
          <w:i w:val="false"/>
          <w:color w:val="000000"/>
          <w:sz w:val="16"/>
        </w:rPr>
        <w:t>. The year in which each method was approved by the Standard Methods Committee is designated by the last two digits in the method number. The methods listed are the only online versions that may be used.</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EPA Method 334.0, “Determination of Residual Chlorine in Drinking Water Using an On-Line Chlorine Analyzer,” August 2009. EPA 815-B-09-013. Available at </w:t>
      </w:r>
      <w:hyperlink r:id="rId175">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ChloroSense, “Measurement of Free and Total Chlorine in Drinking Water by Palintest ChloroSense,” September 2009. Available at </w:t>
      </w:r>
      <w:hyperlink r:id="rId176">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from Palintest Ltd., 21 Kenton Lands Road, P.O. Box 18395, Erlanger, KY 41018.</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ChlordioX Plus. “Chlorine Dioxide and Chlorite in Drinking Water by Amperometry Using Disposable Sensors,” November 2013. Available from Palintest Ltd., Jamike Avenue (Suite 100), Erlanger, KY 41018.</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Hach Company. “Hach Method 10260 – Determination of Chlorinated Oxidants (Free and Total) in Water Using Disposable Planar Reagent-Filled Cuvettes and Mesofluidic Channel Colorimetry,” April 2013. Available at </w:t>
      </w:r>
      <w:hyperlink r:id="rId177">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Hach Company. “Hach Method 10241 – Spectophotometric Measurement of Free Chlorine in Finished Drinking Water,” November 2015, Revision 1.2. Available at </w:t>
      </w:r>
      <w:hyperlink r:id="rId178">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w:t>
      </w:r>
      <w:r>
        <w:rPr>
          <w:rFonts w:ascii="Times New Roman" w:hAnsi="Times New Roman"/>
          <w:b w:val="false"/>
          <w:i w:val="false"/>
          <w:color w:val="000000"/>
          <w:sz w:val="22"/>
        </w:rPr>
        <w:t>A public water system that uses a surface water source or groundwater source under the influence of surface water must monitor in accordance with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Turbidity.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Routine turbidity monitoring requirements. Turbidity measurements as required by </w:t>
      </w:r>
      <w:hyperlink r:id="rId179">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must be performed on representative samples of the system’s filtered water every four hours (or more frequently as long as measurements are recorded at equal time intervals and detailed in the turbidity protocol) that the system serves water to the public. A public water system may substitute continuous turbidity monitoring for grab sample monitoring or may monitor more frequently than every four hours if it validates the continuous measurement for accuracy on a regular basis using a turbidity protocol approved by the department and audited for compliance during sanitary surveys. Major elements of the protocol shall include, but are not limited to: sample measurement location, method of calibration, calibration frequency, calibration standards, method of verification, verification frequency, documentation, data collection, data recording frequency, and data reporting. For any systems using slow sand filtration or filtration treatment other than conventional treatment, direct filtration, or diatomaceous earth filtration, the department may reduce the sampling frequency to once per day if it determines that less frequent monitoring is sufficient to indicate effective filtration performance. For systems serving 500 or fewer persons, the department may reduce the turbidity sampling frequency to once per day, regardless of the type of filtration treatment used, if the department determines that less frequent monitoring is sufficient to indicate effective filtration performance. Approval shall be based upon documentation provided by the system, acceptable to the department and pursuant to the conditions of an operation permit.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Turbidity monitoring requirements for population greater than 100,000. A supplier of water serving a population or population equivalent of greater than 100,000 persons shall provide a continuous or rotating cycle turbidity monitoring and recording device or take hourly grab samples to determine compliance with </w:t>
      </w:r>
      <w:hyperlink r:id="rId180">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The system must meet the requirements in 43.5(4)</w:t>
      </w:r>
      <w:r>
        <w:rPr>
          <w:rFonts w:ascii="Times New Roman" w:hAnsi="Times New Roman"/>
          <w:b w:val="false"/>
          <w:i/>
          <w:color w:val="000000"/>
          <w:sz w:val="22"/>
        </w:rPr>
        <w:t>“b”</w:t>
      </w:r>
      <w:r>
        <w:rPr>
          <w:rFonts w:ascii="Times New Roman" w:hAnsi="Times New Roman"/>
          <w:b w:val="false"/>
          <w:i w:val="false"/>
          <w:color w:val="000000"/>
          <w:sz w:val="22"/>
        </w:rPr>
        <w:t>(1)“1,” including the turbidity protocol.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of the continuous turbidity monitoring equipment. If there is a failure in the continuous turbidity monitoring equipment, the system must conduct grab sampling every four hours in lieu of continuous monitoring until the turbidimeter is repaired and back online. A system has a maximum of five working days after failure to repair the equipment or else the system is in violation. The system must notify the department within 24 hours of both when the turbidimeter was taken offline and when it was returned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Residual disinfectant.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Residual disinfectant entering the system. The residual disinfectant concentration of the water entering the distribution system shall be monitored continuously, and the lowest value recorded each day, except that if there is a failure in the continuous monitoring equipment, grab sampling every four hours may be conducted in lieu of continuous monitoring, but not to exceed five working days following the failure of the equipment. If acceptable to the department, systems serving 3,300 or fewer persons may take grab samples in lieu of providing continuous monitoring on an ongoing basis at the frequencies prescribed below:</w:t>
      </w:r>
    </w:p>
    <w:p>
      <w:pPr>
        <w:spacing w:before="0" w:after="0"/>
        <w:ind w:left="120"/>
        <w:jc w:val="center"/>
      </w:pPr>
      <w:r>
        <w:rPr>
          <w:rFonts w:ascii="Times New Roman" w:hAnsi="Times New Roman"/>
          <w:b w:val="false"/>
          <w:i w:val="false"/>
          <w:color w:val="000000"/>
          <w:sz w:val="22"/>
        </w:rPr>
        <w:t>Residual Disinfectant Samples Required of Surface Water or IGW PWS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217"/>
        <w:gridCol w:w="4973"/>
      </w:tblGrid>
      <w:tr>
        <w:trPr>
          <w:trHeight w:val="240" w:hRule="atLeast"/>
        </w:trPr>
        <w:tc>
          <w:tcPr>
            <w:tcW w:w="62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System size (persons served)</w:t>
            </w:r>
          </w:p>
        </w:tc>
        <w:tc>
          <w:tcPr>
            <w:tcW w:w="497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Samples per day*</w:t>
            </w:r>
          </w:p>
        </w:tc>
      </w:tr>
      <w:tr>
        <w:trPr>
          <w:trHeight w:val="240" w:hRule="atLeast"/>
        </w:trPr>
        <w:tc>
          <w:tcPr>
            <w:tcW w:w="6217" w:type="dxa"/>
            <w:tcBorders>
              <w:bottom w:val="single" w:color="000000" w:sz="8"/>
              <w:right w:val="single" w:color="000000" w:sz="8"/>
            </w:tcBorders>
            <w:tcMar>
              <w:top w:w="30" w:type="dxa"/>
              <w:left w:w="30" w:type="dxa"/>
              <w:bottom w:w="15" w:type="dxa"/>
              <w:right w:w="30" w:type="dxa"/>
            </w:tcMar>
            <w:vAlign w:val="top"/>
          </w:tcPr>
          <w:p>
            <w:pPr>
              <w:spacing w:before="0" w:after="0"/>
              <w:ind w:left="961"/>
              <w:jc w:val="both"/>
            </w:pPr>
            <w:r>
              <w:rPr>
                <w:rFonts w:ascii="Times New Roman" w:hAnsi="Times New Roman"/>
                <w:b w:val="false"/>
                <w:i w:val="false"/>
                <w:color w:val="000000"/>
                <w:sz w:val="16"/>
              </w:rPr>
              <w:t>500 or fewer</w:t>
            </w:r>
          </w:p>
        </w:tc>
        <w:tc>
          <w:tcPr>
            <w:tcW w:w="4973"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1</w:t>
            </w:r>
          </w:p>
        </w:tc>
      </w:tr>
      <w:tr>
        <w:trPr>
          <w:trHeight w:val="225" w:hRule="atLeast"/>
        </w:trPr>
        <w:tc>
          <w:tcPr>
            <w:tcW w:w="6217" w:type="dxa"/>
            <w:tcBorders>
              <w:bottom w:val="single" w:color="000000" w:sz="8"/>
              <w:right w:val="single" w:color="000000" w:sz="8"/>
            </w:tcBorders>
            <w:tcMar>
              <w:top w:w="30" w:type="dxa"/>
              <w:left w:w="30" w:type="dxa"/>
              <w:bottom w:w="15" w:type="dxa"/>
              <w:right w:w="30" w:type="dxa"/>
            </w:tcMar>
            <w:vAlign w:val="top"/>
          </w:tcPr>
          <w:p>
            <w:pPr>
              <w:spacing w:before="0" w:after="0"/>
              <w:ind w:left="961"/>
              <w:jc w:val="both"/>
            </w:pPr>
            <w:r>
              <w:rPr>
                <w:rFonts w:ascii="Times New Roman" w:hAnsi="Times New Roman"/>
                <w:b w:val="false"/>
                <w:i w:val="false"/>
                <w:color w:val="000000"/>
                <w:sz w:val="16"/>
              </w:rPr>
              <w:t>501 to 1,000</w:t>
            </w:r>
          </w:p>
        </w:tc>
        <w:tc>
          <w:tcPr>
            <w:tcW w:w="4973"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2</w:t>
            </w:r>
          </w:p>
        </w:tc>
      </w:tr>
      <w:tr>
        <w:trPr>
          <w:trHeight w:val="225" w:hRule="atLeast"/>
        </w:trPr>
        <w:tc>
          <w:tcPr>
            <w:tcW w:w="6217" w:type="dxa"/>
            <w:tcBorders>
              <w:bottom w:val="single" w:color="000000" w:sz="8"/>
              <w:right w:val="single" w:color="000000" w:sz="8"/>
            </w:tcBorders>
            <w:tcMar>
              <w:top w:w="30" w:type="dxa"/>
              <w:left w:w="30" w:type="dxa"/>
              <w:bottom w:w="15" w:type="dxa"/>
              <w:right w:w="30" w:type="dxa"/>
            </w:tcMar>
            <w:vAlign w:val="top"/>
          </w:tcPr>
          <w:p>
            <w:pPr>
              <w:spacing w:before="0" w:after="0"/>
              <w:ind w:left="961"/>
              <w:jc w:val="both"/>
            </w:pPr>
            <w:r>
              <w:rPr>
                <w:rFonts w:ascii="Times New Roman" w:hAnsi="Times New Roman"/>
                <w:b w:val="false"/>
                <w:i w:val="false"/>
                <w:color w:val="000000"/>
                <w:sz w:val="16"/>
              </w:rPr>
              <w:t>1,001 to 2,500</w:t>
            </w:r>
          </w:p>
        </w:tc>
        <w:tc>
          <w:tcPr>
            <w:tcW w:w="4973"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3</w:t>
            </w:r>
          </w:p>
        </w:tc>
      </w:tr>
      <w:tr>
        <w:trPr>
          <w:trHeight w:val="225" w:hRule="atLeast"/>
        </w:trPr>
        <w:tc>
          <w:tcPr>
            <w:tcW w:w="6217" w:type="dxa"/>
            <w:tcBorders>
              <w:right w:val="single" w:color="000000" w:sz="8"/>
            </w:tcBorders>
            <w:tcMar>
              <w:top w:w="30" w:type="dxa"/>
              <w:left w:w="30" w:type="dxa"/>
              <w:bottom w:w="15" w:type="dxa"/>
              <w:right w:w="30" w:type="dxa"/>
            </w:tcMar>
            <w:vAlign w:val="top"/>
          </w:tcPr>
          <w:p>
            <w:pPr>
              <w:spacing w:before="0" w:after="0"/>
              <w:ind w:left="961"/>
              <w:jc w:val="both"/>
            </w:pPr>
            <w:r>
              <w:rPr>
                <w:rFonts w:ascii="Times New Roman" w:hAnsi="Times New Roman"/>
                <w:b w:val="false"/>
                <w:i w:val="false"/>
                <w:color w:val="000000"/>
                <w:sz w:val="16"/>
              </w:rPr>
              <w:t>2,501 to 3,300</w:t>
            </w:r>
          </w:p>
        </w:tc>
        <w:tc>
          <w:tcPr>
            <w:tcW w:w="4973"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4</w:t>
            </w:r>
          </w:p>
        </w:tc>
      </w:tr>
    </w:tbl>
    <w:tbl>
      <w:tblPr>
        <w:tblW w:w="5000" w:type="pct"/>
        <w:tblCellSpacing w:w="0" w:type="auto"/>
        <w:tblBorders>
          <w:top w:val="none"/>
          <w:left w:val="none"/>
          <w:bottom w:val="none"/>
          <w:right w:val="none"/>
          <w:insideH w:val="none"/>
          <w:insideV w:val="none"/>
        </w:tblBorders>
        <w:tblLayout w:type="fixed"/>
      </w:tblPr>
      <w:tblGrid>
        <w:gridCol w:w="11520"/>
      </w:tblGrid>
      <w:tr>
        <w:trPr>
          <w:trHeight w:val="345"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*When more than one grab sample is required per day, the day’s samples cannot be taken at the same time. The sampling intervals must be at a minimum of four-hour intervals.</w:t>
            </w:r>
          </w:p>
        </w:tc>
      </w:tr>
    </w:tbl>
    <w:p>
      <w:pPr>
        <w:spacing w:before="0" w:after="0"/>
        <w:ind w:left="120"/>
        <w:jc w:val="both"/>
      </w:pPr>
      <w:r>
        <w:rPr>
          <w:rFonts w:ascii="Times New Roman" w:hAnsi="Times New Roman"/>
          <w:b w:val="false"/>
          <w:i w:val="false"/>
          <w:color w:val="000000"/>
          <w:sz w:val="22"/>
        </w:rPr>
        <w:t>If at any time the disinfectant concentration falls below 0.3 mg/L free residual or 1.5 mg/L total residual chlorine in a system using grab sampling in lieu of continuous monitoring, the system shall take a grab sample every four hours until the residual disinfectant concentration is equal to or greater than 0.3 mg/L free residual or 1.5 mg/L total residual chlorine.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Residual disinfectant in the system. The residual disinfectant concentration must be measured at least daily in the distribution system. Residual disinfectant measurements that are required as part of the total coliform bacteria sample collection under 567—subparagraph </w:t>
      </w:r>
      <w:hyperlink r:id="rId181">
        <w:r>
          <w:rPr>
            <w:rStyle w:val="Hyperlink"/>
            <w:rFonts w:ascii="Times New Roman" w:hAnsi="Times New Roman"/>
            <w:b w:val="false"/>
            <w:i w:val="false"/>
            <w:color w:val="000000"/>
            <w:sz w:val="22"/>
          </w:rPr>
          <w:t>41.2(1)</w:t>
        </w:r>
      </w:hyperlink>
      <w:r>
        <w:rPr>
          <w:rFonts w:ascii="Times New Roman" w:hAnsi="Times New Roman"/>
          <w:b w:val="false"/>
          <w:i/>
          <w:color w:val="000000"/>
          <w:sz w:val="22"/>
        </w:rPr>
        <w:t>“c”</w:t>
      </w:r>
      <w:r>
        <w:rPr>
          <w:rFonts w:ascii="Times New Roman" w:hAnsi="Times New Roman"/>
          <w:b w:val="false"/>
          <w:i w:val="false"/>
          <w:color w:val="000000"/>
          <w:sz w:val="22"/>
        </w:rPr>
        <w:t xml:space="preserve">(7) shall be used to satisfy this requirement on the day(s) when a bacteria sample(s) is collected. The department may allow a public water system that uses both a groundwater source and a surface water source or a groundwater source under direct influence of surface water to take residual disinfectant samples at points other than the total coliform sampling points, if these points are included as a part of the coliform sample site plan meeting the requirements of 567—paragraph </w:t>
      </w:r>
      <w:hyperlink r:id="rId182">
        <w:r>
          <w:rPr>
            <w:rStyle w:val="Hyperlink"/>
            <w:rFonts w:ascii="Times New Roman" w:hAnsi="Times New Roman"/>
            <w:b w:val="false"/>
            <w:i w:val="false"/>
            <w:color w:val="000000"/>
            <w:sz w:val="22"/>
          </w:rPr>
          <w:t>41.2(1)</w:t>
        </w:r>
      </w:hyperlink>
      <w:r>
        <w:rPr>
          <w:rFonts w:ascii="Times New Roman" w:hAnsi="Times New Roman"/>
          <w:b w:val="false"/>
          <w:i/>
          <w:color w:val="000000"/>
          <w:sz w:val="22"/>
        </w:rPr>
        <w:t>“c”</w:t>
      </w:r>
      <w:r>
        <w:rPr>
          <w:rFonts w:ascii="Times New Roman" w:hAnsi="Times New Roman"/>
          <w:b w:val="false"/>
          <w:i w:val="false"/>
          <w:color w:val="000000"/>
          <w:sz w:val="22"/>
        </w:rPr>
        <w:t>(1)“1” and if the department determines that such points are representative of treated (disinfected) water quality within the distribution system. Heterotrophic plate count bacteria (HPC) may be measured in lieu of residual disinfectant concentration, using the analytical methods specified in 567—subparagraph 41.2(3)</w:t>
      </w:r>
      <w:r>
        <w:rPr>
          <w:rFonts w:ascii="Times New Roman" w:hAnsi="Times New Roman"/>
          <w:b w:val="false"/>
          <w:i/>
          <w:color w:val="000000"/>
          <w:sz w:val="22"/>
        </w:rPr>
        <w:t>“e”</w:t>
      </w:r>
      <w:r>
        <w:rPr>
          <w:rFonts w:ascii="Times New Roman" w:hAnsi="Times New Roman"/>
          <w:b w:val="false"/>
          <w:i w:val="false"/>
          <w:color w:val="000000"/>
          <w:sz w:val="22"/>
        </w:rPr>
        <w:t xml:space="preserve">(1). The time from sample collection to initiation of analysis shall not exceed eight hours. HPC samples must be kept below 10 degrees C during transit to the laboratory. All HPC samples must be analyzed by a department-certified laboratory meeting the requirements of </w:t>
      </w:r>
      <w:hyperlink r:id="rId183">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Public water supplies shall report the results of routine monitoring required to demonstrate compliance with </w:t>
      </w:r>
      <w:hyperlink r:id="rId184">
        <w:r>
          <w:rPr>
            <w:rStyle w:val="Hyperlink"/>
            <w:rFonts w:ascii="Times New Roman" w:hAnsi="Times New Roman"/>
            <w:b w:val="false"/>
            <w:i w:val="false"/>
            <w:color w:val="000000"/>
            <w:sz w:val="22"/>
          </w:rPr>
          <w:t>567—43.5(455B)</w:t>
        </w:r>
      </w:hyperlink>
      <w:r>
        <w:rPr>
          <w:rFonts w:ascii="Times New Roman" w:hAnsi="Times New Roman"/>
          <w:b w:val="false"/>
          <w:i w:val="false"/>
          <w:color w:val="000000"/>
          <w:sz w:val="22"/>
        </w:rPr>
        <w:t xml:space="preserve"> and treatment technique violations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Waterborne disease outbreak. </w:t>
      </w:r>
      <w:r>
        <w:rPr>
          <w:rFonts w:ascii="Times New Roman" w:hAnsi="Times New Roman"/>
          <w:b w:val="false"/>
          <w:i w:val="false"/>
          <w:color w:val="000000"/>
          <w:sz w:val="22"/>
        </w:rPr>
        <w:t>Each system, upon discovering that a waterborne disease outbreak potentially attributable to that water system has occurred, must report that occurrence to the department as soon as possible, but no later than by the end of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Turbidity exceeds 5 NTU. </w:t>
      </w:r>
      <w:r>
        <w:rPr>
          <w:rFonts w:ascii="Times New Roman" w:hAnsi="Times New Roman"/>
          <w:b w:val="false"/>
          <w:i w:val="false"/>
          <w:color w:val="000000"/>
          <w:sz w:val="22"/>
        </w:rPr>
        <w:t xml:space="preserve">If at any time the turbidity exceeds 5 NTU, the system must inform the department as soon as possible, but no later than 24 hours after the exceedance is known, in accordance with the public notification requirements under 567—subparagraph </w:t>
      </w:r>
      <w:hyperlink r:id="rId185">
        <w:r>
          <w:rPr>
            <w:rStyle w:val="Hyperlink"/>
            <w:rFonts w:ascii="Times New Roman" w:hAnsi="Times New Roman"/>
            <w:b w:val="false"/>
            <w:i w:val="false"/>
            <w:color w:val="000000"/>
            <w:sz w:val="22"/>
          </w:rPr>
          <w:t>42.1(3)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entering distribution system below 0.3 mg/L free residual chlorine or 1.5 mg/L total residual chlorine. </w:t>
      </w:r>
      <w:r>
        <w:rPr>
          <w:rFonts w:ascii="Times New Roman" w:hAnsi="Times New Roman"/>
          <w:b w:val="false"/>
          <w:i w:val="false"/>
          <w:color w:val="000000"/>
          <w:sz w:val="22"/>
        </w:rPr>
        <w:t>If at any time the residual falls below 0.3 mg/L free residual chlorine or 1.5 mg/L total residual chlorine in the water entering the distribution system, the system must notify the department as soon as possible, but no later than by the end of the next business day. The system also must notify the department by the end of the next business day whether or not the residual was restored to at least 0.3 mg/L free residual chlorine or 1.5 mg/L total residual chlorine within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reporting requirements. </w:t>
      </w:r>
      <w:r>
        <w:rPr>
          <w:rFonts w:ascii="Times New Roman" w:hAnsi="Times New Roman"/>
          <w:b w:val="false"/>
          <w:i w:val="false"/>
          <w:color w:val="000000"/>
          <w:sz w:val="22"/>
        </w:rPr>
        <w:t xml:space="preserve">Routine monitoring results shall be provided as part of the monthly operation reports in accordance with </w:t>
      </w:r>
      <w:hyperlink r:id="rId186">
        <w:r>
          <w:rPr>
            <w:rStyle w:val="Hyperlink"/>
            <w:rFonts w:ascii="Times New Roman" w:hAnsi="Times New Roman"/>
            <w:b w:val="false"/>
            <w:i w:val="false"/>
            <w:color w:val="000000"/>
            <w:sz w:val="22"/>
          </w:rPr>
          <w:t>567—40.3(455B)</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567—subrule 42.4(3)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Total inactivation ratio below 1.0. </w:t>
      </w:r>
      <w:r>
        <w:rPr>
          <w:rFonts w:ascii="Times New Roman" w:hAnsi="Times New Roman"/>
          <w:b w:val="false"/>
          <w:i w:val="false"/>
          <w:color w:val="000000"/>
          <w:sz w:val="22"/>
        </w:rPr>
        <w:t>If the system’s total inactivation ratio for the day is below 1.0, the system must notify the department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43.5(6)</w:t>
      </w:r>
      <w:r>
        <w:rPr>
          <w:rFonts w:ascii="Times New Roman" w:hAnsi="Times New Roman"/>
          <w:b w:val="false"/>
          <w:i w:val="false"/>
          <w:color w:val="000000"/>
          <w:sz w:val="22"/>
        </w:rPr>
        <w:t> </w:t>
      </w:r>
      <w:r>
        <w:rPr>
          <w:rFonts w:ascii="Times New Roman" w:hAnsi="Times New Roman"/>
          <w:b w:val="false"/>
          <w:i/>
          <w:color w:val="000000"/>
          <w:sz w:val="22"/>
        </w:rPr>
        <w:t xml:space="preserve">Filter backwash recycle provisions. </w:t>
      </w:r>
      <w:r>
        <w:rPr>
          <w:rFonts w:ascii="Times New Roman" w:hAnsi="Times New Roman"/>
          <w:b w:val="false"/>
          <w:i w:val="false"/>
          <w:color w:val="000000"/>
          <w:sz w:val="22"/>
        </w:rPr>
        <w:t>All surface water or influenced groundwater systems that employ conventional filtration or direct filtration treatment and that recycle spent filter backwash water, thickener supernatant, or liquids from dewatering processes must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system must notify the department in writing by December 8, 2003, if the system recycles spent filter backwash water, thickener supernatant, or liquids from dewatering processes. This notification must include the following information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plan schematic showing the origin of all flows which are recycled (including, but not limited to, spent filter backwash water, thickener supernatant, and liquids from dewatering processes), the hydraulic conveyance used to transport them, and the location where they are reintroduced back into the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Typical recycle flow in gallons per minute (gpm), the highest observed plant flow experience in the previous year (in gpm), design flow for the treatment plant (in gpm), the minimum plant rate (in gpm) during which the filter backwash will be recycled, and department-approved operating capacity for the plant where the department has made such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requirement. </w:t>
      </w:r>
      <w:r>
        <w:rPr>
          <w:rFonts w:ascii="Times New Roman" w:hAnsi="Times New Roman"/>
          <w:b w:val="false"/>
          <w:i w:val="false"/>
          <w:color w:val="000000"/>
          <w:sz w:val="22"/>
        </w:rPr>
        <w:t xml:space="preserve">Any system that recycles spent filter backwash water, thickener supernatant, or liquids from dewatering processes must return these flows through the processes of a system’s existing conventional or direct filtration system as defined in </w:t>
      </w:r>
      <w:hyperlink r:id="rId188">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or at an alternate location approved by the department by June 8, 2004. However, if capital improvements are required to modify the recycle location to meet this requirement, all capital improvements must be completed no later than June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The system must collect and retain on file the recycle flow information specified below for review and evaluation by the department beginning June 8,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recycle notification and information submitted to the department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all recycle flows and the frequency with which they are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average and maximum backwash flow rate through the filters and the average and maximum duration of the filter backwash process in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typical filter run length and a written summary of how filter run length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type of treatment provided for the recycle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Data on the physical dimensions of the equalization and treatment units, typical and maximum hydraulic loading rates, type of treatment chemicals used including average dose and frequency of use, and frequency at which solids are removed,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567—43.6</w:t>
      </w:r>
      <w:r>
        <w:rPr>
          <w:rFonts w:ascii="Times New Roman" w:hAnsi="Times New Roman"/>
          <w:b/>
          <w:i w:val="false"/>
          <w:color w:val="000000"/>
          <w:sz w:val="22"/>
        </w:rPr>
        <w:t xml:space="preserve">(455B) </w:t>
      </w:r>
      <w:r>
        <w:rPr>
          <w:rFonts w:ascii="Times New Roman" w:hAnsi="Times New Roman"/>
          <w:b/>
          <w:i w:val="false"/>
          <w:color w:val="000000"/>
          <w:sz w:val="22"/>
        </w:rPr>
        <w:t xml:space="preserve">Residual disinfectant and disinfection byproduct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CWS and NTNC systems. This rule establishes criteria under which CWS and NTNC public water supply systems that add a chemical disinfectant to the water in any part of the drinking water treatment process or that provide water that contains a chemical disinfectant must modify their practices to meet the MCLs listed in </w:t>
      </w:r>
      <w:hyperlink r:id="rId189">
        <w:r>
          <w:rPr>
            <w:rStyle w:val="Hyperlink"/>
            <w:rFonts w:ascii="Times New Roman" w:hAnsi="Times New Roman"/>
            <w:b w:val="false"/>
            <w:i w:val="false"/>
            <w:color w:val="000000"/>
            <w:sz w:val="22"/>
          </w:rPr>
          <w:t>567—41.6</w:t>
        </w:r>
      </w:hyperlink>
      <w:r>
        <w:rPr>
          <w:rFonts w:ascii="Times New Roman" w:hAnsi="Times New Roman"/>
          <w:b w:val="false"/>
          <w:i w:val="false"/>
          <w:color w:val="000000"/>
          <w:sz w:val="22"/>
        </w:rPr>
        <w:t xml:space="preserve">(455B), the maximum residual disinfectant levels (MRDL) listed in this subrule, and treatment technique requirements for disinfection byproduct precursors listed in subrule </w:t>
      </w:r>
      <w:hyperlink r:id="rId190">
        <w:r>
          <w:rPr>
            <w:rStyle w:val="Hyperlink"/>
            <w:rFonts w:ascii="Times New Roman" w:hAnsi="Times New Roman"/>
            <w:b w:val="false"/>
            <w:i w:val="false"/>
            <w:color w:val="000000"/>
            <w:sz w:val="22"/>
          </w:rPr>
          <w:t>43.6(3)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TNC systems with chlorine dioxide disinfection. This rule establishes criteria under which TNC public water supply systems that use chlorine dioxide as a disinfectant or oxidant must modify their practices to meet the chlorine dioxide MRDL listed in paragraph </w:t>
      </w:r>
      <w:hyperlink r:id="rId191">
        <w:r>
          <w:rPr>
            <w:rStyle w:val="Hyperlink"/>
            <w:rFonts w:ascii="Times New Roman" w:hAnsi="Times New Roman"/>
            <w:b w:val="false"/>
            <w:i w:val="false"/>
            <w:color w:val="000000"/>
            <w:sz w:val="22"/>
          </w:rPr>
          <w:t>43.6(1)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dates. Compliance dates for this rule are based upon the source water type and the population served. Systems are required to comply with this rule as follows, unless otherwise noted: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Surface water and IGW CWS and NTNC. CWS and NTNC systems using surface water or groundwater under the direct influence of surface water (IGW) in whole or in part and which serve 10,000 or more persons must comply with this rule beginning January 1, 2002. CWS and NTNC surface water or IGW systems serving fewer than 10,000 persons must comply with this rule beginning January 1, 2004.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Groundwater CWS and NTNC. CWS and NTNC systems using only groundwater not under the direct influence of surface water must comply with this rule beginning January 1, 2004.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TNC using chlorine dioxide. TNC systems serving over 10,000 persons and using surface water or groundwater under the direct influence of surface water and using chlorine dioxide as a disinfectant or oxidant must comply with any requirements for chlorine dioxide in this rule beginning January 1, 2002. TNC systems serving 10,000 persons or less, regardless of source water type, and using chlorine dioxide as a disinfectant or oxidant must comply with any requirements for chlorine dioxide in this rule beginning January 1, 2004.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Extension of compliance period for GAC or membrane technology installation. A system that is installing GAC or membrane technology to comply with this rule may apply to the department for an extension of up to 24 months past the dates in </w:t>
      </w:r>
      <w:hyperlink r:id="rId192">
        <w:r>
          <w:rPr>
            <w:rStyle w:val="Hyperlink"/>
            <w:rFonts w:ascii="Times New Roman" w:hAnsi="Times New Roman"/>
            <w:b w:val="false"/>
            <w:i w:val="false"/>
            <w:color w:val="000000"/>
            <w:sz w:val="22"/>
          </w:rPr>
          <w:t>43.6(1)</w:t>
        </w:r>
      </w:hyperlink>
      <w:r>
        <w:rPr>
          <w:rFonts w:ascii="Times New Roman" w:hAnsi="Times New Roman"/>
          <w:b w:val="false"/>
          <w:i/>
          <w:color w:val="000000"/>
          <w:sz w:val="22"/>
        </w:rPr>
        <w:t>“a”</w:t>
      </w:r>
      <w:r>
        <w:rPr>
          <w:rFonts w:ascii="Times New Roman" w:hAnsi="Times New Roman"/>
          <w:b w:val="false"/>
          <w:i w:val="false"/>
          <w:color w:val="000000"/>
          <w:sz w:val="22"/>
        </w:rPr>
        <w:t xml:space="preserve">(3), but not beyond December 31, 2003. In granting the extension, the department will set a schedule for compliance and may specify any interim measures the system must take. Failure to meet a compliance schedule or interim treatment requirements constitutes a violation of the public drinking water supply rules, requires public notification per </w:t>
      </w:r>
      <w:hyperlink r:id="rId193">
        <w:r>
          <w:rPr>
            <w:rStyle w:val="Hyperlink"/>
            <w:rFonts w:ascii="Times New Roman" w:hAnsi="Times New Roman"/>
            <w:b w:val="false"/>
            <w:i w:val="false"/>
            <w:color w:val="000000"/>
            <w:sz w:val="22"/>
          </w:rPr>
          <w:t>567—subrule 42.1(1)</w:t>
        </w:r>
      </w:hyperlink>
      <w:r>
        <w:rPr>
          <w:rFonts w:ascii="Times New Roman" w:hAnsi="Times New Roman"/>
          <w:b w:val="false"/>
          <w:i w:val="false"/>
          <w:color w:val="000000"/>
          <w:sz w:val="22"/>
        </w:rPr>
        <w:t>, and may result in an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Control of residual disinfectants. Notwithstanding the MRDLs in this rule, systems may increase residual disinfectant levels of chlorine or chloramines (but not chlorine dioxide) in the distribution system to a level and for a time necessary to protect public health, to address specific microbiological contamination problems caused by circumstances such as, but not limited to, distribution line breaks, storm run-off events, source water contamination events, or cross-connection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Consecutive systems. Consecutive systems that provide water containing a disinfectant or oxidant are required to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Systems with multiple water sources. Systems with water sources that are used independently from each other, are not from the same source as determined by the department, or do not go through identical treatment processes are required to conduct the monitoring for the applicable disinfectants or oxidants and disinfection byproducts during operation of each source. The system must comply with this rule during the use of each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residual disinfectant levels. </w:t>
      </w:r>
      <w:r>
        <w:rPr>
          <w:rFonts w:ascii="Times New Roman" w:hAnsi="Times New Roman"/>
          <w:b w:val="false"/>
          <w:i w:val="false"/>
          <w:color w:val="000000"/>
          <w:sz w:val="22"/>
        </w:rPr>
        <w:t>Maximum residual disinfectant levels (MRDLs)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088"/>
        <w:gridCol w:w="5102"/>
      </w:tblGrid>
      <w:tr>
        <w:trPr>
          <w:trHeight w:val="240" w:hRule="atLeast"/>
        </w:trPr>
        <w:tc>
          <w:tcPr>
            <w:tcW w:w="608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Disinfection Residual</w:t>
            </w:r>
          </w:p>
        </w:tc>
        <w:tc>
          <w:tcPr>
            <w:tcW w:w="5102"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MRDL (mg/L)</w:t>
            </w:r>
          </w:p>
        </w:tc>
      </w:tr>
      <w:tr>
        <w:trPr>
          <w:trHeight w:val="300" w:hRule="atLeast"/>
        </w:trPr>
        <w:tc>
          <w:tcPr>
            <w:tcW w:w="6088"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Chloramines</w:t>
            </w:r>
          </w:p>
        </w:tc>
        <w:tc>
          <w:tcPr>
            <w:tcW w:w="5102"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4.0 as Cl</w:t>
            </w:r>
            <w:r>
              <w:rPr>
                <w:rFonts w:ascii="Times New Roman" w:hAnsi="Times New Roman"/>
                <w:b w:val="false"/>
                <w:i w:val="false"/>
                <w:color w:val="000000"/>
                <w:sz w:val="18"/>
                <w:vertAlign w:val="subscript"/>
              </w:rPr>
              <w:t>2</w:t>
            </w:r>
          </w:p>
        </w:tc>
      </w:tr>
      <w:tr>
        <w:trPr>
          <w:trHeight w:val="285" w:hRule="atLeast"/>
        </w:trPr>
        <w:tc>
          <w:tcPr>
            <w:tcW w:w="6088"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Chlorine</w:t>
            </w:r>
          </w:p>
        </w:tc>
        <w:tc>
          <w:tcPr>
            <w:tcW w:w="5102"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4.0 as Cl</w:t>
            </w:r>
            <w:r>
              <w:rPr>
                <w:rFonts w:ascii="Times New Roman" w:hAnsi="Times New Roman"/>
                <w:b w:val="false"/>
                <w:i w:val="false"/>
                <w:color w:val="000000"/>
                <w:sz w:val="18"/>
                <w:vertAlign w:val="subscript"/>
              </w:rPr>
              <w:t>2</w:t>
            </w:r>
          </w:p>
        </w:tc>
      </w:tr>
      <w:tr>
        <w:trPr>
          <w:trHeight w:val="285" w:hRule="atLeast"/>
        </w:trPr>
        <w:tc>
          <w:tcPr>
            <w:tcW w:w="608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Chlorine dioxide</w:t>
            </w:r>
          </w:p>
        </w:tc>
        <w:tc>
          <w:tcPr>
            <w:tcW w:w="5102"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0.8 as ClO</w:t>
            </w:r>
            <w:r>
              <w:rPr>
                <w:rFonts w:ascii="Times New Roman" w:hAnsi="Times New Roman"/>
                <w:b w:val="false"/>
                <w:i w:val="false"/>
                <w:color w:val="000000"/>
                <w:sz w:val="18"/>
                <w:vertAlign w:val="subscript"/>
              </w:rPr>
              <w:t>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for residual disinfectants.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Systems must take all samples during normal operating conditions. If the system does not use the disinfectant or oxidant on a daily basis, the system must conduct the required daily monitoring each day the disinfectant or oxidant is used, and any required monthly monitoring during those months in which the disinfectant or oxidant is used during any portion of the month.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Failure to monitor in accordance with the monitoring plan required under </w:t>
      </w:r>
      <w:hyperlink r:id="rId194">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(1)“5” is a monitoring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monitor is a violation for the entire period covered by the annual average where compliance is based on a running annual average of monthly or quarterly samples or averages and the system’s failure to monitor makes it impossible to determine compliance with MRDLs.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Systems may use only data collected under the provisions of this rule or of </w:t>
      </w:r>
      <w:hyperlink r:id="rId195">
        <w:r>
          <w:rPr>
            <w:rStyle w:val="Hyperlink"/>
            <w:rFonts w:ascii="Times New Roman" w:hAnsi="Times New Roman"/>
            <w:b w:val="false"/>
            <w:i w:val="false"/>
            <w:color w:val="000000"/>
            <w:sz w:val="22"/>
          </w:rPr>
          <w:t>567—41.6</w:t>
        </w:r>
      </w:hyperlink>
      <w:r>
        <w:rPr>
          <w:rFonts w:ascii="Times New Roman" w:hAnsi="Times New Roman"/>
          <w:b w:val="false"/>
          <w:i w:val="false"/>
          <w:color w:val="000000"/>
          <w:sz w:val="22"/>
        </w:rPr>
        <w:t>(455B) to qualify for reduced monitoring.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Systems required to monitor under the provisions of this rule or of </w:t>
      </w:r>
      <w:hyperlink r:id="rId196">
        <w:r>
          <w:rPr>
            <w:rStyle w:val="Hyperlink"/>
            <w:rFonts w:ascii="Times New Roman" w:hAnsi="Times New Roman"/>
            <w:b w:val="false"/>
            <w:i w:val="false"/>
            <w:color w:val="000000"/>
            <w:sz w:val="22"/>
          </w:rPr>
          <w:t>567—41.6</w:t>
        </w:r>
      </w:hyperlink>
      <w:r>
        <w:rPr>
          <w:rFonts w:ascii="Times New Roman" w:hAnsi="Times New Roman"/>
          <w:b w:val="false"/>
          <w:i w:val="false"/>
          <w:color w:val="000000"/>
          <w:sz w:val="22"/>
        </w:rPr>
        <w:t xml:space="preserve">(455B) must develop and implement a monitoring plan, in accordance with 567—paragraph </w:t>
      </w:r>
      <w:hyperlink r:id="rId197">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Chlorine and chloramines.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Routine monitoring. Community and nontransient noncommunity water systems that use chlorine or chloramines must measure the residual disinfectant level at the same points in the distribution system and at the same time as total coliforms are sampled, as specified in </w:t>
      </w:r>
      <w:hyperlink r:id="rId198">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xml:space="preserve">. Surface water and groundwater under the direct influence of surface water systems may use the results of residual disinfectant concentration sampling conducted under </w:t>
      </w:r>
      <w:hyperlink r:id="rId199">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(2)“2,” in lieu of taking separate samples.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Reduced monitoring. Chlorine and chloramine monitoring may not be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Chlorine dioxide.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Routine monitoring. Any public water supply systems that use chlorine dioxide for disinfection or oxidation must take daily samples at the entrance to the distribution system. For any daily sample that exceeds the MRDL, the system must take samples in the distribution system the following day at the locations required by </w:t>
      </w:r>
      <w:hyperlink r:id="rId200">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(3)“2,” in addition to the sample required at the entrance to the distribution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Additional monitoring. On each day following a routine sample monitoring result that exceeds the MRDL, the system is required to take three chlorine dioxide distribution system samples.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chlorine dioxide or chloramines are used to maintain a residual disinfectant in the distribution system, or if chlorine is used to maintain a residual disinfectant in the distribution system and there are no disinfection addition points after the entrance to the distribution system (i.e., no booster chlorination), the system must take three samples as close to the first customer as possible, at intervals of at least six hours.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chlorine is used to maintain a residual disinfectant in the distribution system and there are one or more disinfection addition points after the entrance to the distribution system (i.e., booster chlorination), the system must take one sample at each of the following locations: as close to the first customer as possible, in a location representative of average residence time, and as close to the end of the distribution system as possible (reflecting maximum residence time in the distribution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Reduced monitoring. Chlorine dioxide monitoring may not be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Analytical requirements for residual disinfectants.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Analytical methods. Systems must measure residual disinfectant concentrations for free chlorine, combined chlorine (chloramines), and chlorine dioxide by the methods listed in the following table:</w:t>
      </w:r>
    </w:p>
    <w:p>
      <w:pPr>
        <w:spacing w:before="60" w:after="0"/>
        <w:ind w:left="120"/>
        <w:jc w:val="center"/>
      </w:pPr>
      <w:r>
        <w:rPr>
          <w:rFonts w:ascii="Times New Roman" w:hAnsi="Times New Roman"/>
          <w:b w:val="false"/>
          <w:i w:val="false"/>
          <w:color w:val="000000"/>
          <w:sz w:val="22"/>
        </w:rPr>
        <w:t>Approved Methods for Residual Disinfectant Compliance Monitoring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1632"/>
        <w:gridCol w:w="1920"/>
        <w:gridCol w:w="1248"/>
        <w:gridCol w:w="1248"/>
        <w:gridCol w:w="1248"/>
        <w:gridCol w:w="1248"/>
      </w:tblGrid>
      <w:tr>
        <w:trPr>
          <w:trHeight w:val="270" w:hRule="atLeast"/>
        </w:trPr>
        <w:tc>
          <w:tcPr>
            <w:tcW w:w="288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Methodology</w:t>
            </w:r>
          </w:p>
        </w:tc>
        <w:tc>
          <w:tcPr>
            <w:tcW w:w="1632"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Standard Methods</w:t>
            </w:r>
          </w:p>
        </w:tc>
        <w:tc>
          <w:tcPr>
            <w:tcW w:w="192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Other Method</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Residual measured</w:t>
            </w:r>
            <w:r>
              <w:rPr>
                <w:rFonts w:ascii="Times New Roman" w:hAnsi="Times New Roman"/>
                <w:b w:val="false"/>
                <w:i w:val="false"/>
                <w:color w:val="000000"/>
                <w:sz w:val="18"/>
                <w:vertAlign w:val="superscript"/>
              </w:rPr>
              <w:t>1</w:t>
            </w:r>
          </w:p>
        </w:tc>
      </w:tr>
      <w:tr>
        <w:trPr>
          <w:trHeight w:val="45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48" w:type="dxa"/>
            <w:tcBorders>
              <w:bottom w:val="doub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7"/>
              </w:rPr>
              <w:t>Free</w:t>
            </w:r>
          </w:p>
          <w:p>
            <w:pPr>
              <w:spacing w:before="0" w:after="0"/>
              <w:ind w:left="160"/>
              <w:jc w:val="center"/>
            </w:pPr>
            <w:r>
              <w:rPr>
                <w:rFonts w:ascii="Times New Roman" w:hAnsi="Times New Roman"/>
                <w:b w:val="false"/>
                <w:i w:val="false"/>
                <w:color w:val="000000"/>
                <w:sz w:val="17"/>
              </w:rPr>
              <w:t>Chlorine</w:t>
            </w:r>
          </w:p>
        </w:tc>
        <w:tc>
          <w:tcPr>
            <w:tcW w:w="1248"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Combined Chlorine</w:t>
            </w:r>
          </w:p>
        </w:tc>
        <w:tc>
          <w:tcPr>
            <w:tcW w:w="1248" w:type="dxa"/>
            <w:tcBorders>
              <w:bottom w:val="doub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7"/>
              </w:rPr>
              <w:t>Total</w:t>
            </w:r>
          </w:p>
          <w:p>
            <w:pPr>
              <w:spacing w:before="0" w:after="0"/>
              <w:ind w:left="160"/>
              <w:jc w:val="center"/>
            </w:pPr>
            <w:r>
              <w:rPr>
                <w:rFonts w:ascii="Times New Roman" w:hAnsi="Times New Roman"/>
                <w:b w:val="false"/>
                <w:i w:val="false"/>
                <w:color w:val="000000"/>
                <w:sz w:val="17"/>
              </w:rPr>
              <w:t>Chlorine</w:t>
            </w:r>
          </w:p>
        </w:tc>
        <w:tc>
          <w:tcPr>
            <w:tcW w:w="1248"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Chlorine Dioxide</w:t>
            </w:r>
          </w:p>
        </w:tc>
      </w:tr>
      <w:tr>
        <w:trPr>
          <w:trHeight w:val="43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Amperometric Titration</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7"/>
              </w:rPr>
              <w:t>ASTM: D 1253-86 (96), 03, 08, 14</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Low Level Amperometric Titration</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DPD Ferrous Titrimetric</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F</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6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DPD Colorimetric</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G</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Hach Method 10260</w:t>
            </w:r>
            <w:r>
              <w:rPr>
                <w:rFonts w:ascii="Times New Roman" w:hAnsi="Times New Roman"/>
                <w:b w:val="false"/>
                <w:i w:val="false"/>
                <w:color w:val="000000"/>
                <w:sz w:val="18"/>
                <w:vertAlign w:val="superscript"/>
              </w:rPr>
              <w:t>4</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Syringaldazine (FACTS)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H</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7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Amperometric Sensor</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ChloroSense</w:t>
            </w:r>
            <w:r>
              <w:rPr>
                <w:rFonts w:ascii="Times New Roman" w:hAnsi="Times New Roman"/>
                <w:b w:val="false"/>
                <w:i w:val="false"/>
                <w:color w:val="000000"/>
                <w:sz w:val="18"/>
                <w:vertAlign w:val="superscript"/>
              </w:rPr>
              <w:t>3</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7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Online Chlorine Analyzer</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EPA 334.0</w:t>
            </w:r>
            <w:r>
              <w:rPr>
                <w:rFonts w:ascii="Times New Roman" w:hAnsi="Times New Roman"/>
                <w:b w:val="false"/>
                <w:i w:val="false"/>
                <w:color w:val="000000"/>
                <w:sz w:val="18"/>
                <w:vertAlign w:val="superscript"/>
              </w:rPr>
              <w:t>2</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6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Indophenol Colorimetric</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Hach Method 10241</w:t>
            </w:r>
            <w:r>
              <w:rPr>
                <w:rFonts w:ascii="Times New Roman" w:hAnsi="Times New Roman"/>
                <w:b w:val="false"/>
                <w:i w:val="false"/>
                <w:color w:val="000000"/>
                <w:sz w:val="18"/>
                <w:vertAlign w:val="superscript"/>
              </w:rPr>
              <w:t>6</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Iodometric Electrode</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I</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30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DPD</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7"/>
              </w:rPr>
              <w:t>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r>
      <w:tr>
        <w:trPr>
          <w:trHeight w:val="30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Amperometric Method II</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7"/>
              </w:rPr>
              <w:t>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r>
      <w:tr>
        <w:trPr>
          <w:trHeight w:val="43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Lissamine Green Spectrophotometric</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7"/>
              </w:rPr>
              <w:t>EPA: 327.0 Rev.</w:t>
            </w:r>
            <w:r>
              <w:rPr>
                <w:rFonts w:ascii="Times New Roman" w:hAnsi="Times New Roman"/>
                <w:b w:val="false"/>
                <w:i w:val="false"/>
                <w:color w:val="000000"/>
                <w:sz w:val="17"/>
              </w:rPr>
              <w:t> </w:t>
            </w:r>
          </w:p>
          <w:p>
            <w:pPr>
              <w:spacing w:before="0" w:after="0"/>
              <w:ind w:left="0"/>
              <w:jc w:val="left"/>
            </w:pPr>
            <w:r>
              <w:rPr>
                <w:rFonts w:ascii="Times New Roman" w:hAnsi="Times New Roman"/>
                <w:b w:val="false"/>
                <w:i w:val="false"/>
                <w:color w:val="000000"/>
                <w:sz w:val="17"/>
              </w:rPr>
              <w:t>1.1</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r>
      <w:tr>
        <w:trPr>
          <w:trHeight w:val="270" w:hRule="atLeast"/>
        </w:trPr>
        <w:tc>
          <w:tcPr>
            <w:tcW w:w="28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Amperometric Sensor</w:t>
            </w:r>
          </w:p>
        </w:tc>
        <w:tc>
          <w:tcPr>
            <w:tcW w:w="16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ChlordioX Plus</w:t>
            </w:r>
            <w:r>
              <w:rPr>
                <w:rFonts w:ascii="Times New Roman" w:hAnsi="Times New Roman"/>
                <w:b w:val="false"/>
                <w:i w:val="false"/>
                <w:color w:val="000000"/>
                <w:sz w:val="18"/>
                <w:vertAlign w:val="superscript"/>
              </w:rPr>
              <w:t>5</w:t>
            </w:r>
          </w:p>
        </w:tc>
        <w:tc>
          <w:tcPr>
            <w:tcW w:w="124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r>
    </w:tbl>
    <w:p>
      <w:pPr>
        <w:spacing w:before="0" w:after="0"/>
        <w:ind w:left="120"/>
        <w:jc w:val="both"/>
      </w:pPr>
      <w:r>
        <w:rPr>
          <w:rFonts w:ascii="Times New Roman" w:hAnsi="Times New Roman"/>
          <w:b w:val="false"/>
          <w:i w:val="false"/>
          <w:color w:val="000000"/>
          <w:sz w:val="16"/>
        </w:rPr>
        <w:t>The procedures shall be done in accordance with the documents listed below. The incorporation by reference of the following documents was approved by the Director of the Federal Register on February 16, 1999, in accordance with 5 U.S.C. 552(a) and 1 CFR Part 51. Copies of the documents may be obtained from the sources listed below. Information regarding obtaining these documents can be obtained from the Safe Drinking Water Hotline at (800)426-4791. Documents may be inspected at EPA’s Drinking Water Docket, 401 M Street, SW, Washington, DC 20460 (telephone: (202)260-3027); or at the Office of Federal Register, 800 North Capitol Street, NW, Suite 700, Washington, DC 20408.</w:t>
      </w:r>
    </w:p>
    <w:p>
      <w:pPr>
        <w:spacing w:before="0" w:after="0"/>
        <w:ind w:left="120"/>
        <w:jc w:val="both"/>
      </w:pPr>
      <w:r>
        <w:rPr>
          <w:rFonts w:ascii="Times New Roman" w:hAnsi="Times New Roman"/>
          <w:b w:val="false"/>
          <w:i w:val="false"/>
          <w:color w:val="000000"/>
          <w:sz w:val="16"/>
        </w:rPr>
        <w:t>The following method is available from the American Society for Testing and Materials, 100 Barr Harbor Drive, West Conshohocken, PA 19428:</w:t>
      </w:r>
    </w:p>
    <w:p>
      <w:pPr>
        <w:spacing w:before="0" w:after="0"/>
        <w:ind w:left="120"/>
        <w:jc w:val="both"/>
      </w:pPr>
      <w:r>
        <w:rPr>
          <w:rFonts w:ascii="Times New Roman" w:hAnsi="Times New Roman"/>
          <w:b w:val="false"/>
          <w:i w:val="false"/>
          <w:color w:val="000000"/>
          <w:sz w:val="16"/>
        </w:rPr>
        <w:t>Annual Book of ASTM Standards, Volume 11.01, American Society for Testing and Materials, 1996: Method D 1253-86.</w:t>
      </w:r>
    </w:p>
    <w:p>
      <w:pPr>
        <w:spacing w:before="0" w:after="0"/>
        <w:ind w:left="120"/>
        <w:jc w:val="both"/>
      </w:pPr>
      <w:r>
        <w:rPr>
          <w:rFonts w:ascii="Times New Roman" w:hAnsi="Times New Roman"/>
          <w:b w:val="false"/>
          <w:i w:val="false"/>
          <w:color w:val="000000"/>
          <w:sz w:val="16"/>
        </w:rPr>
        <w:t>The following methods are available from the American Public Health Association, 800 I Street, NW, Washington, DC 20001-3710:</w:t>
      </w:r>
    </w:p>
    <w:p>
      <w:pPr>
        <w:spacing w:before="0" w:after="0"/>
        <w:ind w:left="460"/>
        <w:jc w:val="both"/>
      </w:pPr>
      <w:r>
        <w:rPr>
          <w:rFonts w:ascii="Times New Roman" w:hAnsi="Times New Roman"/>
          <w:b w:val="false"/>
          <w:i w:val="false"/>
          <w:color w:val="000000"/>
          <w:sz w:val="16"/>
        </w:rPr>
        <w:t>Standard Methods for the Examination of Water and Wastewater, 19th  (1995), 20th (1998), 21st (2005), and 22nd (2012) editions, American Public Health Association: Methods: 4500-Cl D, 4500-Cl E, 4500-Cl F, 4500-Cl G, 4500-Cl H, 4500-Cl I, 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E. Only the 19th and 20th editions may be used for the chlorine dioxide Method 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D.</w:t>
      </w:r>
    </w:p>
    <w:p>
      <w:pPr>
        <w:spacing w:before="0" w:after="0"/>
        <w:ind w:left="120"/>
        <w:jc w:val="both"/>
      </w:pPr>
      <w:r>
        <w:rPr>
          <w:rFonts w:ascii="Times New Roman" w:hAnsi="Times New Roman"/>
          <w:b w:val="false"/>
          <w:i w:val="false"/>
          <w:color w:val="000000"/>
          <w:sz w:val="16"/>
        </w:rPr>
        <w:t>The following methods are available from the National Technical Information Service, U.S. Department of Commerce, 5285 Port Royal Road, Springfield, VA 22161 (telephone: (800)553-6847):</w:t>
      </w:r>
    </w:p>
    <w:p>
      <w:pPr>
        <w:spacing w:before="0" w:after="0"/>
        <w:ind w:left="120"/>
        <w:jc w:val="both"/>
      </w:pPr>
      <w:r>
        <w:rPr>
          <w:rFonts w:ascii="Times New Roman" w:hAnsi="Times New Roman"/>
          <w:b w:val="false"/>
          <w:i w:val="false"/>
          <w:color w:val="000000"/>
          <w:sz w:val="16"/>
        </w:rPr>
        <w:t>“Determination of Chlorine Dioxide and Chlorite Ion in Drinking Water Using Lissamine Green B and Horseradish Peroxidase with Detection by Visible Spectrophotometry, Revision 1.1,” USEPA, May 2005, EPA 815-R-05-008.</w:t>
      </w:r>
    </w:p>
    <w:p>
      <w:pPr>
        <w:spacing w:before="0" w:after="0"/>
        <w:ind w:left="120"/>
        <w:jc w:val="both"/>
      </w:pPr>
      <w:r>
        <w:rPr>
          <w:rFonts w:ascii="Times New Roman" w:hAnsi="Times New Roman"/>
          <w:b w:val="false"/>
          <w:i w:val="false"/>
          <w:color w:val="000000"/>
          <w:sz w:val="16"/>
        </w:rPr>
        <w:t>1X indicates method is approved for measuring specified residual disinfectant. Free chlorine or total chlorine may be measured for demonstrating compliance with the chlorine MRDL, and combined chlorine or total chlorine may be measured for demonstrating compliance with the chloramine MRDL.</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EPA Method 334.0, “Determination of Residual Chlorine in Drinking Water Using an On-Line Chlorine Analyzer,” August 2009. EPA 815-B-09-013. Available at </w:t>
      </w:r>
      <w:hyperlink r:id="rId201">
        <w:r>
          <w:rPr>
            <w:rStyle w:val="Hyperlink"/>
            <w:rFonts w:ascii="Times New Roman" w:hAnsi="Times New Roman"/>
            <w:b w:val="false"/>
            <w:i w:val="false"/>
            <w:color w:val="000000"/>
            <w:sz w:val="16"/>
            <w:u w:val="single"/>
          </w:rPr>
          <w:t>www.epa/gov/safewater/methods/analyticalmethods_ogwdw.html</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ChloroSense, “Measurement of Free and Total Chlorine in Drinking Water by Palintest ChloroSense,” September 2009. Available at </w:t>
      </w:r>
      <w:hyperlink r:id="rId202">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from Palintest Ltd., 21 Kenton Lands Road, P.O. Box 18395, Erlanger, KY 41018.</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Hach Method 10260, “Determination of Chlorinated Oxidants (Free and Total) in Water Using Disposable Planar Reagent-Filled Cuvettes and Mesofluidic Channel Colorimetry,” April 2013. Available at Hach Company, P.O. Box 389, Loveland, CO 80539, or </w:t>
      </w:r>
      <w:hyperlink r:id="rId203">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ChlordioX Plus. “Chlorine Dioxide and Chlorite in Drinking Water by Amperometry Using Disposable Sensors,” November 2013. Available from Palintest Ltd., Jamike Avenue (Suite 100), Erlanger, KY 41018.</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Hach Company. “Hach Method 10241 – Spectrophotometric Measurement of Free Chlorine in Finished Drinking Water,” November 2015, Revision 1.2. Available at </w:t>
      </w:r>
      <w:hyperlink r:id="rId204">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Test kit use. Systems may also measure residual disinfectant concentrations for chlorine, chloramines, and chlorine dioxide by using DPD colorimetric test kits acceptable to the department. Free and total chlorine residual disinfectant concentrations may be measured continuously by adapting a specified chlorine residual method for use with a continuous monitoring instrument provided the chemistry, accuracy, and precision remain the same. Instruments used for continuous monitoring must be calibrated with a grab sample measurement at least every five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 requirement. Measurements for residual disinfectant concentration shall be conducted by a Grade A through IV operator meeting the requirements of </w:t>
      </w:r>
      <w:hyperlink r:id="rId205">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any person under the direct supervision of a Grade A through IV operator meeting the requirements of </w:t>
      </w:r>
      <w:hyperlink r:id="rId206">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or a laboratory certified by the department to perform analysis under </w:t>
      </w:r>
      <w:hyperlink r:id="rId207">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requirements for residual disinfectants.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compliance is based on a running annual average of monthly or quarterly samples or averages and the system’s failure to monitor makes it impossible to determine compliance with MRDLs for chlorine and chloramines, this failure to monitor will be treated as a monitoring violation for the entire period covered by the annual average.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samples taken and analyzed under the provisions of this rule must be included in determining compliance, even if that number is greater than the minimum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Chlorine and chloramines.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Compliance must be based on a running annual arithmetic average, computed quarterly, of monthly averages of all samples collected by the system under </w:t>
      </w:r>
      <w:hyperlink r:id="rId208">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 xml:space="preserve">(2). If the average covering any consecutive four-quarter period exceeds the MRDL, the system is in violation of the MRDL and must notify the public pursuant to </w:t>
      </w:r>
      <w:hyperlink r:id="rId209">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 xml:space="preserve">, in addition to reporting to the department pursuant to 567—paragraph </w:t>
      </w:r>
      <w:hyperlink r:id="rId210">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cases where systems switch between the use of chlorine and chloramines for residual disinfection during the year, compliance must be determined by including together all monitoring results of both chlorine and chloramines in calculating compliance. Reports submitted pursuant to 567—paragraph </w:t>
      </w:r>
      <w:hyperlink r:id="rId211">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clearly indicate which residual disinfectant was analyzed for each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Chlorine dioxide.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Acute violations. Compliance must be based on consecutive daily samples collected by the system under </w:t>
      </w:r>
      <w:hyperlink r:id="rId212">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 xml:space="preserve">(3). If any daily sample taken at the entrance to the distribution system exceeds the MRDL, and on the following day one or more of the three samples taken in the distribution system exceed the MRDL, the system is in violation of the MRDL and shall take immediate corrective action to lower the level of chlorine dioxide below the MRDL and shall notify the public pursuant to the Tier 1 requirements in </w:t>
      </w:r>
      <w:hyperlink r:id="rId213">
        <w:r>
          <w:rPr>
            <w:rStyle w:val="Hyperlink"/>
            <w:rFonts w:ascii="Times New Roman" w:hAnsi="Times New Roman"/>
            <w:b w:val="false"/>
            <w:i w:val="false"/>
            <w:color w:val="000000"/>
            <w:sz w:val="22"/>
          </w:rPr>
          <w:t>567—subrule 42.1(2)</w:t>
        </w:r>
      </w:hyperlink>
      <w:r>
        <w:rPr>
          <w:rFonts w:ascii="Times New Roman" w:hAnsi="Times New Roman"/>
          <w:b w:val="false"/>
          <w:i w:val="false"/>
          <w:color w:val="000000"/>
          <w:sz w:val="22"/>
        </w:rPr>
        <w:t xml:space="preserve"> in addition to reporting to the department pursuant to 567—paragraph </w:t>
      </w:r>
      <w:hyperlink r:id="rId214">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r>
        <w:rPr>
          <w:rFonts w:ascii="Times New Roman" w:hAnsi="Times New Roman"/>
          <w:b w:val="false"/>
          <w:i w:val="false"/>
          <w:color w:val="000000"/>
          <w:sz w:val="22"/>
        </w:rPr>
        <w:t xml:space="preserve"> Failure to take samples in the distribution system the day following an exceedance of the chlorine dioxide MRDL at the entrance to the distribution system will also be considered an MRDL violation and the system must notify the public of the violation in accordance with the provisions for Tier 1 violations in </w:t>
      </w:r>
      <w:hyperlink r:id="rId215">
        <w:r>
          <w:rPr>
            <w:rStyle w:val="Hyperlink"/>
            <w:rFonts w:ascii="Times New Roman" w:hAnsi="Times New Roman"/>
            <w:b w:val="false"/>
            <w:i w:val="false"/>
            <w:color w:val="000000"/>
            <w:sz w:val="22"/>
          </w:rPr>
          <w:t>567—subrule 42.1(2)</w:t>
        </w:r>
      </w:hyperlink>
      <w:r>
        <w:rPr>
          <w:rFonts w:ascii="Times New Roman" w:hAnsi="Times New Roman"/>
          <w:b w:val="false"/>
          <w:i w:val="false"/>
          <w:color w:val="000000"/>
          <w:sz w:val="22"/>
        </w:rPr>
        <w:t xml:space="preserve">, in addition to reporting to the department pursuant to 567—paragraph </w:t>
      </w:r>
      <w:hyperlink r:id="rId216">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Nonacute violations. Compliance must be based on consecutive daily samples collected by the system under </w:t>
      </w:r>
      <w:hyperlink r:id="rId217">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 xml:space="preserve">(3). If any two consecutive daily samples taken at the entrance to the distribution system exceed the MRDL and all distribution system samples taken are below the MRDL, the system is in violation of the MRDL and must take corrective action to lower the level of chlorine dioxide below the MRDL at the point of sampling and will notify the public pursuant to the Tier 2 requirements in </w:t>
      </w:r>
      <w:hyperlink r:id="rId218">
        <w:r>
          <w:rPr>
            <w:rStyle w:val="Hyperlink"/>
            <w:rFonts w:ascii="Times New Roman" w:hAnsi="Times New Roman"/>
            <w:b w:val="false"/>
            <w:i w:val="false"/>
            <w:color w:val="000000"/>
            <w:sz w:val="22"/>
          </w:rPr>
          <w:t>567—subrule 42.1(3)</w:t>
        </w:r>
      </w:hyperlink>
      <w:r>
        <w:rPr>
          <w:rFonts w:ascii="Times New Roman" w:hAnsi="Times New Roman"/>
          <w:b w:val="false"/>
          <w:i w:val="false"/>
          <w:color w:val="000000"/>
          <w:sz w:val="22"/>
        </w:rPr>
        <w:t xml:space="preserve">, in addition to reporting to the department pursuant to 567—paragraph </w:t>
      </w:r>
      <w:hyperlink r:id="rId219">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r>
        <w:rPr>
          <w:rFonts w:ascii="Times New Roman" w:hAnsi="Times New Roman"/>
          <w:b w:val="false"/>
          <w:i w:val="false"/>
          <w:color w:val="000000"/>
          <w:sz w:val="22"/>
        </w:rPr>
        <w:t xml:space="preserve"> Failure to monitor at the entrance to the distribution system the day following an exceedance of the chlorine dioxide MRDL at the entrance to the distribution system is also an MRDL violation and the system must notify the public of the violation in accordance with the provisions for Tier 2 violations in </w:t>
      </w:r>
      <w:hyperlink r:id="rId220">
        <w:r>
          <w:rPr>
            <w:rStyle w:val="Hyperlink"/>
            <w:rFonts w:ascii="Times New Roman" w:hAnsi="Times New Roman"/>
            <w:b w:val="false"/>
            <w:i w:val="false"/>
            <w:color w:val="000000"/>
            <w:sz w:val="22"/>
          </w:rPr>
          <w:t>567—subrule 42.1(3)</w:t>
        </w:r>
      </w:hyperlink>
      <w:r>
        <w:rPr>
          <w:rFonts w:ascii="Times New Roman" w:hAnsi="Times New Roman"/>
          <w:b w:val="false"/>
          <w:i w:val="false"/>
          <w:color w:val="000000"/>
          <w:sz w:val="22"/>
        </w:rPr>
        <w:t xml:space="preserve">, in addition to reporting to the department pursuant to 567—paragraph </w:t>
      </w:r>
      <w:hyperlink r:id="rId221">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disinfectants. </w:t>
      </w:r>
      <w:r>
        <w:rPr>
          <w:rFonts w:ascii="Times New Roman" w:hAnsi="Times New Roman"/>
          <w:b w:val="false"/>
          <w:i w:val="false"/>
          <w:color w:val="000000"/>
          <w:sz w:val="22"/>
        </w:rPr>
        <w:t xml:space="preserve">Systems required to sample quarterly or more frequently must report to the department within ten days after the end of each quarter in which samples were collected, notwithstanding the public notification provisions of </w:t>
      </w:r>
      <w:hyperlink r:id="rId222">
        <w:r>
          <w:rPr>
            <w:rStyle w:val="Hyperlink"/>
            <w:rFonts w:ascii="Times New Roman" w:hAnsi="Times New Roman"/>
            <w:b w:val="false"/>
            <w:i w:val="false"/>
            <w:color w:val="000000"/>
            <w:sz w:val="22"/>
          </w:rPr>
          <w:t>567—42.1</w:t>
        </w:r>
      </w:hyperlink>
      <w:r>
        <w:rPr>
          <w:rFonts w:ascii="Times New Roman" w:hAnsi="Times New Roman"/>
          <w:b w:val="false"/>
          <w:i w:val="false"/>
          <w:color w:val="000000"/>
          <w:sz w:val="22"/>
        </w:rPr>
        <w:t xml:space="preserve">(455B). Systems required to sample less frequently than quarterly must report to the department within ten days after the end of each monitoring period in which samples were collected. The specific reporting requirements for disinfectants are listed in 567—subparagraph </w:t>
      </w:r>
      <w:hyperlink r:id="rId223">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w:t>
      </w:r>
      <w:r>
        <w:rPr>
          <w:rFonts w:ascii="Times New Roman" w:hAnsi="Times New Roman"/>
          <w:b w:val="false"/>
          <w:i w:val="false"/>
          <w:color w:val="000000"/>
          <w:sz w:val="22"/>
        </w:rPr>
        <w:t> </w:t>
      </w:r>
      <w:r>
        <w:rPr>
          <w:rFonts w:ascii="Times New Roman" w:hAnsi="Times New Roman"/>
          <w:b w:val="false"/>
          <w:i/>
          <w:color w:val="000000"/>
          <w:sz w:val="22"/>
        </w:rPr>
        <w:t xml:space="preserve">Disinfection byproduct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or IGW CWS and NTNC systems with conventional filtration. This rule establishes criteria under which surface water or influenced groundwater CWS and NTNC public water supply systems using conventional filtration treatment, as defined in </w:t>
      </w:r>
      <w:hyperlink r:id="rId224">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 xml:space="preserve">(455B), that add a chemical disinfectant to the water in any part of the drinking water treatment process or which provide water that contains a chemical disinfectant must modify their practices to meet the MCLs listed in </w:t>
      </w:r>
      <w:hyperlink r:id="rId225">
        <w:r>
          <w:rPr>
            <w:rStyle w:val="Hyperlink"/>
            <w:rFonts w:ascii="Times New Roman" w:hAnsi="Times New Roman"/>
            <w:b w:val="false"/>
            <w:i w:val="false"/>
            <w:color w:val="000000"/>
            <w:sz w:val="22"/>
          </w:rPr>
          <w:t>567—41.6</w:t>
        </w:r>
      </w:hyperlink>
      <w:r>
        <w:rPr>
          <w:rFonts w:ascii="Times New Roman" w:hAnsi="Times New Roman"/>
          <w:b w:val="false"/>
          <w:i w:val="false"/>
          <w:color w:val="000000"/>
          <w:sz w:val="22"/>
        </w:rPr>
        <w:t>(455B) and the maximum residual disinfectant levels (MRDL) and treatment technique requirements for disinfection byproduct precursors listed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CWS and NTNC systems using ozone treatment. CWS and NTNC systems that use ozone in their treatment process must comply with the bromide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dates. Compliance dates for this rule are based upon the population served. CWS and NTNC systems using surface water or groundwater under the direct influence of surface water in whole or in part and which serve 10,000 or more persons must comply with this rule beginning January 1, 2002; while those systems serving fewer than 10,000 persons must comply with this rule beginning January 1,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groundwater systems to conduct monitoring for disinfection byproduct precursors as a part of an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for disinfection byproduct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monitoring for total organic carbon (TOC).</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Surface water and groundwater under the direct influence of surface water systems which use conventional filtration treatment must monitor each treatment plant for total organic carbon (TOC) no later than at the point of combined filter effluent turbidity monitoring and representative of the treated water. The systems must also monitor for TOC in the source water prior to any treatment at the same time as monitoring for TOC in the treated water. These samples (source water and treated water) are referred to as paired samples. At the same time the source water sample is taken, all systems must monitor for alkalinity in the source water prior to any treatment. Systems must take one paired set of source water and treated water samples and one source water alkalinity sample per month per plant at a time representative of normal operating conditions and influent water quality.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Surface water and groundwater under the direct influence of surface water systems which do not use conventional filtration treatment must conduct the TOC monitoring under </w:t>
      </w:r>
      <w:hyperlink r:id="rId226">
        <w:r>
          <w:rPr>
            <w:rStyle w:val="Hyperlink"/>
            <w:rFonts w:ascii="Times New Roman" w:hAnsi="Times New Roman"/>
            <w:b w:val="false"/>
            <w:i w:val="false"/>
            <w:color w:val="000000"/>
            <w:sz w:val="22"/>
          </w:rPr>
          <w:t>43.6(2)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“1” in order to qualify for reduced disinfection byproduct monitoring for TTHM and HAA5 under </w:t>
      </w:r>
      <w:hyperlink r:id="rId227">
        <w:r>
          <w:rPr>
            <w:rStyle w:val="Hyperlink"/>
            <w:rFonts w:ascii="Times New Roman" w:hAnsi="Times New Roman"/>
            <w:b w:val="false"/>
            <w:i w:val="false"/>
            <w:color w:val="000000"/>
            <w:sz w:val="22"/>
          </w:rPr>
          <w:t>567—paragraph 41.6(1)</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“2.” The source water TOC running annual average must be less than or equal to 4.0 mg/L based on the most recent four quarters of monitoring on a continuing basis at each treatment plant to reduce or remain on reduced monitoring for TTHM and HAA5. Once qualified for reduced monitoring for TTHM and HAA5, a system may reduce source water TOC monitoring to quarterly TOC samples taken every 90 days at a location prior to any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Reduced monitoring. The department may allow surface water and groundwater under the direct influence of surface water systems with an average treated water TOC of less than 2.0 mg/L for two consecutive years, or less than 1.0 mg/L for one year, to reduce monitoring for both TOC and alkalinity to one set of paired samples and one source water alkalinity sample per plant per quarter. The system must revert to routine monitoring in the month following the quarter when the annual average treated water TOC is greater than or equal to 2.0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Bromide. The department may allow systems required to analyze for bromate to reduce bromate monitoring from monthly to once per quarter, if the system demonstrates that the average source water bromide concentration is less than 0.05 mg/L based upon representative monthly measurements for one year. The system must continue bromide monitoring to remain on reduced bromate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assign disinfection byproduct precursor monitoring prior to the compliance dates in </w:t>
      </w:r>
      <w:hyperlink r:id="rId228">
        <w:r>
          <w:rPr>
            <w:rStyle w:val="Hyperlink"/>
            <w:rFonts w:ascii="Times New Roman" w:hAnsi="Times New Roman"/>
            <w:b w:val="false"/>
            <w:i w:val="false"/>
            <w:color w:val="000000"/>
            <w:sz w:val="22"/>
          </w:rPr>
          <w:t>43.6(2)</w:t>
        </w:r>
      </w:hyperlink>
      <w:r>
        <w:rPr>
          <w:rFonts w:ascii="Times New Roman" w:hAnsi="Times New Roman"/>
          <w:b w:val="false"/>
          <w:i/>
          <w:color w:val="000000"/>
          <w:sz w:val="22"/>
        </w:rPr>
        <w:t>“a”</w:t>
      </w:r>
      <w:r>
        <w:rPr>
          <w:rFonts w:ascii="Times New Roman" w:hAnsi="Times New Roman"/>
          <w:b w:val="false"/>
          <w:i w:val="false"/>
          <w:color w:val="000000"/>
          <w:sz w:val="22"/>
        </w:rPr>
        <w:t>(3) as part of an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Analytical requirements for disinfection byproduct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Analytical methods. Systems required to monitor disinfectant byproduct precursors must use the following methods, which must be conducted by a certified laboratory pursuant to </w:t>
      </w:r>
      <w:hyperlink r:id="rId229">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unless otherwise specified.</w:t>
      </w:r>
    </w:p>
    <w:p>
      <w:pPr>
        <w:spacing w:before="60" w:after="0"/>
        <w:ind w:left="120"/>
        <w:jc w:val="center"/>
      </w:pPr>
      <w:r>
        <w:rPr>
          <w:rFonts w:ascii="Times New Roman" w:hAnsi="Times New Roman"/>
          <w:b w:val="false"/>
          <w:i w:val="false"/>
          <w:color w:val="000000"/>
          <w:sz w:val="22"/>
        </w:rPr>
        <w:t>Approved Methods for Disinfection Byproduct Precursor Monitoring</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12"/>
        <w:gridCol w:w="2754"/>
        <w:gridCol w:w="1735"/>
        <w:gridCol w:w="1363"/>
        <w:gridCol w:w="1359"/>
        <w:gridCol w:w="1167"/>
      </w:tblGrid>
      <w:tr>
        <w:trPr>
          <w:trHeight w:val="420" w:hRule="atLeast"/>
        </w:trPr>
        <w:tc>
          <w:tcPr>
            <w:tcW w:w="2812"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Analyte</w:t>
            </w:r>
          </w:p>
        </w:tc>
        <w:tc>
          <w:tcPr>
            <w:tcW w:w="2754"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Methodology</w:t>
            </w:r>
          </w:p>
        </w:tc>
        <w:tc>
          <w:tcPr>
            <w:tcW w:w="1735"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EPA</w:t>
            </w:r>
          </w:p>
        </w:tc>
        <w:tc>
          <w:tcPr>
            <w:tcW w:w="1363" w:type="dxa"/>
            <w:tcBorders>
              <w:bottom w:val="doub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Standard</w:t>
            </w:r>
          </w:p>
          <w:p>
            <w:pPr>
              <w:spacing w:before="0" w:after="0"/>
              <w:ind w:left="160"/>
              <w:jc w:val="center"/>
            </w:pPr>
            <w:r>
              <w:rPr>
                <w:rFonts w:ascii="Times New Roman" w:hAnsi="Times New Roman"/>
                <w:b w:val="false"/>
                <w:i w:val="false"/>
                <w:color w:val="000000"/>
                <w:sz w:val="16"/>
              </w:rPr>
              <w:t>Methods</w:t>
            </w:r>
          </w:p>
        </w:tc>
        <w:tc>
          <w:tcPr>
            <w:tcW w:w="1359"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ASTM</w:t>
            </w:r>
          </w:p>
        </w:tc>
        <w:tc>
          <w:tcPr>
            <w:tcW w:w="1167"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Other</w:t>
            </w:r>
          </w:p>
        </w:tc>
      </w:tr>
      <w:tr>
        <w:trPr>
          <w:trHeight w:val="270"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Alkalinity</w:t>
            </w:r>
            <w:r>
              <w:rPr>
                <w:rFonts w:ascii="Times New Roman" w:hAnsi="Times New Roman"/>
                <w:b w:val="false"/>
                <w:i w:val="false"/>
                <w:color w:val="000000"/>
                <w:sz w:val="18"/>
                <w:vertAlign w:val="superscript"/>
              </w:rPr>
              <w:t>6</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Titrimetric</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2320B</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D 1067-92B</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Electrometric titration</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I-1030-85</w:t>
            </w:r>
          </w:p>
        </w:tc>
      </w:tr>
      <w:tr>
        <w:trPr>
          <w:trHeight w:val="22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Bromide</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300.0</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300.1</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317.0 Rev.</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2.0</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326.0</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6581-00</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3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Dissolved Organic Carbon</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(DOC)</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High temperature combustion</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5310B or 5310B-00</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Persulfate-UV or heated-persulfate oxidation</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5310C or 5310C-00</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870"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Wet oxidation</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1.1, 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5310D or 5310D-00</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pH</w:t>
            </w:r>
            <w:r>
              <w:rPr>
                <w:rFonts w:ascii="Times New Roman" w:hAnsi="Times New Roman"/>
                <w:b w:val="false"/>
                <w:i w:val="false"/>
                <w:color w:val="000000"/>
                <w:sz w:val="18"/>
                <w:vertAlign w:val="superscript"/>
              </w:rPr>
              <w:t>3</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Electrometric</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150.1</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4500-H</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-B</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D 1293-84</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150.2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6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Specific Ultraviolet Absorbance (SUVA)</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Calculation using DOC and UV</w:t>
            </w:r>
            <w:r>
              <w:rPr>
                <w:rFonts w:ascii="Times New Roman" w:hAnsi="Times New Roman"/>
                <w:b w:val="false"/>
                <w:i w:val="false"/>
                <w:color w:val="000000"/>
                <w:sz w:val="18"/>
                <w:vertAlign w:val="subscript"/>
              </w:rPr>
              <w:t>254</w:t>
            </w:r>
            <w:r>
              <w:rPr>
                <w:rFonts w:ascii="Times New Roman" w:hAnsi="Times New Roman"/>
                <w:b w:val="false"/>
                <w:i w:val="false"/>
                <w:color w:val="000000"/>
                <w:sz w:val="16"/>
              </w:rPr>
              <w:t xml:space="preserve"> data</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1.2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Organic Carbon</w:t>
            </w:r>
            <w:r>
              <w:rPr>
                <w:rFonts w:ascii="Times New Roman" w:hAnsi="Times New Roman"/>
                <w:b w:val="false"/>
                <w:i w:val="false"/>
                <w:color w:val="000000"/>
                <w:sz w:val="18"/>
                <w:vertAlign w:val="superscript"/>
              </w:rPr>
              <w:t>4</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High temperature combustion</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5310B or 5310B-00</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61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Persulfate-UV or heated-persulfate oxidation</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5310C or 5310C-00</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Hach Method 10267</w:t>
            </w:r>
            <w:r>
              <w:rPr>
                <w:rFonts w:ascii="Times New Roman" w:hAnsi="Times New Roman"/>
                <w:b w:val="false"/>
                <w:i w:val="false"/>
                <w:color w:val="000000"/>
                <w:sz w:val="18"/>
                <w:vertAlign w:val="superscript"/>
              </w:rPr>
              <w:t>7</w:t>
            </w:r>
          </w:p>
        </w:tc>
      </w:tr>
      <w:tr>
        <w:trPr>
          <w:trHeight w:val="40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Wet oxidation</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1.1, 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5310D or 5310D-00</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61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Ozone Oxidation</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Hach Method 10261</w:t>
            </w:r>
            <w:r>
              <w:rPr>
                <w:rFonts w:ascii="Times New Roman" w:hAnsi="Times New Roman"/>
                <w:b w:val="false"/>
                <w:i w:val="false"/>
                <w:color w:val="000000"/>
                <w:sz w:val="18"/>
                <w:vertAlign w:val="superscript"/>
              </w:rPr>
              <w:t>8</w:t>
            </w:r>
          </w:p>
        </w:tc>
      </w:tr>
      <w:tr>
        <w:trPr>
          <w:trHeight w:val="435" w:hRule="atLeast"/>
        </w:trPr>
        <w:tc>
          <w:tcPr>
            <w:tcW w:w="281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Ultraviolet Absorption at </w:t>
            </w:r>
          </w:p>
          <w:p>
            <w:pPr>
              <w:spacing w:before="0" w:after="0"/>
              <w:ind w:left="160"/>
              <w:jc w:val="both"/>
            </w:pPr>
            <w:r>
              <w:rPr>
                <w:rFonts w:ascii="Times New Roman" w:hAnsi="Times New Roman"/>
                <w:b w:val="false"/>
                <w:i w:val="false"/>
                <w:color w:val="000000"/>
                <w:sz w:val="16"/>
              </w:rPr>
              <w:t>254 nm</w:t>
            </w:r>
            <w:r>
              <w:rPr>
                <w:rFonts w:ascii="Times New Roman" w:hAnsi="Times New Roman"/>
                <w:b w:val="false"/>
                <w:i w:val="false"/>
                <w:color w:val="000000"/>
                <w:sz w:val="18"/>
                <w:vertAlign w:val="superscript"/>
              </w:rPr>
              <w:t>5</w:t>
            </w:r>
          </w:p>
        </w:tc>
        <w:tc>
          <w:tcPr>
            <w:tcW w:w="27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Spectrophotometry</w:t>
            </w:r>
          </w:p>
        </w:tc>
        <w:tc>
          <w:tcPr>
            <w:tcW w:w="17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1.1, 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5910B or 5910B-00, 11</w:t>
            </w:r>
          </w:p>
        </w:tc>
        <w:tc>
          <w:tcPr>
            <w:tcW w:w="1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6"/>
        </w:rPr>
        <w:t>1The procedures shall be done in accordance with the documents listed below. The incorporation by reference of the following documents was approved by the Director of the Federal Register on February 16, 1999, in accordance with 5 U.S.C. 552(a) and 1 CFR Part 51. Copies of the documents may be obtained from the sources listed below. Information regarding obtaining these documents can be obtained from the Safe Drinking Water Hotline at (800)426-4791. Documents may be inspected at EPA’s Drinking Water Docket, 401 M Street, SW, Washington, DC 20460 (telephone: (202)260-3027); or at the Office of Federal Register, 800 North Capitol Street, NW, Suite 700, Washington, DC 20408.</w:t>
      </w:r>
    </w:p>
    <w:p>
      <w:pPr>
        <w:spacing w:before="0" w:after="0"/>
        <w:ind w:left="120"/>
        <w:jc w:val="both"/>
      </w:pPr>
      <w:r>
        <w:rPr>
          <w:rFonts w:ascii="Times New Roman" w:hAnsi="Times New Roman"/>
          <w:b w:val="false"/>
          <w:i w:val="false"/>
          <w:color w:val="000000"/>
          <w:sz w:val="16"/>
        </w:rPr>
        <w:t>The following methods are available from the American Society for Testing and Materials, 100 Barr Harbor Drive, West Conshohocken, PA 19428:</w:t>
      </w:r>
    </w:p>
    <w:p>
      <w:pPr>
        <w:spacing w:before="0" w:after="0"/>
        <w:ind w:left="120"/>
        <w:jc w:val="both"/>
      </w:pPr>
      <w:r>
        <w:rPr>
          <w:rFonts w:ascii="Times New Roman" w:hAnsi="Times New Roman"/>
          <w:b w:val="false"/>
          <w:i w:val="false"/>
          <w:color w:val="000000"/>
          <w:sz w:val="16"/>
        </w:rPr>
        <w:t xml:space="preserve">Annual Book of ASTM Standards, Volume 11.01, American Society for Testing and Materials, 1996: Method D 1067-92B and Method D 1293-84. </w:t>
      </w:r>
    </w:p>
    <w:p>
      <w:pPr>
        <w:spacing w:before="0" w:after="0"/>
        <w:ind w:left="120"/>
        <w:jc w:val="both"/>
      </w:pPr>
      <w:r>
        <w:rPr>
          <w:rFonts w:ascii="Times New Roman" w:hAnsi="Times New Roman"/>
          <w:b w:val="false"/>
          <w:i w:val="false"/>
          <w:color w:val="000000"/>
          <w:sz w:val="16"/>
        </w:rPr>
        <w:t>Annual Book of ASTM Standards, Volume 11.01, American Society for Testing and Materials, 2001 (or any year containing the cited version): Method D 6581-00.</w:t>
      </w:r>
    </w:p>
    <w:p>
      <w:pPr>
        <w:spacing w:before="0" w:after="0"/>
        <w:ind w:left="120"/>
        <w:jc w:val="both"/>
      </w:pPr>
      <w:r>
        <w:rPr>
          <w:rFonts w:ascii="Times New Roman" w:hAnsi="Times New Roman"/>
          <w:b w:val="false"/>
          <w:i w:val="false"/>
          <w:color w:val="000000"/>
          <w:sz w:val="16"/>
        </w:rPr>
        <w:t>The following methods are available from the National Technical Information Service, U.S. Department of Commerce, 5285 Port Royal Road, Springfield, VA 22161 (telephone: (800)553-6847):</w:t>
      </w:r>
    </w:p>
    <w:p>
      <w:pPr>
        <w:spacing w:before="0" w:after="0"/>
        <w:ind w:left="120"/>
        <w:jc w:val="both"/>
      </w:pPr>
      <w:r>
        <w:rPr>
          <w:rFonts w:ascii="Times New Roman" w:hAnsi="Times New Roman"/>
          <w:b w:val="false"/>
          <w:i w:val="false"/>
          <w:color w:val="000000"/>
          <w:sz w:val="16"/>
        </w:rPr>
        <w:t>“Determination of Inorganic Anions in Drinking Water by Ion Chromatography, Revision 1.0,” EPA-600/R-98/118, 1997 (NTIS, PB98-169196): Method 300.1.</w:t>
      </w:r>
    </w:p>
    <w:p>
      <w:pPr>
        <w:spacing w:before="0" w:after="0"/>
        <w:ind w:left="120"/>
        <w:jc w:val="both"/>
      </w:pPr>
      <w:r>
        <w:rPr>
          <w:rFonts w:ascii="Times New Roman" w:hAnsi="Times New Roman"/>
          <w:b w:val="false"/>
          <w:i w:val="false"/>
          <w:color w:val="000000"/>
          <w:sz w:val="16"/>
        </w:rPr>
        <w:t>Methods for Chemical Analysis of Water and Wastes, EPA-600/4-79-020, March 1983, (NTIS PB84-128677): Methods 150.1 and 150.2.</w:t>
      </w:r>
    </w:p>
    <w:p>
      <w:pPr>
        <w:spacing w:before="0" w:after="0"/>
        <w:ind w:left="120"/>
        <w:jc w:val="both"/>
      </w:pPr>
      <w:r>
        <w:rPr>
          <w:rFonts w:ascii="Times New Roman" w:hAnsi="Times New Roman"/>
          <w:b w:val="false"/>
          <w:i w:val="false"/>
          <w:color w:val="000000"/>
          <w:sz w:val="16"/>
        </w:rPr>
        <w:t>Methods for the Determination of Inorganic Substances in Environmental Samples, EPA-600/R-93/100, August 1993, (NTIS PB94-121811): Method 300.0.</w:t>
      </w:r>
    </w:p>
    <w:p>
      <w:pPr>
        <w:spacing w:before="0" w:after="0"/>
        <w:ind w:left="120"/>
        <w:jc w:val="both"/>
      </w:pPr>
      <w:r>
        <w:rPr>
          <w:rFonts w:ascii="Times New Roman" w:hAnsi="Times New Roman"/>
          <w:b w:val="false"/>
          <w:i w:val="false"/>
          <w:color w:val="000000"/>
          <w:sz w:val="16"/>
        </w:rPr>
        <w:t>“Determination of Inorganic Oxyhalide Disinfection By-Products in Drinking Water Using Ion Chromatography with the Addition of a Postcolumn Reagent for Trace Bromate Analysis, Revision 2.0,” USEPA, July 2001, EPA 815-B-01-001: Method 317.0.</w:t>
      </w:r>
    </w:p>
    <w:p>
      <w:pPr>
        <w:spacing w:before="0" w:after="0"/>
        <w:ind w:left="120"/>
        <w:jc w:val="both"/>
      </w:pPr>
      <w:r>
        <w:rPr>
          <w:rFonts w:ascii="Times New Roman" w:hAnsi="Times New Roman"/>
          <w:b w:val="false"/>
          <w:i w:val="false"/>
          <w:color w:val="000000"/>
          <w:sz w:val="16"/>
        </w:rPr>
        <w:t>“Determination of Inorganic Oxyhalide Disinfection By-Products in Drinking Water Using Ion Chromatography Incorporating the Addition of a Suppressor Acidified Postcolumn Reagent for Trace Bromate Analysis, Revision 1.0,” USEPA, June 2002, EPA 815-R-03-007: Method 326.0.</w:t>
      </w:r>
    </w:p>
    <w:p>
      <w:pPr>
        <w:spacing w:before="0" w:after="0"/>
        <w:ind w:left="120"/>
        <w:jc w:val="both"/>
      </w:pPr>
      <w:r>
        <w:rPr>
          <w:rFonts w:ascii="Times New Roman" w:hAnsi="Times New Roman"/>
          <w:b w:val="false"/>
          <w:i w:val="false"/>
          <w:color w:val="000000"/>
          <w:sz w:val="16"/>
        </w:rPr>
        <w:t>“Determination of Total Organic Carbon and Specific UV Absorbance at 254 nm in Source Water and Drinking Water, Revision 1.1,” USEPA, February 2005, EPA/600/R-05/055: Method 415.3 Revision 1.1.</w:t>
      </w:r>
    </w:p>
    <w:p>
      <w:pPr>
        <w:spacing w:before="0" w:after="0"/>
        <w:ind w:left="120"/>
        <w:jc w:val="both"/>
      </w:pPr>
      <w:r>
        <w:rPr>
          <w:rFonts w:ascii="Times New Roman" w:hAnsi="Times New Roman"/>
          <w:b w:val="false"/>
          <w:i w:val="false"/>
          <w:color w:val="000000"/>
          <w:sz w:val="16"/>
        </w:rPr>
        <w:t>“Determination of Total Organic Carbon and Specific UV Absorbance at 254 nm in Source Water and Drinking Water, Revision 1.2,” USEPA, September 2009, EPA/600/R-09/122: Method 415.3 Revision 1.2.</w:t>
      </w:r>
    </w:p>
    <w:p>
      <w:pPr>
        <w:spacing w:before="0" w:after="0"/>
        <w:ind w:left="120"/>
        <w:jc w:val="both"/>
      </w:pPr>
      <w:r>
        <w:rPr>
          <w:rFonts w:ascii="Times New Roman" w:hAnsi="Times New Roman"/>
          <w:b w:val="false"/>
          <w:i w:val="false"/>
          <w:color w:val="000000"/>
          <w:sz w:val="16"/>
        </w:rPr>
        <w:t>The following methods are available from the American Public Health Association, 800 I Street, NW, Washington, DC 20001-3710:</w:t>
      </w:r>
    </w:p>
    <w:p>
      <w:pPr>
        <w:spacing w:before="0" w:after="0"/>
        <w:ind w:left="600"/>
        <w:jc w:val="both"/>
      </w:pPr>
      <w:r>
        <w:rPr>
          <w:rFonts w:ascii="Times New Roman" w:hAnsi="Times New Roman"/>
          <w:b w:val="false"/>
          <w:i w:val="false"/>
          <w:color w:val="000000"/>
          <w:sz w:val="16"/>
        </w:rPr>
        <w:t>Standard Methods for the Examination of Water and Wastewater, 19th (1995), 21st (2005), and 22nd (2012) editions, American Public Health Association: Methods: 2320B (20th edition, 1998, is also accepted for this method), 4500-H</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-B, and 5910B (22nd edition, 2012, is also accepted for this method).</w:t>
      </w:r>
    </w:p>
    <w:p>
      <w:pPr>
        <w:spacing w:before="0" w:after="0"/>
        <w:ind w:left="600"/>
        <w:jc w:val="both"/>
      </w:pPr>
      <w:r>
        <w:rPr>
          <w:rFonts w:ascii="Times New Roman" w:hAnsi="Times New Roman"/>
          <w:b w:val="false"/>
          <w:i w:val="false"/>
          <w:color w:val="000000"/>
          <w:sz w:val="16"/>
        </w:rPr>
        <w:t>Standard Methods for the Examination of Water and Wastewater, Supplement to the 19th edition (1996), 21st (2005), and 22nd editions, American Public Health Association: Methods: 5310B, 5310C, and 5310D.</w:t>
      </w:r>
    </w:p>
    <w:p>
      <w:pPr>
        <w:spacing w:before="0" w:after="0"/>
        <w:ind w:left="120"/>
        <w:jc w:val="both"/>
      </w:pPr>
      <w:r>
        <w:rPr>
          <w:rFonts w:ascii="Times New Roman" w:hAnsi="Times New Roman"/>
          <w:b w:val="false"/>
          <w:i w:val="false"/>
          <w:color w:val="000000"/>
          <w:sz w:val="16"/>
        </w:rPr>
        <w:t>For method numbers ending “-00”, the year in which each method was approved by the Standard Methods Committee is designated by the last two digits in the method number. The methods listed are the only online versions that are IBR-approved.</w:t>
      </w:r>
    </w:p>
    <w:p>
      <w:pPr>
        <w:spacing w:before="0" w:after="0"/>
        <w:ind w:left="120"/>
        <w:jc w:val="both"/>
      </w:pPr>
      <w:r>
        <w:rPr>
          <w:rFonts w:ascii="Times New Roman" w:hAnsi="Times New Roman"/>
          <w:b w:val="false"/>
          <w:i w:val="false"/>
          <w:color w:val="000000"/>
          <w:sz w:val="16"/>
        </w:rPr>
        <w:t>Method I-1030-85 is available from the Books and Open-File Reports Section, U.S. Geological Survey, Federal Center, Box 25425, Denver, CO 80225-0425.</w:t>
      </w:r>
    </w:p>
    <w:p>
      <w:pPr>
        <w:spacing w:before="0" w:after="0"/>
        <w:ind w:left="120"/>
        <w:jc w:val="both"/>
      </w:pPr>
      <w:r>
        <w:rPr>
          <w:rFonts w:ascii="Times New Roman" w:hAnsi="Times New Roman"/>
          <w:b w:val="false"/>
          <w:i w:val="false"/>
          <w:color w:val="000000"/>
          <w:sz w:val="16"/>
        </w:rPr>
        <w:t>2Dissolved Organic Carbon (DOC). DOC and UV</w:t>
      </w:r>
      <w:r>
        <w:rPr>
          <w:rFonts w:ascii="Times New Roman" w:hAnsi="Times New Roman"/>
          <w:b w:val="false"/>
          <w:i w:val="false"/>
          <w:color w:val="000000"/>
          <w:sz w:val="18"/>
          <w:vertAlign w:val="subscript"/>
        </w:rPr>
        <w:t xml:space="preserve">254 </w:t>
      </w:r>
      <w:r>
        <w:rPr>
          <w:rFonts w:ascii="Times New Roman" w:hAnsi="Times New Roman"/>
          <w:b w:val="false"/>
          <w:i w:val="false"/>
          <w:color w:val="000000"/>
          <w:sz w:val="16"/>
        </w:rPr>
        <w:t xml:space="preserve">samples used to determine a SUVA value must be taken at the same time and at the same location, prior to the addition of any disinfectant or oxidant by the system. Prior to analysis, DOC samples must be filtered through a 0.45 μ pore-diameter filter, as soon as practical after sampling, not to exceed 48 hours. After filtration, DOC samples must be acidified to achieve pH less than or equal to 2 with minimal addition of the acid specified in the method or by the instrument manufacturer. Acidified DOC samples must be analyzed within 28 days. Inorganic carbon must be removed from the samples prior to analysis. Water passed through the filter prior to filtration of the sample must serve as the filtered blank. This filtered blank must be analyzed using procedures identical to those used for analysis of the samples and must meet a DOC concentration of &lt;0.5 mg/L. </w:t>
      </w:r>
    </w:p>
    <w:p>
      <w:pPr>
        <w:spacing w:before="0" w:after="0"/>
        <w:ind w:left="120"/>
        <w:jc w:val="both"/>
      </w:pPr>
      <w:r>
        <w:rPr>
          <w:rFonts w:ascii="Times New Roman" w:hAnsi="Times New Roman"/>
          <w:b w:val="false"/>
          <w:i w:val="false"/>
          <w:color w:val="000000"/>
          <w:sz w:val="16"/>
        </w:rPr>
        <w:t xml:space="preserve">3pH must be measured by a laboratory certified by the department to perform analysis under </w:t>
      </w:r>
      <w:hyperlink r:id="rId230">
        <w:r>
          <w:rPr>
            <w:rStyle w:val="Hyperlink"/>
            <w:rFonts w:ascii="Times New Roman" w:hAnsi="Times New Roman"/>
            <w:b w:val="false"/>
            <w:i w:val="false"/>
            <w:color w:val="000000"/>
            <w:sz w:val="16"/>
          </w:rPr>
          <w:t>567—Chapter 83</w:t>
        </w:r>
      </w:hyperlink>
      <w:r>
        <w:rPr>
          <w:rFonts w:ascii="Times New Roman" w:hAnsi="Times New Roman"/>
          <w:b w:val="false"/>
          <w:i w:val="false"/>
          <w:color w:val="000000"/>
          <w:sz w:val="16"/>
        </w:rPr>
        <w:t xml:space="preserve">; a Grade II, III or IV operator meeting the requirements of </w:t>
      </w:r>
      <w:hyperlink r:id="rId231">
        <w:r>
          <w:rPr>
            <w:rStyle w:val="Hyperlink"/>
            <w:rFonts w:ascii="Times New Roman" w:hAnsi="Times New Roman"/>
            <w:b w:val="false"/>
            <w:i w:val="false"/>
            <w:color w:val="000000"/>
            <w:sz w:val="16"/>
          </w:rPr>
          <w:t>567—Chapter 81</w:t>
        </w:r>
      </w:hyperlink>
      <w:r>
        <w:rPr>
          <w:rFonts w:ascii="Times New Roman" w:hAnsi="Times New Roman"/>
          <w:b w:val="false"/>
          <w:i w:val="false"/>
          <w:color w:val="000000"/>
          <w:sz w:val="16"/>
        </w:rPr>
        <w:t xml:space="preserve">; or any person under the supervision of a Grade II, III or IV operator meeting the requirements of </w:t>
      </w:r>
      <w:hyperlink r:id="rId232">
        <w:r>
          <w:rPr>
            <w:rStyle w:val="Hyperlink"/>
            <w:rFonts w:ascii="Times New Roman" w:hAnsi="Times New Roman"/>
            <w:b w:val="false"/>
            <w:i w:val="false"/>
            <w:color w:val="000000"/>
            <w:sz w:val="16"/>
          </w:rPr>
          <w:t>567—Chapter 81</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4Total Organic Carbon (TOC). Inorganic carbon must be removed from the samples prior to analysis. TOC samples may not be filtered prior to analysis. TOC samples must be acidified at the time of sample collection to achieve a pH less than or equal to 2 with minimal addition of the acid specified in the method or by the instrument manufacturer. Acidified TOC samples must be analyzed within 28 days.</w:t>
      </w:r>
    </w:p>
    <w:p>
      <w:pPr>
        <w:spacing w:before="0" w:after="0"/>
        <w:ind w:left="120"/>
        <w:jc w:val="both"/>
      </w:pPr>
      <w:r>
        <w:rPr>
          <w:rFonts w:ascii="Times New Roman" w:hAnsi="Times New Roman"/>
          <w:b w:val="false"/>
          <w:i w:val="false"/>
          <w:color w:val="000000"/>
          <w:sz w:val="16"/>
        </w:rPr>
        <w:t>5Ultraviolet Absorption at 254 nm (UV254). DOC and UV254 samples used to determine a SUVA value must be taken at the same time and at the same location, prior to the addition of any disinfectant or oxidant by the system. UV absorption must be measured at 253.7 nm (may be rounded off to 254 nm). Prior to analysis, UV254 samples must be filtered through a 0.45 µ pore-diameter filter. The pH of UV254 samples may not be adjusted. Samples must be analyzed as soon as practical after sampling, not to exceed 48 hours.</w:t>
      </w:r>
    </w:p>
    <w:p>
      <w:pPr>
        <w:spacing w:before="0" w:after="0"/>
        <w:ind w:left="120"/>
        <w:jc w:val="both"/>
      </w:pPr>
      <w:r>
        <w:rPr>
          <w:rFonts w:ascii="Times New Roman" w:hAnsi="Times New Roman"/>
          <w:b w:val="false"/>
          <w:i w:val="false"/>
          <w:color w:val="000000"/>
          <w:sz w:val="16"/>
        </w:rPr>
        <w:t xml:space="preserve">6Alkalinity must be measured by a laboratory certified by the department to perform analysis under </w:t>
      </w:r>
      <w:hyperlink r:id="rId233">
        <w:r>
          <w:rPr>
            <w:rStyle w:val="Hyperlink"/>
            <w:rFonts w:ascii="Times New Roman" w:hAnsi="Times New Roman"/>
            <w:b w:val="false"/>
            <w:i w:val="false"/>
            <w:color w:val="000000"/>
            <w:sz w:val="16"/>
          </w:rPr>
          <w:t>567—Chapter 83</w:t>
        </w:r>
      </w:hyperlink>
      <w:r>
        <w:rPr>
          <w:rFonts w:ascii="Times New Roman" w:hAnsi="Times New Roman"/>
          <w:b w:val="false"/>
          <w:i w:val="false"/>
          <w:color w:val="000000"/>
          <w:sz w:val="16"/>
        </w:rPr>
        <w:t xml:space="preserve">; a Grade II, III or IV operator meeting the requirements of </w:t>
      </w:r>
      <w:hyperlink r:id="rId234">
        <w:r>
          <w:rPr>
            <w:rStyle w:val="Hyperlink"/>
            <w:rFonts w:ascii="Times New Roman" w:hAnsi="Times New Roman"/>
            <w:b w:val="false"/>
            <w:i w:val="false"/>
            <w:color w:val="000000"/>
            <w:sz w:val="16"/>
          </w:rPr>
          <w:t>567—Chapter 81</w:t>
        </w:r>
      </w:hyperlink>
      <w:r>
        <w:rPr>
          <w:rFonts w:ascii="Times New Roman" w:hAnsi="Times New Roman"/>
          <w:b w:val="false"/>
          <w:i w:val="false"/>
          <w:color w:val="000000"/>
          <w:sz w:val="16"/>
        </w:rPr>
        <w:t xml:space="preserve">; or any person under the supervision of a Grade II, III or IV operator meeting the requirements of </w:t>
      </w:r>
      <w:hyperlink r:id="rId235">
        <w:r>
          <w:rPr>
            <w:rStyle w:val="Hyperlink"/>
            <w:rFonts w:ascii="Times New Roman" w:hAnsi="Times New Roman"/>
            <w:b w:val="false"/>
            <w:i w:val="false"/>
            <w:color w:val="000000"/>
            <w:sz w:val="16"/>
          </w:rPr>
          <w:t>567—Chapter 81</w:t>
        </w:r>
      </w:hyperlink>
      <w:r>
        <w:rPr>
          <w:rFonts w:ascii="Times New Roman" w:hAnsi="Times New Roman"/>
          <w:b w:val="false"/>
          <w:i w:val="false"/>
          <w:color w:val="000000"/>
          <w:sz w:val="16"/>
        </w:rPr>
        <w:t>. Only the listed titrimetric methods are acceptable.</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Hach Company. “Hach Method 10267 – Spectrophotometric Measurement of Total Organic Carbon (TOC) in Finished Drinking Water,” December 2015, Revision 1.2. Available at </w:t>
      </w:r>
      <w:hyperlink r:id="rId236">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Hach Company. “Hach Method 10261 – Total Organic Carbon in Finished Drinking Water by Catalyzed Ozone Hydroxyl Radical Oxidation Infrared Analysis,” December 2015, Revision 1.2. Available at </w:t>
      </w:r>
      <w:hyperlink r:id="rId237">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SUVA. Specific Ultraviolet Absorbance (SUVA) is equal to the UV absorption at 254nm (UV</w:t>
      </w:r>
      <w:r>
        <w:rPr>
          <w:rFonts w:ascii="Times New Roman" w:hAnsi="Times New Roman"/>
          <w:b w:val="false"/>
          <w:i w:val="false"/>
          <w:color w:val="000000"/>
          <w:sz w:val="18"/>
          <w:vertAlign w:val="subscript"/>
        </w:rPr>
        <w:t>254</w:t>
      </w:r>
      <w:r>
        <w:rPr>
          <w:rFonts w:ascii="Times New Roman" w:hAnsi="Times New Roman"/>
          <w:b w:val="false"/>
          <w:i w:val="false"/>
          <w:color w:val="000000"/>
          <w:sz w:val="22"/>
        </w:rPr>
        <w:t>) (measured in m</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divided by the dissolved organic carbon (DOC) concentration (measured as mg/L). In order to determine SUVA, it is necessary to separately measure UV</w:t>
      </w:r>
      <w:r>
        <w:rPr>
          <w:rFonts w:ascii="Times New Roman" w:hAnsi="Times New Roman"/>
          <w:b w:val="false"/>
          <w:i w:val="false"/>
          <w:color w:val="000000"/>
          <w:sz w:val="18"/>
          <w:vertAlign w:val="subscript"/>
        </w:rPr>
        <w:t>254</w:t>
      </w:r>
      <w:r>
        <w:rPr>
          <w:rFonts w:ascii="Times New Roman" w:hAnsi="Times New Roman"/>
          <w:b w:val="false"/>
          <w:i w:val="false"/>
          <w:color w:val="000000"/>
          <w:sz w:val="22"/>
        </w:rPr>
        <w:t xml:space="preserve"> and DOC. When determining SUVA, systems must use the methods stipulated in subparagraph </w:t>
      </w:r>
      <w:hyperlink r:id="rId238">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(1) to measure DOC and UV</w:t>
      </w:r>
      <w:r>
        <w:rPr>
          <w:rFonts w:ascii="Times New Roman" w:hAnsi="Times New Roman"/>
          <w:b w:val="false"/>
          <w:i w:val="false"/>
          <w:color w:val="000000"/>
          <w:sz w:val="18"/>
          <w:vertAlign w:val="subscript"/>
        </w:rPr>
        <w:t>254</w:t>
      </w:r>
      <w:r>
        <w:rPr>
          <w:rFonts w:ascii="Times New Roman" w:hAnsi="Times New Roman"/>
          <w:b w:val="false"/>
          <w:i w:val="false"/>
          <w:color w:val="000000"/>
          <w:sz w:val="22"/>
        </w:rPr>
        <w:t>. SUVA must be determined on water prior to the addition of disinfectants/oxidants by the system. DOC and UV</w:t>
      </w:r>
      <w:r>
        <w:rPr>
          <w:rFonts w:ascii="Times New Roman" w:hAnsi="Times New Roman"/>
          <w:b w:val="false"/>
          <w:i w:val="false"/>
          <w:color w:val="000000"/>
          <w:sz w:val="18"/>
          <w:vertAlign w:val="subscript"/>
        </w:rPr>
        <w:t xml:space="preserve">254 </w:t>
      </w:r>
      <w:r>
        <w:rPr>
          <w:rFonts w:ascii="Times New Roman" w:hAnsi="Times New Roman"/>
          <w:b w:val="false"/>
          <w:i w:val="false"/>
          <w:color w:val="000000"/>
          <w:sz w:val="22"/>
        </w:rPr>
        <w:t>samples used to determine an SUVA value must be taken at the same time and at the same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Magnesium. All methods approved for magnesium in </w:t>
      </w:r>
      <w:hyperlink r:id="rId239">
        <w:r>
          <w:rPr>
            <w:rStyle w:val="Hyperlink"/>
            <w:rFonts w:ascii="Times New Roman" w:hAnsi="Times New Roman"/>
            <w:b w:val="false"/>
            <w:i w:val="false"/>
            <w:color w:val="000000"/>
            <w:sz w:val="22"/>
          </w:rPr>
          <w:t>567—subparagraph 41.3(1)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are approved for use in measuring magnesium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requirements for disinfection byproduct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All samples taken and analyzed under the provisions of this rule must be included in determining compliance, even if that number is greater than the minimum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determination. Compliance must be determined as specified by </w:t>
      </w:r>
      <w:hyperlink r:id="rId240">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may assign monitoring through an operation permit, or systems may begin monitoring to determine whether Step 1 TOC removals can be met 12 months prior to the compliance date for the system. This monitoring is not required and failure to monitor during this period is not a violation. However, any system that does not monitor during this period and then determines in the first 12 months after the compliance date that it is not able to meet the Step 1 requirements in </w:t>
      </w:r>
      <w:hyperlink r:id="rId241">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must therefore apply for alternate minimum TOC removal (Step 2) requirements, is not eligible for retroactive approval of alternate minimum TOC removal (Step 2) requirements as allowed pursuant to </w:t>
      </w:r>
      <w:hyperlink r:id="rId242">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is in violation. Systems may apply for alternate minimum TOC removal (Step 2) requirements anytime after the compliance date. For systems required to meet Step 1 TOC removals, if the value calculated under </w:t>
      </w:r>
      <w:hyperlink r:id="rId243">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(1)“4” is less than 1.00, the system is in violation of the treatment technique requirements and must notify the public pursuant to </w:t>
      </w:r>
      <w:hyperlink r:id="rId244">
        <w:r>
          <w:rPr>
            <w:rStyle w:val="Hyperlink"/>
            <w:rFonts w:ascii="Times New Roman" w:hAnsi="Times New Roman"/>
            <w:b w:val="false"/>
            <w:i w:val="false"/>
            <w:color w:val="000000"/>
            <w:sz w:val="22"/>
          </w:rPr>
          <w:t>567—42.1</w:t>
        </w:r>
      </w:hyperlink>
      <w:r>
        <w:rPr>
          <w:rFonts w:ascii="Times New Roman" w:hAnsi="Times New Roman"/>
          <w:b w:val="false"/>
          <w:i w:val="false"/>
          <w:color w:val="000000"/>
          <w:sz w:val="22"/>
        </w:rPr>
        <w:t xml:space="preserve">(455B), in addition to reporting to the department pursuant to 567—paragraph </w:t>
      </w:r>
      <w:hyperlink r:id="rId245">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disinfection byproduct precursors. </w:t>
      </w:r>
      <w:r>
        <w:rPr>
          <w:rFonts w:ascii="Times New Roman" w:hAnsi="Times New Roman"/>
          <w:b w:val="false"/>
          <w:i w:val="false"/>
          <w:color w:val="000000"/>
          <w:sz w:val="22"/>
        </w:rPr>
        <w:t xml:space="preserve">Systems required to sample quarterly or more frequently must report to the department within ten days after the end of each quarter in which samples were collected, notwithstanding the public notification provisions of </w:t>
      </w:r>
      <w:hyperlink r:id="rId246">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 xml:space="preserve">. Systems required to sample less frequently than quarterly must report to the department within ten days after the end of each monitoring period in which samples were collected. The specific reporting requirements for disinfection byproduct precursors are listed in 567—subparagraph </w:t>
      </w:r>
      <w:hyperlink r:id="rId247">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43.6(3)</w:t>
      </w: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for control of disinfection byproduct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using surface water or groundwater under the direct influence of surface water and conventional filtration treatment (as defined in </w:t>
      </w:r>
      <w:hyperlink r:id="rId248">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 xml:space="preserve">(455B)) must operate with enhanced coagulation or enhanced softening to achieve the TOC percent removal levels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unless the system meets at least one of the alternative compliance criteria listed in </w:t>
      </w:r>
      <w:hyperlink r:id="rId249">
        <w:r>
          <w:rPr>
            <w:rStyle w:val="Hyperlink"/>
            <w:rFonts w:ascii="Times New Roman" w:hAnsi="Times New Roman"/>
            <w:b w:val="false"/>
            <w:i w:val="false"/>
            <w:color w:val="000000"/>
            <w:sz w:val="22"/>
          </w:rPr>
          <w:t>43.6(3)</w:t>
        </w:r>
      </w:hyperlink>
      <w:r>
        <w:rPr>
          <w:rFonts w:ascii="Times New Roman" w:hAnsi="Times New Roman"/>
          <w:b w:val="false"/>
          <w:i/>
          <w:color w:val="000000"/>
          <w:sz w:val="22"/>
        </w:rPr>
        <w:t>“a”</w:t>
      </w:r>
      <w:r>
        <w:rPr>
          <w:rFonts w:ascii="Times New Roman" w:hAnsi="Times New Roman"/>
          <w:b w:val="false"/>
          <w:i w:val="false"/>
          <w:color w:val="000000"/>
          <w:sz w:val="22"/>
        </w:rPr>
        <w:t>(2)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compliance criteria for enhanced coagulation and enhanced softening systems. Systems using surface water or groundwater under the direct influence of surface water and conventional filtration treatment may use the alternative compliance criteria in </w:t>
      </w:r>
      <w:hyperlink r:id="rId250">
        <w:r>
          <w:rPr>
            <w:rStyle w:val="Hyperlink"/>
            <w:rFonts w:ascii="Times New Roman" w:hAnsi="Times New Roman"/>
            <w:b w:val="false"/>
            <w:i w:val="false"/>
            <w:color w:val="000000"/>
            <w:sz w:val="22"/>
          </w:rPr>
          <w:t>43.6(3)</w:t>
        </w:r>
      </w:hyperlink>
      <w:r>
        <w:rPr>
          <w:rFonts w:ascii="Times New Roman" w:hAnsi="Times New Roman"/>
          <w:b w:val="false"/>
          <w:i/>
          <w:color w:val="000000"/>
          <w:sz w:val="22"/>
        </w:rPr>
        <w:t>“a”</w:t>
      </w:r>
      <w:r>
        <w:rPr>
          <w:rFonts w:ascii="Times New Roman" w:hAnsi="Times New Roman"/>
          <w:b w:val="false"/>
          <w:i w:val="false"/>
          <w:color w:val="000000"/>
          <w:sz w:val="22"/>
        </w:rPr>
        <w:t xml:space="preserve">(2)“1” through “6” to comply with this subrule in lieu of complying with </w:t>
      </w:r>
      <w:hyperlink r:id="rId251">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 Systems must still comply with monitoring requirements in </w:t>
      </w:r>
      <w:hyperlink r:id="rId252">
        <w:r>
          <w:rPr>
            <w:rStyle w:val="Hyperlink"/>
            <w:rFonts w:ascii="Times New Roman" w:hAnsi="Times New Roman"/>
            <w:b w:val="false"/>
            <w:i w:val="false"/>
            <w:color w:val="000000"/>
            <w:sz w:val="22"/>
          </w:rPr>
          <w:t>43.6(2)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system’s source water TOC level, measured according to </w:t>
      </w:r>
      <w:hyperlink r:id="rId253">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(1), is less than 2.0 mg/L, calculated quarterly as a running annual average.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system’s treated water TOC level, measured according to </w:t>
      </w:r>
      <w:hyperlink r:id="rId254">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(1), is less than 2.0 mg/L, calculated quarterly as a running annual average.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system’s source water TOC level, measured according to </w:t>
      </w:r>
      <w:hyperlink r:id="rId255">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(1), is less than 4.0 mg/L, calculated quarterly as a running annual average; the source water alkalinity, measured according to </w:t>
      </w:r>
      <w:hyperlink r:id="rId256">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(1), is greater than 60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xml:space="preserve">, calculated quarterly as a running annual average; and either the TTHM and HAA5 running annual averages are no greater than 0.040 mg/L and 0.030 mg/L, respectively; or prior to the effective date for compliance in 567—subparagraph </w:t>
      </w:r>
      <w:hyperlink r:id="rId257">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in </w:t>
      </w:r>
      <w:hyperlink r:id="rId258">
        <w:r>
          <w:rPr>
            <w:rStyle w:val="Hyperlink"/>
            <w:rFonts w:ascii="Times New Roman" w:hAnsi="Times New Roman"/>
            <w:b w:val="false"/>
            <w:i w:val="false"/>
            <w:color w:val="000000"/>
            <w:sz w:val="22"/>
          </w:rPr>
          <w:t>43.6(1)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259">
        <w:r>
          <w:rPr>
            <w:rStyle w:val="Hyperlink"/>
            <w:rFonts w:ascii="Times New Roman" w:hAnsi="Times New Roman"/>
            <w:b w:val="false"/>
            <w:i w:val="false"/>
            <w:color w:val="000000"/>
            <w:sz w:val="22"/>
          </w:rPr>
          <w:t>43.6(2)</w:t>
        </w:r>
      </w:hyperlink>
      <w:r>
        <w:rPr>
          <w:rFonts w:ascii="Times New Roman" w:hAnsi="Times New Roman"/>
          <w:b w:val="false"/>
          <w:i/>
          <w:color w:val="000000"/>
          <w:sz w:val="22"/>
        </w:rPr>
        <w:t>“a”</w:t>
      </w:r>
      <w:r>
        <w:rPr>
          <w:rFonts w:ascii="Times New Roman" w:hAnsi="Times New Roman"/>
          <w:b w:val="false"/>
          <w:i w:val="false"/>
          <w:color w:val="000000"/>
          <w:sz w:val="22"/>
        </w:rPr>
        <w:t xml:space="preserve">(3), the system has made a clear and irrevocable financial commitment not later than the effective date for compliance in 567—subparagraph </w:t>
      </w:r>
      <w:hyperlink r:id="rId260">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in </w:t>
      </w:r>
      <w:hyperlink r:id="rId261">
        <w:r>
          <w:rPr>
            <w:rStyle w:val="Hyperlink"/>
            <w:rFonts w:ascii="Times New Roman" w:hAnsi="Times New Roman"/>
            <w:b w:val="false"/>
            <w:i w:val="false"/>
            <w:color w:val="000000"/>
            <w:sz w:val="22"/>
          </w:rPr>
          <w:t>43.6(1)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262">
        <w:r>
          <w:rPr>
            <w:rStyle w:val="Hyperlink"/>
            <w:rFonts w:ascii="Times New Roman" w:hAnsi="Times New Roman"/>
            <w:b w:val="false"/>
            <w:i w:val="false"/>
            <w:color w:val="000000"/>
            <w:sz w:val="22"/>
          </w:rPr>
          <w:t>43.6(2)</w:t>
        </w:r>
      </w:hyperlink>
      <w:r>
        <w:rPr>
          <w:rFonts w:ascii="Times New Roman" w:hAnsi="Times New Roman"/>
          <w:b w:val="false"/>
          <w:i/>
          <w:color w:val="000000"/>
          <w:sz w:val="22"/>
        </w:rPr>
        <w:t>“a”</w:t>
      </w:r>
      <w:r>
        <w:rPr>
          <w:rFonts w:ascii="Times New Roman" w:hAnsi="Times New Roman"/>
          <w:b w:val="false"/>
          <w:i w:val="false"/>
          <w:color w:val="000000"/>
          <w:sz w:val="22"/>
        </w:rPr>
        <w:t xml:space="preserve">(3), to use of technologies that will limit the levels of TTHMs and HAA5 to no more than 0.040 mg/L and 0.030 mg/L, respectively. Systems must submit evidence of a clear and irrevocable financial commitment, in addition to a schedule containing milestones and periodic progress reports for installation and operation of appropriate technologies, to the department for approval not later than the effective date for compliance in 567—subparagraph </w:t>
      </w:r>
      <w:hyperlink r:id="rId263">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in </w:t>
      </w:r>
      <w:hyperlink r:id="rId264">
        <w:r>
          <w:rPr>
            <w:rStyle w:val="Hyperlink"/>
            <w:rFonts w:ascii="Times New Roman" w:hAnsi="Times New Roman"/>
            <w:b w:val="false"/>
            <w:i w:val="false"/>
            <w:color w:val="000000"/>
            <w:sz w:val="22"/>
          </w:rPr>
          <w:t>43.6(1)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265">
        <w:r>
          <w:rPr>
            <w:rStyle w:val="Hyperlink"/>
            <w:rFonts w:ascii="Times New Roman" w:hAnsi="Times New Roman"/>
            <w:b w:val="false"/>
            <w:i w:val="false"/>
            <w:color w:val="000000"/>
            <w:sz w:val="22"/>
          </w:rPr>
          <w:t>43.6(2)</w:t>
        </w:r>
      </w:hyperlink>
      <w:r>
        <w:rPr>
          <w:rFonts w:ascii="Times New Roman" w:hAnsi="Times New Roman"/>
          <w:b w:val="false"/>
          <w:i/>
          <w:color w:val="000000"/>
          <w:sz w:val="22"/>
        </w:rPr>
        <w:t>“a”</w:t>
      </w:r>
      <w:r>
        <w:rPr>
          <w:rFonts w:ascii="Times New Roman" w:hAnsi="Times New Roman"/>
          <w:b w:val="false"/>
          <w:i w:val="false"/>
          <w:color w:val="000000"/>
          <w:sz w:val="22"/>
        </w:rPr>
        <w:t>(3). These technologies must be installed and operating not later than June 30, 2005. Failure to install and operate these technologies by the date in the approved schedule will constitute a treatment technique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TTHM and HAA5 running annual averages are less than or equal to 0.040 mg/L and 0.030 mg/L, respectively, and the system uses only chlorine for primary disinfection and maintenance of a residual in the distribution system.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system’s source water SUVA, prior to any treatment and measured monthly according to </w:t>
      </w:r>
      <w:hyperlink r:id="rId266">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 is less than or equal to 2.0 L/mg-m, calculated quarterly as a running annual average.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system’s finished water SUVA, measured monthly according to </w:t>
      </w:r>
      <w:hyperlink r:id="rId267">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 is less than or equal to 2.0 L/mg-m, calculated quarterly as a running annual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alternative compliance criteria for softening systems. Systems practicing enhanced softening that cannot achieve the TOC removals required by </w:t>
      </w:r>
      <w:hyperlink r:id="rId268">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may use the alternative compliance criteria in </w:t>
      </w:r>
      <w:hyperlink r:id="rId269">
        <w:r>
          <w:rPr>
            <w:rStyle w:val="Hyperlink"/>
            <w:rFonts w:ascii="Times New Roman" w:hAnsi="Times New Roman"/>
            <w:b w:val="false"/>
            <w:i w:val="false"/>
            <w:color w:val="000000"/>
            <w:sz w:val="22"/>
          </w:rPr>
          <w:t>43.6(3)</w:t>
        </w:r>
      </w:hyperlink>
      <w:r>
        <w:rPr>
          <w:rFonts w:ascii="Times New Roman" w:hAnsi="Times New Roman"/>
          <w:b w:val="false"/>
          <w:i/>
          <w:color w:val="000000"/>
          <w:sz w:val="22"/>
        </w:rPr>
        <w:t>“a”</w:t>
      </w:r>
      <w:r>
        <w:rPr>
          <w:rFonts w:ascii="Times New Roman" w:hAnsi="Times New Roman"/>
          <w:b w:val="false"/>
          <w:i w:val="false"/>
          <w:color w:val="000000"/>
          <w:sz w:val="22"/>
        </w:rPr>
        <w:t xml:space="preserve">(3)“1” and “2” in lieu of complying with </w:t>
      </w:r>
      <w:hyperlink r:id="rId270">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 Systems must still comply with monitoring requirements in </w:t>
      </w:r>
      <w:hyperlink r:id="rId271">
        <w:r>
          <w:rPr>
            <w:rStyle w:val="Hyperlink"/>
            <w:rFonts w:ascii="Times New Roman" w:hAnsi="Times New Roman"/>
            <w:b w:val="false"/>
            <w:i w:val="false"/>
            <w:color w:val="000000"/>
            <w:sz w:val="22"/>
          </w:rPr>
          <w:t>43.6(2)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Softening that lowers the treated water alkalinity to less than 60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xml:space="preserve">, measured monthly according to </w:t>
      </w:r>
      <w:hyperlink r:id="rId272">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calculated quarterly as a running annual average.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Softening that removes at least 10 mg/L of magnesium hardness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measured monthly and calculated quarterly as a running annual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Enhanced coagulation and enhanced softening performance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achieve the percent reduction of TOC specified in </w:t>
      </w:r>
      <w:hyperlink r:id="rId273">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between the source water and the combined filter effluent, unless the department approves a system’s request for alternate minimum TOC removal (Step 2 requirements under </w:t>
      </w:r>
      <w:hyperlink r:id="rId274">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Step 1 TOC reductions, indicated in the following table, are based upon specified source water parameters measured in accordance with </w:t>
      </w:r>
      <w:hyperlink r:id="rId275">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 Systems using softening are required to meet the Step 1 TOC reductions in the right-hand column (Source water alkalinity &gt; 120 mg/L) for the specified source water TOC:</w:t>
      </w:r>
    </w:p>
    <w:p>
      <w:pPr>
        <w:spacing w:before="60" w:after="0"/>
        <w:ind w:left="120"/>
        <w:jc w:val="center"/>
      </w:pPr>
      <w:r>
        <w:rPr>
          <w:rFonts w:ascii="Times New Roman" w:hAnsi="Times New Roman"/>
          <w:b w:val="false"/>
          <w:i w:val="false"/>
          <w:color w:val="000000"/>
          <w:sz w:val="22"/>
        </w:rPr>
        <w:t>Step 1 Required Removal of TOC by Enhanced Coagulation and Enhanced Softening for Surface Water or IGW Systems Using Conventional Treatment</w:t>
      </w:r>
      <w:r>
        <w:rPr>
          <w:rFonts w:ascii="Times New Roman" w:hAnsi="Times New Roman"/>
          <w:b w:val="false"/>
          <w:i w:val="false"/>
          <w:color w:val="000000"/>
          <w:sz w:val="18"/>
          <w:vertAlign w:val="superscript"/>
        </w:rPr>
        <w:t>1,2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180"/>
        <w:gridCol w:w="2337"/>
        <w:gridCol w:w="2337"/>
        <w:gridCol w:w="2336"/>
      </w:tblGrid>
      <w:tr>
        <w:trPr>
          <w:trHeight w:val="225" w:hRule="atLeast"/>
        </w:trPr>
        <w:tc>
          <w:tcPr>
            <w:tcW w:w="4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418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Source water TOC, mg/L</w:t>
            </w:r>
          </w:p>
        </w:tc>
        <w:tc>
          <w:tcPr>
            <w:tcW w:w="0" w:type="auto"/>
            <w:gridSpan w:val="3"/>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Source water Alkalinity, mg/L as CaCO</w:t>
            </w:r>
            <w:r>
              <w:rPr>
                <w:rFonts w:ascii="Times New Roman" w:hAnsi="Times New Roman"/>
                <w:b w:val="false"/>
                <w:i w:val="false"/>
                <w:color w:val="000000"/>
                <w:sz w:val="18"/>
                <w:vertAlign w:val="subscript"/>
              </w:rPr>
              <w:t>3</w:t>
            </w:r>
          </w:p>
        </w:tc>
      </w:tr>
      <w:tr>
        <w:trPr>
          <w:trHeight w:val="255" w:hRule="atLeast"/>
        </w:trPr>
        <w:tc>
          <w:tcPr>
            <w:tcW w:w="0" w:type="auto"/>
            <w:vMerge/>
            <w:tcBorders>
              <w:top w:val="nil"/>
              <w:bottom w:val="single" w:color="000000" w:sz="8"/>
              <w:right w:val="single" w:color="000000" w:sz="8"/>
            </w:tcBorders>
          </w:tcPr>
          <w:p/>
        </w:tc>
        <w:tc>
          <w:tcPr>
            <w:tcW w:w="233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0-60</w:t>
            </w:r>
          </w:p>
        </w:tc>
        <w:tc>
          <w:tcPr>
            <w:tcW w:w="233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&gt;60-120</w:t>
            </w:r>
          </w:p>
        </w:tc>
        <w:tc>
          <w:tcPr>
            <w:tcW w:w="233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&gt;120</w:t>
            </w:r>
            <w:r>
              <w:rPr>
                <w:rFonts w:ascii="Times New Roman" w:hAnsi="Times New Roman"/>
                <w:b w:val="false"/>
                <w:i w:val="false"/>
                <w:color w:val="000000"/>
                <w:sz w:val="18"/>
                <w:vertAlign w:val="superscript"/>
              </w:rPr>
              <w:t>3</w:t>
            </w:r>
          </w:p>
        </w:tc>
      </w:tr>
      <w:tr>
        <w:trPr>
          <w:trHeight w:val="225" w:hRule="atLeast"/>
        </w:trPr>
        <w:tc>
          <w:tcPr>
            <w:tcW w:w="4180" w:type="dxa"/>
            <w:tcBorders>
              <w:bottom w:val="single" w:color="000000" w:sz="8"/>
              <w:right w:val="single" w:color="000000" w:sz="8"/>
            </w:tcBorders>
            <w:tcMar>
              <w:top w:w="30" w:type="dxa"/>
              <w:left w:w="30" w:type="dxa"/>
              <w:bottom w:w="15" w:type="dxa"/>
              <w:right w:w="30" w:type="dxa"/>
            </w:tcMar>
            <w:vAlign w:val="center"/>
          </w:tcPr>
          <w:p>
            <w:pPr>
              <w:spacing w:before="0" w:after="0"/>
              <w:ind w:left="520"/>
              <w:jc w:val="both"/>
            </w:pPr>
            <w:r>
              <w:rPr>
                <w:rFonts w:ascii="Times New Roman" w:hAnsi="Times New Roman"/>
                <w:b w:val="false"/>
                <w:i w:val="false"/>
                <w:color w:val="000000"/>
                <w:sz w:val="16"/>
              </w:rPr>
              <w:t>&gt;2.0 - 4.0</w:t>
            </w:r>
          </w:p>
        </w:tc>
        <w:tc>
          <w:tcPr>
            <w:tcW w:w="233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35.0%</w:t>
            </w:r>
          </w:p>
        </w:tc>
        <w:tc>
          <w:tcPr>
            <w:tcW w:w="233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25.0%</w:t>
            </w:r>
          </w:p>
        </w:tc>
        <w:tc>
          <w:tcPr>
            <w:tcW w:w="233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4180" w:type="dxa"/>
            <w:tcBorders>
              <w:bottom w:val="single" w:color="000000" w:sz="8"/>
              <w:right w:val="single" w:color="000000" w:sz="8"/>
            </w:tcBorders>
            <w:tcMar>
              <w:top w:w="30" w:type="dxa"/>
              <w:left w:w="30" w:type="dxa"/>
              <w:bottom w:w="15" w:type="dxa"/>
              <w:right w:w="30" w:type="dxa"/>
            </w:tcMar>
            <w:vAlign w:val="center"/>
          </w:tcPr>
          <w:p>
            <w:pPr>
              <w:spacing w:before="0" w:after="0"/>
              <w:ind w:left="520"/>
              <w:jc w:val="both"/>
            </w:pPr>
            <w:r>
              <w:rPr>
                <w:rFonts w:ascii="Times New Roman" w:hAnsi="Times New Roman"/>
                <w:b w:val="false"/>
                <w:i w:val="false"/>
                <w:color w:val="000000"/>
                <w:sz w:val="16"/>
              </w:rPr>
              <w:t>&gt;4.0 - 8.0</w:t>
            </w:r>
          </w:p>
        </w:tc>
        <w:tc>
          <w:tcPr>
            <w:tcW w:w="233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45.0%</w:t>
            </w:r>
          </w:p>
        </w:tc>
        <w:tc>
          <w:tcPr>
            <w:tcW w:w="233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35.0%</w:t>
            </w:r>
          </w:p>
        </w:tc>
        <w:tc>
          <w:tcPr>
            <w:tcW w:w="233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25.0%</w:t>
            </w:r>
          </w:p>
        </w:tc>
      </w:tr>
      <w:tr>
        <w:trPr>
          <w:trHeight w:val="225" w:hRule="atLeast"/>
        </w:trPr>
        <w:tc>
          <w:tcPr>
            <w:tcW w:w="4180" w:type="dxa"/>
            <w:tcBorders>
              <w:right w:val="single" w:color="000000" w:sz="8"/>
            </w:tcBorders>
            <w:tcMar>
              <w:top w:w="30" w:type="dxa"/>
              <w:left w:w="30" w:type="dxa"/>
              <w:bottom w:w="15" w:type="dxa"/>
              <w:right w:w="30" w:type="dxa"/>
            </w:tcMar>
            <w:vAlign w:val="center"/>
          </w:tcPr>
          <w:p>
            <w:pPr>
              <w:spacing w:before="0" w:after="0"/>
              <w:ind w:left="520"/>
              <w:jc w:val="both"/>
            </w:pPr>
            <w:r>
              <w:rPr>
                <w:rFonts w:ascii="Times New Roman" w:hAnsi="Times New Roman"/>
                <w:b w:val="false"/>
                <w:i w:val="false"/>
                <w:color w:val="000000"/>
                <w:sz w:val="16"/>
              </w:rPr>
              <w:t>&gt;8.0</w:t>
            </w:r>
          </w:p>
        </w:tc>
        <w:tc>
          <w:tcPr>
            <w:tcW w:w="233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w:t>
            </w:r>
          </w:p>
        </w:tc>
        <w:tc>
          <w:tcPr>
            <w:tcW w:w="233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233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Systems meeting at least one of the conditions in 43.6(3)</w:t>
      </w:r>
      <w:r>
        <w:rPr>
          <w:rFonts w:ascii="Times New Roman" w:hAnsi="Times New Roman"/>
          <w:b w:val="false"/>
          <w:i/>
          <w:color w:val="000000"/>
          <w:sz w:val="16"/>
        </w:rPr>
        <w:t>“a”</w:t>
      </w:r>
      <w:r>
        <w:rPr>
          <w:rFonts w:ascii="Times New Roman" w:hAnsi="Times New Roman"/>
          <w:b w:val="false"/>
          <w:i w:val="false"/>
          <w:color w:val="000000"/>
          <w:sz w:val="16"/>
        </w:rPr>
        <w:t>(2)“1” to “6” are not required to operate with enhanced coagulation.</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Softening systems meeting one of the alternative compliance criteria in 43.6(3)</w:t>
      </w:r>
      <w:r>
        <w:rPr>
          <w:rFonts w:ascii="Times New Roman" w:hAnsi="Times New Roman"/>
          <w:b w:val="false"/>
          <w:i/>
          <w:color w:val="000000"/>
          <w:sz w:val="16"/>
        </w:rPr>
        <w:t>“a”</w:t>
      </w:r>
      <w:r>
        <w:rPr>
          <w:rFonts w:ascii="Times New Roman" w:hAnsi="Times New Roman"/>
          <w:b w:val="false"/>
          <w:i w:val="false"/>
          <w:color w:val="000000"/>
          <w:sz w:val="16"/>
        </w:rPr>
        <w:t>(3) are not required to operate with enhanced softening.</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Systems practicing softening must meet the TOC removal requirements in this column.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and groundwater under the influence of surface water systems using conventional treatment that cannot achieve the Step 1 TOC removals required by </w:t>
      </w:r>
      <w:hyperlink r:id="rId276">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due to water quality parameters or operational constraints must apply to the department for approval of alternative minimum Step 2 TOC removal requirements submitted by the system within three months of failure to achieve the TOC removals required by </w:t>
      </w:r>
      <w:hyperlink r:id="rId277">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If the department approves the alternative minimum Step 2 TOC removal requirements, the department may make those requirements retroactive for the purposes of determining compliance. The system must meet the Step 1 TOC removals contained in </w:t>
      </w:r>
      <w:hyperlink r:id="rId278">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(2) until the department approves the alternate minimum Step 2 TOC removal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Alternate minimum Step 2 TOC removal requirements. Applications made to the department by enhanced coagulation systems for approval of alternate minimum Step 2 TOC removal requirements under </w:t>
      </w:r>
      <w:hyperlink r:id="rId279">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(3) must include, as a minimum, results of bench-scale or pilot-scale testing conducted under </w:t>
      </w:r>
      <w:hyperlink r:id="rId280">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(4)“1” below and be used to determine the alternate enhanced coagulation level.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Alternate enhanced coagulation level. Alternate enhanced coagulation level is defined as coagulation at a coagulant dose and pH as determined by the method described in </w:t>
      </w:r>
      <w:hyperlink r:id="rId281">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(4)“1” to “5” such that an incremental addition of 10 mg/L of alum (or equivalent amount of ferric salt) results in a TOC removal of less than or equal to 0.3 mg/L. The percent removal of TOC at this point on the “TOC removal versus coagulant dose” curve is then defined as the minimum TOC removal required for the system. Once approved by the department, this minimum requirement supersedes the minimum TOC removal required by the table in </w:t>
      </w:r>
      <w:hyperlink r:id="rId282">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(2). This requirement will be effective until such time as the department approves a new value based on the results of a new bench-scale or pilot-scale test. Failure to achieve department-set alternative minimum TOC removal levels is a treatment technique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Bench-scale or pilot-scale testing of enhanced coagulation must be conducted by using representative water samples and adding 10 mg/L increments of alum (or equivalent amounts of ferric salt) until the pH is reduced to a level less than or equal to the enhanced coagulation Step 2 target pH shown in the following table:</w:t>
      </w:r>
    </w:p>
    <w:p>
      <w:pPr>
        <w:spacing w:before="60" w:after="0"/>
        <w:ind w:left="120"/>
        <w:jc w:val="center"/>
      </w:pPr>
      <w:r>
        <w:rPr>
          <w:rFonts w:ascii="Times New Roman" w:hAnsi="Times New Roman"/>
          <w:b w:val="false"/>
          <w:i w:val="false"/>
          <w:color w:val="000000"/>
          <w:sz w:val="22"/>
        </w:rPr>
        <w:t>Enhanced Coagulation Step 2 Target pH</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071"/>
        <w:gridCol w:w="5119"/>
      </w:tblGrid>
      <w:tr>
        <w:trPr>
          <w:trHeight w:val="300" w:hRule="atLeast"/>
        </w:trPr>
        <w:tc>
          <w:tcPr>
            <w:tcW w:w="6071"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Alkalinity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6"/>
              </w:rPr>
              <w:t>)</w:t>
            </w:r>
          </w:p>
        </w:tc>
        <w:tc>
          <w:tcPr>
            <w:tcW w:w="5119"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Target pH</w:t>
            </w:r>
          </w:p>
        </w:tc>
      </w:tr>
      <w:tr>
        <w:trPr>
          <w:trHeight w:val="240" w:hRule="atLeast"/>
        </w:trPr>
        <w:tc>
          <w:tcPr>
            <w:tcW w:w="60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0-60</w:t>
            </w:r>
          </w:p>
        </w:tc>
        <w:tc>
          <w:tcPr>
            <w:tcW w:w="5119"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5.5</w:t>
            </w:r>
          </w:p>
        </w:tc>
      </w:tr>
      <w:tr>
        <w:trPr>
          <w:trHeight w:val="225" w:hRule="atLeast"/>
        </w:trPr>
        <w:tc>
          <w:tcPr>
            <w:tcW w:w="60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&gt;60-120</w:t>
            </w:r>
          </w:p>
        </w:tc>
        <w:tc>
          <w:tcPr>
            <w:tcW w:w="5119"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6.3</w:t>
            </w:r>
          </w:p>
        </w:tc>
      </w:tr>
      <w:tr>
        <w:trPr>
          <w:trHeight w:val="225" w:hRule="atLeast"/>
        </w:trPr>
        <w:tc>
          <w:tcPr>
            <w:tcW w:w="60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&gt;120-240</w:t>
            </w:r>
          </w:p>
        </w:tc>
        <w:tc>
          <w:tcPr>
            <w:tcW w:w="5119"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7.0</w:t>
            </w:r>
          </w:p>
        </w:tc>
      </w:tr>
      <w:tr>
        <w:trPr>
          <w:trHeight w:val="225" w:hRule="atLeast"/>
        </w:trPr>
        <w:tc>
          <w:tcPr>
            <w:tcW w:w="607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&gt;240</w:t>
            </w:r>
          </w:p>
        </w:tc>
        <w:tc>
          <w:tcPr>
            <w:tcW w:w="5119"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7.5</w:t>
            </w:r>
          </w:p>
        </w:tc>
      </w:tr>
    </w:tbl>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waters with alkalinities of less than 60 mg/L for which addition of small amounts of alum or equivalent addition of iron coagulant drives the pH below 5.5 before significant TOC removal occurs, the system must add necessary chemicals to maintain the pH between 5.3 and 5.7 in samples until the TOC removal of 0.3 mg/L per 10 mg/L alum added (or equivalent addition of iron coagulant) is reached.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system may operate at any coagulant dose or pH necessary (consistent with other public drinking water rules in </w:t>
      </w:r>
      <w:hyperlink r:id="rId283">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through </w:t>
      </w:r>
      <w:hyperlink r:id="rId284">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to achieve the minimum TOC percent removal approved under </w:t>
      </w:r>
      <w:hyperlink r:id="rId285">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the TOC removal is consistently less than 0.3 mg/L of TOC per 10 mg/L of incremental alum dose at all dosages of alum (or equivalent addition of iron coagulant), the water is deemed to contain TOC not amenable to enhanced coagulation. The system may then apply to the department for a waiver of enhanced coagulation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calculations.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or groundwater under the influence of surface water systems other than those identified in </w:t>
      </w:r>
      <w:hyperlink r:id="rId286">
        <w:r>
          <w:rPr>
            <w:rStyle w:val="Hyperlink"/>
            <w:rFonts w:ascii="Times New Roman" w:hAnsi="Times New Roman"/>
            <w:b w:val="false"/>
            <w:i w:val="false"/>
            <w:color w:val="000000"/>
            <w:sz w:val="22"/>
          </w:rPr>
          <w:t>43.6(3)</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(3) must comply with requirements contained in </w:t>
      </w:r>
      <w:hyperlink r:id="rId287">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(2) or (3). Systems must calculate compliance quarterly, beginning after the system has collected 12 months of data, by determining an annual average using the following method: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Step 1: Determine actual monthly TOC percent removal using the following equation, to two decimal places:</w:t>
      </w:r>
    </w:p>
    <w:tbl>
      <w:tblPr>
        <w:tblW w:w="5000" w:type="pct"/>
        <w:tblCellSpacing w:w="0" w:type="auto"/>
        <w:tblBorders>
          <w:top w:val="none"/>
          <w:left w:val="none"/>
          <w:bottom w:val="none"/>
          <w:right w:val="none"/>
          <w:insideH w:val="none"/>
          <w:insideV w:val="none"/>
        </w:tblBorders>
        <w:tblLayout w:type="fixed"/>
      </w:tblPr>
      <w:tblGrid>
        <w:gridCol w:w="4308"/>
        <w:gridCol w:w="556"/>
        <w:gridCol w:w="556"/>
        <w:gridCol w:w="556"/>
        <w:gridCol w:w="638"/>
        <w:gridCol w:w="2354"/>
        <w:gridCol w:w="637"/>
        <w:gridCol w:w="555"/>
        <w:gridCol w:w="1029"/>
      </w:tblGrid>
      <w:tr>
        <w:trPr>
          <w:trHeight w:val="225" w:hRule="atLeast"/>
        </w:trPr>
        <w:tc>
          <w:tcPr>
            <w:tcW w:w="430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Actual monthly TOC percent removal</w:t>
            </w:r>
          </w:p>
        </w:tc>
        <w:tc>
          <w:tcPr>
            <w:tcW w:w="5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5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3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48"/>
              </w:rPr>
              <w:t>(</w:t>
            </w:r>
          </w:p>
        </w:tc>
        <w:tc>
          <w:tcPr>
            <w:tcW w:w="235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treated water TOC</w:t>
            </w:r>
          </w:p>
        </w:tc>
        <w:tc>
          <w:tcPr>
            <w:tcW w:w="63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48"/>
              </w:rPr>
              <w:t>)</w:t>
            </w:r>
          </w:p>
        </w:tc>
        <w:tc>
          <w:tcPr>
            <w:tcW w:w="55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29"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345" w:hRule="atLeast"/>
        </w:trPr>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23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source water TOC</w:t>
            </w: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Step 2: Determine the required monthly TOC percent removal from either </w:t>
      </w:r>
      <w:hyperlink r:id="rId288">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(2) or (3).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Step 3: Divide the “actual monthly TOC percent removal” value (from Step 1) by the “required monthly TOC percent removal” value (from Step 2). Determine this value for each of the last 12 months.</w:t>
      </w:r>
    </w:p>
    <w:tbl>
      <w:tblPr>
        <w:tblW w:w="5000" w:type="pct"/>
        <w:tblCellSpacing w:w="0" w:type="auto"/>
        <w:tblBorders>
          <w:top w:val="none"/>
          <w:left w:val="none"/>
          <w:bottom w:val="none"/>
          <w:right w:val="none"/>
          <w:insideH w:val="none"/>
          <w:insideV w:val="none"/>
        </w:tblBorders>
        <w:tblLayout w:type="fixed"/>
      </w:tblPr>
      <w:tblGrid>
        <w:gridCol w:w="4583"/>
        <w:gridCol w:w="957"/>
        <w:gridCol w:w="5650"/>
      </w:tblGrid>
      <w:tr>
        <w:trPr>
          <w:trHeight w:val="225" w:hRule="atLeast"/>
        </w:trPr>
        <w:tc>
          <w:tcPr>
            <w:tcW w:w="4583"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Monthly percent removal ratio</w:t>
            </w:r>
          </w:p>
        </w:tc>
        <w:tc>
          <w:tcPr>
            <w:tcW w:w="95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65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actual monthly TOC percent removal</w:t>
            </w:r>
          </w:p>
        </w:tc>
      </w:tr>
      <w:tr>
        <w:trPr>
          <w:trHeight w:val="225" w:hRule="atLeast"/>
        </w:trPr>
        <w:tc>
          <w:tcPr>
            <w:tcW w:w="0" w:type="auto"/>
            <w:vMerge/>
            <w:tcBorders>
              <w:top w:val="nil"/>
            </w:tcBorders>
          </w:tcPr>
          <w:p/>
        </w:tc>
        <w:tc>
          <w:tcPr>
            <w:tcW w:w="0" w:type="auto"/>
            <w:vMerge/>
            <w:tcBorders>
              <w:top w:val="nil"/>
            </w:tcBorders>
          </w:tcPr>
          <w:p/>
        </w:tc>
        <w:tc>
          <w:tcPr>
            <w:tcW w:w="5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required monthly TOC percent removal</w:t>
            </w:r>
          </w:p>
        </w:tc>
      </w:tr>
    </w:tbl>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Step 4: Add together the “monthly percent removal ratio” values from Step 3 for each of the last 12 months and divide by 12, to determine the annual average value.</w:t>
      </w:r>
    </w:p>
    <w:tbl>
      <w:tblPr>
        <w:tblW w:w="5000" w:type="pct"/>
        <w:tblCellSpacing w:w="0" w:type="auto"/>
        <w:tblBorders>
          <w:top w:val="none"/>
          <w:left w:val="none"/>
          <w:bottom w:val="none"/>
          <w:right w:val="none"/>
          <w:insideH w:val="none"/>
          <w:insideV w:val="none"/>
        </w:tblBorders>
        <w:tblLayout w:type="fixed"/>
      </w:tblPr>
      <w:tblGrid>
        <w:gridCol w:w="4930"/>
        <w:gridCol w:w="993"/>
        <w:gridCol w:w="5267"/>
      </w:tblGrid>
      <w:tr>
        <w:trPr>
          <w:trHeight w:val="225" w:hRule="atLeast"/>
        </w:trPr>
        <w:tc>
          <w:tcPr>
            <w:tcW w:w="4930"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Annual average</w:t>
            </w:r>
          </w:p>
        </w:tc>
        <w:tc>
          <w:tcPr>
            <w:tcW w:w="993"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2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Σ monthly percent removal ratio</w:t>
            </w:r>
          </w:p>
        </w:tc>
      </w:tr>
      <w:tr>
        <w:trPr>
          <w:trHeight w:val="225" w:hRule="atLeast"/>
        </w:trPr>
        <w:tc>
          <w:tcPr>
            <w:tcW w:w="0" w:type="auto"/>
            <w:vMerge/>
            <w:tcBorders>
              <w:top w:val="nil"/>
            </w:tcBorders>
          </w:tcPr>
          <w:p/>
        </w:tc>
        <w:tc>
          <w:tcPr>
            <w:tcW w:w="0" w:type="auto"/>
            <w:vMerge/>
            <w:tcBorders>
              <w:top w:val="nil"/>
            </w:tcBorders>
          </w:tcPr>
          <w:p/>
        </w:tc>
        <w:tc>
          <w:tcPr>
            <w:tcW w:w="5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bl>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Step 5: If the “annual average” value calculated in Step 4 is less than 1.00, the system is not in compliance with the TOC percent removal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may use the provisions in </w:t>
      </w:r>
      <w:hyperlink r:id="rId289">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(2)“1” through “5” in lieu of the calculations in </w:t>
      </w:r>
      <w:hyperlink r:id="rId290">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(1)“1” through “5” to determine compliance with TOC percent removal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 any month that the system’s treated or source water TOC level, measured according to </w:t>
      </w:r>
      <w:hyperlink r:id="rId291">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(1), is less than 2.0 mg/L, the system may assign a monthly value of 1.0 (in lieu of the value calculated in </w:t>
      </w:r>
      <w:hyperlink r:id="rId292">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(1)“3”) when calculating compliance under the provisions of </w:t>
      </w:r>
      <w:hyperlink r:id="rId293">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any month that a system practicing softening removes at least 10 mg/L of magnesium hardness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xml:space="preserve">, the system may assign a monthly value of 1.0 (in lieu of the value calculated in </w:t>
      </w:r>
      <w:hyperlink r:id="rId294">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(1)“3”) when calculating compliance under the provisions of </w:t>
      </w:r>
      <w:hyperlink r:id="rId295">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 any month that the system’s source water SUVA, prior to any treatment and measured according to </w:t>
      </w:r>
      <w:hyperlink r:id="rId296">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(2), is less than or equal to 2.0 L/mg-m, the system may assign a monthly value of 1.0 (in lieu of the value calculated in </w:t>
      </w:r>
      <w:hyperlink r:id="rId297">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(1)“3”) when calculating compliance under the provisions of </w:t>
      </w:r>
      <w:hyperlink r:id="rId298">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 any month that the system’s finished water SUVA, measured according to </w:t>
      </w:r>
      <w:hyperlink r:id="rId299">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(2), is less than or equal to 2.0 L/mg-m, the system may assign a monthly value of 1.0 (in lieu of the value calculated in </w:t>
      </w:r>
      <w:hyperlink r:id="rId300">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(1)“3”) when calculating compliance under the provisions of </w:t>
      </w:r>
      <w:hyperlink r:id="rId301">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any month that a system using enhanced softening lowers alkalinity below 60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xml:space="preserve">, the system may assign a monthly value of 1.0 (in lieu of the value calculated in </w:t>
      </w:r>
      <w:hyperlink r:id="rId302">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(1)“3”) when calculating compliance under the provisions of </w:t>
      </w:r>
      <w:hyperlink r:id="rId303">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or groundwater under the direct influence of surface water systems using conventional treatment may also comply with the requirements of this subrule by meeting the criteria in </w:t>
      </w:r>
      <w:hyperlink r:id="rId304">
        <w:r>
          <w:rPr>
            <w:rStyle w:val="Hyperlink"/>
            <w:rFonts w:ascii="Times New Roman" w:hAnsi="Times New Roman"/>
            <w:b w:val="false"/>
            <w:i w:val="false"/>
            <w:color w:val="000000"/>
            <w:sz w:val="22"/>
          </w:rPr>
          <w:t>43.6(3)</w:t>
        </w:r>
      </w:hyperlink>
      <w:r>
        <w:rPr>
          <w:rFonts w:ascii="Times New Roman" w:hAnsi="Times New Roman"/>
          <w:b w:val="false"/>
          <w:i/>
          <w:color w:val="000000"/>
          <w:sz w:val="22"/>
        </w:rPr>
        <w:t>“a”</w:t>
      </w:r>
      <w:r>
        <w:rPr>
          <w:rFonts w:ascii="Times New Roman" w:hAnsi="Times New Roman"/>
          <w:b w:val="false"/>
          <w:i w:val="false"/>
          <w:color w:val="000000"/>
          <w:sz w:val="22"/>
        </w:rPr>
        <w:t>(2)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requirements for disinfection byproduct precursors. </w:t>
      </w:r>
      <w:r>
        <w:rPr>
          <w:rFonts w:ascii="Times New Roman" w:hAnsi="Times New Roman"/>
          <w:b w:val="false"/>
          <w:i w:val="false"/>
          <w:color w:val="000000"/>
          <w:sz w:val="22"/>
        </w:rPr>
        <w:t>The treatment techniques to control the level of disinfection byproduct precursors in drinking water treatment and distribution systems, for surface water or groundwater under the direct influence of surface water systems using conventional filtration treatment, are enhanced coagulation or enhanced softening.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567—43.7</w:t>
      </w:r>
      <w:r>
        <w:rPr>
          <w:rFonts w:ascii="Times New Roman" w:hAnsi="Times New Roman"/>
          <w:b/>
          <w:i w:val="false"/>
          <w:color w:val="000000"/>
          <w:sz w:val="22"/>
        </w:rPr>
        <w:t xml:space="preserve">(455B) </w:t>
      </w:r>
      <w:r>
        <w:rPr>
          <w:rFonts w:ascii="Times New Roman" w:hAnsi="Times New Roman"/>
          <w:b/>
          <w:i w:val="false"/>
          <w:color w:val="000000"/>
          <w:sz w:val="22"/>
        </w:rPr>
        <w:t xml:space="preserve">Lead and copper treatment techniques.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43.7(1)</w:t>
      </w:r>
      <w:r>
        <w:rPr>
          <w:rFonts w:ascii="Times New Roman" w:hAnsi="Times New Roman"/>
          <w:b w:val="false"/>
          <w:i w:val="false"/>
          <w:color w:val="000000"/>
          <w:sz w:val="22"/>
        </w:rPr>
        <w:t> </w:t>
      </w:r>
      <w:r>
        <w:rPr>
          <w:rFonts w:ascii="Times New Roman" w:hAnsi="Times New Roman"/>
          <w:b w:val="false"/>
          <w:i/>
          <w:color w:val="000000"/>
          <w:sz w:val="22"/>
        </w:rPr>
        <w:t xml:space="preserve">Corrosion control treatment for lead and copper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Systems shall complete the applicable corrosion control treatment requirements by the deadlines specified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Large systems serving more than 50,000 persons. A large system (serving greater than 50,000 persons) shall complete the corrosion control treatment steps specified in </w:t>
      </w:r>
      <w:hyperlink r:id="rId305">
        <w:r>
          <w:rPr>
            <w:rStyle w:val="Hyperlink"/>
            <w:rFonts w:ascii="Times New Roman" w:hAnsi="Times New Roman"/>
            <w:b w:val="false"/>
            <w:i w:val="false"/>
            <w:color w:val="000000"/>
            <w:sz w:val="22"/>
          </w:rPr>
          <w:t>43.7(1)</w:t>
        </w:r>
      </w:hyperlink>
      <w:r>
        <w:rPr>
          <w:rFonts w:ascii="Times New Roman" w:hAnsi="Times New Roman"/>
          <w:b w:val="false"/>
          <w:i/>
          <w:color w:val="000000"/>
          <w:sz w:val="22"/>
        </w:rPr>
        <w:t>“d,”</w:t>
      </w:r>
      <w:r>
        <w:rPr>
          <w:rFonts w:ascii="Times New Roman" w:hAnsi="Times New Roman"/>
          <w:b w:val="false"/>
          <w:i w:val="false"/>
          <w:color w:val="000000"/>
          <w:sz w:val="22"/>
        </w:rPr>
        <w:t xml:space="preserve"> unless the system is deemed to have optimized corrosion control under </w:t>
      </w:r>
      <w:hyperlink r:id="rId306">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and medium-size systems serving 50,000 or fewer persons. A small system (serving less than or equal to 3,300 persons) or a medium-size system (serving greater than 3,300 and less than or equal to 50,000 persons) shall complete the corrosion control treatment steps specified in </w:t>
      </w:r>
      <w:hyperlink r:id="rId307">
        <w:r>
          <w:rPr>
            <w:rStyle w:val="Hyperlink"/>
            <w:rFonts w:ascii="Times New Roman" w:hAnsi="Times New Roman"/>
            <w:b w:val="false"/>
            <w:i w:val="false"/>
            <w:color w:val="000000"/>
            <w:sz w:val="22"/>
          </w:rPr>
          <w:t>43.7(1)</w:t>
        </w:r>
      </w:hyperlink>
      <w:r>
        <w:rPr>
          <w:rFonts w:ascii="Times New Roman" w:hAnsi="Times New Roman"/>
          <w:b w:val="false"/>
          <w:i/>
          <w:color w:val="000000"/>
          <w:sz w:val="22"/>
        </w:rPr>
        <w:t>“e,”</w:t>
      </w:r>
      <w:r>
        <w:rPr>
          <w:rFonts w:ascii="Times New Roman" w:hAnsi="Times New Roman"/>
          <w:b w:val="false"/>
          <w:i w:val="false"/>
          <w:color w:val="000000"/>
          <w:sz w:val="22"/>
        </w:rPr>
        <w:t xml:space="preserve"> unless the system has optimized corrosion control under </w:t>
      </w:r>
      <w:hyperlink r:id="rId308">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(1), (2),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that a system has optimized corrosion control. </w:t>
      </w:r>
      <w:r>
        <w:rPr>
          <w:rFonts w:ascii="Times New Roman" w:hAnsi="Times New Roman"/>
          <w:b w:val="false"/>
          <w:i w:val="false"/>
          <w:color w:val="000000"/>
          <w:sz w:val="22"/>
        </w:rPr>
        <w:t xml:space="preserve">A public water supply system has optimized corrosion control and is not required to complete the applicable corrosion control treatment steps identified in this subrule if the system satisfies one of the criteria specified in subparagraphs </w:t>
      </w:r>
      <w:hyperlink r:id="rId309">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(1) through (3). Any such system deemed to have optimized corrosion control under this paragraph and which has treatment in place shall continue to operate and maintain optimal corrosion control treatment and meet any requirements that the department determines appropriate to ensure optimal corrosion control treatment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or medium-size water supply system has optimized corrosion control if the system meets the lead and copper action levels during each of two consecutive six-month monitoring periods, conducted in accordance with 567—paragraph </w:t>
      </w:r>
      <w:hyperlink r:id="rId31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public water supply system may be deemed to have optimized corrosion control treatment if the system demonstrates to the satisfaction of the department that it has conducted activities equivalent to the corrosion control steps applicable to such system under this subrule. If the department makes this determination, it shall provide the water supply system with written notice explaining the basis for its decision and shall specify the water quality control parameters representing optimal corrosion control in accordance with </w:t>
      </w:r>
      <w:hyperlink r:id="rId311">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Systems deemed to have optimized corrosion control under this paragraph shall operate in compliance with the department-designated optimal water quality control parameters in accordance with paragraph </w:t>
      </w:r>
      <w:hyperlink r:id="rId312">
        <w:r>
          <w:rPr>
            <w:rStyle w:val="Hyperlink"/>
            <w:rFonts w:ascii="Times New Roman" w:hAnsi="Times New Roman"/>
            <w:b w:val="false"/>
            <w:i w:val="false"/>
            <w:color w:val="000000"/>
            <w:sz w:val="22"/>
          </w:rPr>
          <w:t>43.7(1)</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continue to conduct lead and copper tap and water quality parameter sampling in accordance with 567—paragraph </w:t>
      </w:r>
      <w:hyperlink r:id="rId31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and 567—subparagraph </w:t>
      </w:r>
      <w:hyperlink r:id="rId314">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(4), respectively. A system shall provide the department with the following information in order to support a determination under this 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results of all test samples collected for each of the water quality parameters in </w:t>
      </w:r>
      <w:hyperlink r:id="rId315">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report explaining the test methods used by the water system to evaluate the corrosion control treatments listed in </w:t>
      </w:r>
      <w:hyperlink r:id="rId316">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(1), the results of all tests conducted, and the basis for the system’s selection of optimal corrosion control treatment;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report explaining how corrosion control was installed and how it is being maintained to ensure minimal lead and copper concentrations at consumers’ taps;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results of tap water samples collected in accordance with 567—paragraph </w:t>
      </w:r>
      <w:hyperlink r:id="rId31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at least once every six months for one year after corrosion control has been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water system has optimized corrosion control if it submits results of tap water monitoring conducted in accordance with 567—paragraph </w:t>
      </w:r>
      <w:hyperlink r:id="rId31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source water monitoring conducted in accordance with 567—paragraph </w:t>
      </w:r>
      <w:hyperlink r:id="rId319">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 xml:space="preserve"> that demonstrate for two consecutive six-month monitoring periods that the difference between the 90th percentile tap water lead level computed under 567—subparagraph </w:t>
      </w:r>
      <w:hyperlink r:id="rId320">
        <w:r>
          <w:rPr>
            <w:rStyle w:val="Hyperlink"/>
            <w:rFonts w:ascii="Times New Roman" w:hAnsi="Times New Roman"/>
            <w:b w:val="false"/>
            <w:i w:val="false"/>
            <w:color w:val="000000"/>
            <w:sz w:val="22"/>
          </w:rPr>
          <w:t>41.4(1)</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the highest source water lead concentration is less than the practical quantitation level for lead specified in 567—paragraph </w:t>
      </w:r>
      <w:hyperlink r:id="rId321">
        <w:r>
          <w:rPr>
            <w:rStyle w:val="Hyperlink"/>
            <w:rFonts w:ascii="Times New Roman" w:hAnsi="Times New Roman"/>
            <w:b w:val="false"/>
            <w:i w:val="false"/>
            <w:color w:val="000000"/>
            <w:sz w:val="22"/>
          </w:rPr>
          <w:t>41.4(1)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Those systems whose highest source water lead level is below the method detection limit may also be deemed to have optimized corrosion control under this paragraph if the 90th percentile tap water lead level is less than or equal to the practical quantitation level for lead for two consecutive six-month monitoring periods.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water system deemed to have optimized corrosion control in accordance with this paragraph shall continue monitoring for lead and copper at the tap no less frequently than once every three calendar years using the reduced number of sites specified in 567—subparagraph </w:t>
      </w:r>
      <w:hyperlink r:id="rId32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and collecting the samples at times and locations specified in 567—paragraph </w:t>
      </w:r>
      <w:hyperlink r:id="rId32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(4)“4,” fourth bulleted paragraph.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water system deemed to have optimized corrosion control pursuant to this paragraph shall notify the department in writing pursuant to 567—subparagraph </w:t>
      </w:r>
      <w:hyperlink r:id="rId324">
        <w:r>
          <w:rPr>
            <w:rStyle w:val="Hyperlink"/>
            <w:rFonts w:ascii="Times New Roman" w:hAnsi="Times New Roman"/>
            <w:b w:val="false"/>
            <w:i w:val="false"/>
            <w:color w:val="000000"/>
            <w:sz w:val="22"/>
          </w:rPr>
          <w:t>42.4(2)</w:t>
        </w:r>
      </w:hyperlink>
      <w:r>
        <w:rPr>
          <w:rFonts w:ascii="Times New Roman" w:hAnsi="Times New Roman"/>
          <w:b w:val="false"/>
          <w:i/>
          <w:color w:val="000000"/>
          <w:sz w:val="22"/>
        </w:rPr>
        <w:t>“a”</w:t>
      </w:r>
      <w:r>
        <w:rPr>
          <w:rFonts w:ascii="Times New Roman" w:hAnsi="Times New Roman"/>
          <w:b w:val="false"/>
          <w:i w:val="false"/>
          <w:color w:val="000000"/>
          <w:sz w:val="22"/>
        </w:rPr>
        <w:t>(3) of any upcoming long-term change in treatment or the addition of a new source as described in 567—subparagraph 42.4(2)</w:t>
      </w:r>
      <w:r>
        <w:rPr>
          <w:rFonts w:ascii="Times New Roman" w:hAnsi="Times New Roman"/>
          <w:b w:val="false"/>
          <w:i/>
          <w:color w:val="000000"/>
          <w:sz w:val="22"/>
        </w:rPr>
        <w:t>“a”</w:t>
      </w:r>
      <w:r>
        <w:rPr>
          <w:rFonts w:ascii="Times New Roman" w:hAnsi="Times New Roman"/>
          <w:b w:val="false"/>
          <w:i w:val="false"/>
          <w:color w:val="000000"/>
          <w:sz w:val="22"/>
        </w:rPr>
        <w:t>(3). The department must review and approve the addition of a new source or long-term change in water treatment before it is implemented by the water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Unless a system meets the copper action level, it is not deemed to have optimized corrosion control under this paragraph and shall implement corrosion control treatment pursuant to </w:t>
      </w:r>
      <w:hyperlink r:id="rId325">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(3)“5.”</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Any system triggered into corrosion control because it is no longer deemed to have optimized corrosion control under this paragraph shall implement corrosion control treatment in accordance with the deadlines in paragraph </w:t>
      </w:r>
      <w:hyperlink r:id="rId326">
        <w:r>
          <w:rPr>
            <w:rStyle w:val="Hyperlink"/>
            <w:rFonts w:ascii="Times New Roman" w:hAnsi="Times New Roman"/>
            <w:b w:val="false"/>
            <w:i w:val="false"/>
            <w:color w:val="000000"/>
            <w:sz w:val="22"/>
          </w:rPr>
          <w:t>43.7(1)</w:t>
        </w:r>
      </w:hyperlink>
      <w:r>
        <w:rPr>
          <w:rFonts w:ascii="Times New Roman" w:hAnsi="Times New Roman"/>
          <w:b w:val="false"/>
          <w:i/>
          <w:color w:val="000000"/>
          <w:sz w:val="22"/>
        </w:rPr>
        <w:t>“e.”</w:t>
      </w:r>
      <w:r>
        <w:rPr>
          <w:rFonts w:ascii="Times New Roman" w:hAnsi="Times New Roman"/>
          <w:b w:val="false"/>
          <w:i w:val="false"/>
          <w:color w:val="000000"/>
          <w:sz w:val="22"/>
        </w:rPr>
        <w:t xml:space="preserve"> Any such large system shall adhere to the schedule specified in that paragraph for medium-size systems, with the time periods for completing each step being triggered by the date the system is no longer deemed to have optimized corrosion control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Requirements to recommence corrosion control steps. </w:t>
      </w:r>
      <w:r>
        <w:rPr>
          <w:rFonts w:ascii="Times New Roman" w:hAnsi="Times New Roman"/>
          <w:b w:val="false"/>
          <w:i w:val="false"/>
          <w:color w:val="000000"/>
          <w:sz w:val="22"/>
        </w:rPr>
        <w:t xml:space="preserve">Any small or medium-size water system that is required to complete the corrosion control steps due to its exceedance of the lead or copper action level may cease completing the treatment steps whenever the system meets both action levels during each of two consecutive monitoring periods conducted pursuant to 567—paragraph </w:t>
      </w:r>
      <w:hyperlink r:id="rId32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submits the results to the department. If any such water system thereafter exceeds the lead or copper action level during any monitoring period, the system shall recommence completion of the applicable treatment steps, beginning with the first treatment step which was not previously completed in its entirety. The department may require a system to repeat treatment steps previously completed by the system when it is determined by the department that this is necessary to implement properly the treatment requirements of this rule. The department will notify the system in writing of such a determination and explain the basis for its decision. The requirement for any small or medium-size system to implement corrosion control treatment steps in accordance with </w:t>
      </w:r>
      <w:hyperlink r:id="rId328">
        <w:r>
          <w:rPr>
            <w:rStyle w:val="Hyperlink"/>
            <w:rFonts w:ascii="Times New Roman" w:hAnsi="Times New Roman"/>
            <w:b w:val="false"/>
            <w:i w:val="false"/>
            <w:color w:val="000000"/>
            <w:sz w:val="22"/>
          </w:rPr>
          <w:t>43.7(1)</w:t>
        </w:r>
      </w:hyperlink>
      <w:r>
        <w:rPr>
          <w:rFonts w:ascii="Times New Roman" w:hAnsi="Times New Roman"/>
          <w:b w:val="false"/>
          <w:i/>
          <w:color w:val="000000"/>
          <w:sz w:val="22"/>
        </w:rPr>
        <w:t>“e”</w:t>
      </w:r>
      <w:r>
        <w:rPr>
          <w:rFonts w:ascii="Times New Roman" w:hAnsi="Times New Roman"/>
          <w:b w:val="false"/>
          <w:i w:val="false"/>
          <w:color w:val="000000"/>
          <w:sz w:val="22"/>
        </w:rPr>
        <w:t xml:space="preserve"> (including systems deemed to have optimized corrosion control under </w:t>
      </w:r>
      <w:hyperlink r:id="rId329">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(1)) is triggered whenever any small or medium-size system exceeds the lead or copper action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steps and deadlines for large systems. </w:t>
      </w:r>
      <w:r>
        <w:rPr>
          <w:rFonts w:ascii="Times New Roman" w:hAnsi="Times New Roman"/>
          <w:b w:val="false"/>
          <w:i w:val="false"/>
          <w:color w:val="000000"/>
          <w:sz w:val="22"/>
        </w:rPr>
        <w:t xml:space="preserve">Except as provided in </w:t>
      </w:r>
      <w:hyperlink r:id="rId330">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(3), large systems shall complete the following corrosion control treatment steps (described in the referenced portions of </w:t>
      </w:r>
      <w:hyperlink r:id="rId331">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 xml:space="preserve"> subrule </w:t>
      </w:r>
      <w:hyperlink r:id="rId332">
        <w:r>
          <w:rPr>
            <w:rStyle w:val="Hyperlink"/>
            <w:rFonts w:ascii="Times New Roman" w:hAnsi="Times New Roman"/>
            <w:b w:val="false"/>
            <w:i w:val="false"/>
            <w:color w:val="000000"/>
            <w:sz w:val="22"/>
          </w:rPr>
          <w:t>43.7(2)</w:t>
        </w:r>
      </w:hyperlink>
      <w:r>
        <w:rPr>
          <w:rFonts w:ascii="Times New Roman" w:hAnsi="Times New Roman"/>
          <w:b w:val="false"/>
          <w:i w:val="false"/>
          <w:color w:val="000000"/>
          <w:sz w:val="22"/>
        </w:rPr>
        <w:t xml:space="preserve">, and 567—paragraphs </w:t>
      </w:r>
      <w:hyperlink r:id="rId33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by the dates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Step 1. The system shall conduct initial monitoring pursuant to 567—paragraph </w:t>
      </w:r>
      <w:hyperlink r:id="rId33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(4)“1” and 567—subparagraph </w:t>
      </w:r>
      <w:hyperlink r:id="rId335">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(2) during two consecutive six-month monitoring periods by January 1, 1993.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 2. The system shall complete corrosion control studies pursuant to </w:t>
      </w:r>
      <w:hyperlink r:id="rId336">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by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Step 3. The department will designate optimal corrosion control treatment within six months of receiving the corrosion control study results (by January 1,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Step 4. The system shall install optimal corrosion control treatment by January 1, 1997.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Step 5. The system shall complete follow-up sampling pursuant to 567—paragraph </w:t>
      </w:r>
      <w:hyperlink r:id="rId33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(4)“2” and 567—subparagraph </w:t>
      </w:r>
      <w:hyperlink r:id="rId338">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(3) by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Step 6. The department will review installation of treatment and designate optimal water quality control parameters pursuant to </w:t>
      </w:r>
      <w:hyperlink r:id="rId339">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by July 1,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Step 7. The system shall operate in compliance with optimal water quality control parameters delineated by the department and continue to conduct tap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Treatment steps and deadlines for small and medium-size systems. </w:t>
      </w:r>
      <w:r>
        <w:rPr>
          <w:rFonts w:ascii="Times New Roman" w:hAnsi="Times New Roman"/>
          <w:b w:val="false"/>
          <w:i w:val="false"/>
          <w:color w:val="000000"/>
          <w:sz w:val="22"/>
        </w:rPr>
        <w:t xml:space="preserve">Except as provided in </w:t>
      </w:r>
      <w:hyperlink r:id="rId340">
        <w:r>
          <w:rPr>
            <w:rStyle w:val="Hyperlink"/>
            <w:rFonts w:ascii="Times New Roman" w:hAnsi="Times New Roman"/>
            <w:b w:val="false"/>
            <w:i w:val="false"/>
            <w:color w:val="000000"/>
            <w:sz w:val="22"/>
          </w:rPr>
          <w:t>43.7(2)</w:t>
        </w:r>
      </w:hyperlink>
      <w:r>
        <w:rPr>
          <w:rFonts w:ascii="Times New Roman" w:hAnsi="Times New Roman"/>
          <w:b w:val="false"/>
          <w:i w:val="false"/>
          <w:color w:val="000000"/>
          <w:sz w:val="22"/>
        </w:rPr>
        <w:t xml:space="preserve">, small and medium-size systems shall complete the following corrosion control treatment steps (described in subrule </w:t>
      </w:r>
      <w:hyperlink r:id="rId341">
        <w:r>
          <w:rPr>
            <w:rStyle w:val="Hyperlink"/>
            <w:rFonts w:ascii="Times New Roman" w:hAnsi="Times New Roman"/>
            <w:b w:val="false"/>
            <w:i w:val="false"/>
            <w:color w:val="000000"/>
            <w:sz w:val="22"/>
          </w:rPr>
          <w:t>43.7(2)</w:t>
        </w:r>
      </w:hyperlink>
      <w:r>
        <w:rPr>
          <w:rFonts w:ascii="Times New Roman" w:hAnsi="Times New Roman"/>
          <w:b w:val="false"/>
          <w:i w:val="false"/>
          <w:color w:val="000000"/>
          <w:sz w:val="22"/>
        </w:rPr>
        <w:t xml:space="preserve"> and 567—paragraphs </w:t>
      </w:r>
      <w:hyperlink r:id="rId34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by the indicated time periods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Step 1. The system shall conduct initial tap sampling pursuant to 567—paragraph </w:t>
      </w:r>
      <w:hyperlink r:id="rId34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(4)“1” and 567—subparagraph </w:t>
      </w:r>
      <w:hyperlink r:id="rId344">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(2) until the system either exceeds the lead or copper action level or becomes eligible for reduced monitoring under 567—paragraph </w:t>
      </w:r>
      <w:hyperlink r:id="rId34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A system exceeding the lead or copper action level shall recommend optimal corrosion control treatment under </w:t>
      </w:r>
      <w:hyperlink r:id="rId346">
        <w:r>
          <w:rPr>
            <w:rStyle w:val="Hyperlink"/>
            <w:rFonts w:ascii="Times New Roman" w:hAnsi="Times New Roman"/>
            <w:b w:val="false"/>
            <w:i w:val="false"/>
            <w:color w:val="000000"/>
            <w:sz w:val="22"/>
          </w:rPr>
          <w:t>43.7(2)</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within six months after the end of the monitoring period during which it exceeds one of the action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 2. Within 12 months after the end of the monitoring period during which a system exceeds the lead or copper action level, the department may require the system to perform corrosion control studies under </w:t>
      </w:r>
      <w:hyperlink r:id="rId347">
        <w:r>
          <w:rPr>
            <w:rStyle w:val="Hyperlink"/>
            <w:rFonts w:ascii="Times New Roman" w:hAnsi="Times New Roman"/>
            <w:b w:val="false"/>
            <w:i w:val="false"/>
            <w:color w:val="000000"/>
            <w:sz w:val="22"/>
          </w:rPr>
          <w:t>43.7(2)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system is not required to perform such studies, the department will specify optimal corrosion control treatment under </w:t>
      </w:r>
      <w:hyperlink r:id="rId348">
        <w:r>
          <w:rPr>
            <w:rStyle w:val="Hyperlink"/>
            <w:rFonts w:ascii="Times New Roman" w:hAnsi="Times New Roman"/>
            <w:b w:val="false"/>
            <w:i w:val="false"/>
            <w:color w:val="000000"/>
            <w:sz w:val="22"/>
          </w:rPr>
          <w:t>43.7(2)</w:t>
        </w:r>
      </w:hyperlink>
      <w:r>
        <w:rPr>
          <w:rFonts w:ascii="Times New Roman" w:hAnsi="Times New Roman"/>
          <w:b w:val="false"/>
          <w:i/>
          <w:color w:val="000000"/>
          <w:sz w:val="22"/>
        </w:rPr>
        <w:t>“d”</w:t>
      </w:r>
      <w:r>
        <w:rPr>
          <w:rFonts w:ascii="Times New Roman" w:hAnsi="Times New Roman"/>
          <w:b w:val="false"/>
          <w:i w:val="false"/>
          <w:color w:val="000000"/>
          <w:sz w:val="22"/>
        </w:rPr>
        <w:t xml:space="preserve"> as follows: for medium-size systems, within 18 months after the end of the monitoring period during which such system exceeds the lead or copper action level, and, for small systems, within 24 months after the end of the monitoring period during which such system exceeds the lead or copper action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Step 3. If a system is required to perform corrosion control studies under Step 2, the system shall complete the studies (under </w:t>
      </w:r>
      <w:hyperlink r:id="rId349">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within 18 months after such studies are required to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Step 4. If the system has performed corrosion control studies under Step 2, the department will designate optimal corrosion control treatment under </w:t>
      </w:r>
      <w:hyperlink r:id="rId350">
        <w:r>
          <w:rPr>
            <w:rStyle w:val="Hyperlink"/>
            <w:rFonts w:ascii="Times New Roman" w:hAnsi="Times New Roman"/>
            <w:b w:val="false"/>
            <w:i w:val="false"/>
            <w:color w:val="000000"/>
            <w:sz w:val="22"/>
          </w:rPr>
          <w:t>43.7(2)</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six months after completion of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Step 5. The system shall install optimal corrosion control treatment under </w:t>
      </w:r>
      <w:hyperlink r:id="rId351">
        <w:r>
          <w:rPr>
            <w:rStyle w:val="Hyperlink"/>
            <w:rFonts w:ascii="Times New Roman" w:hAnsi="Times New Roman"/>
            <w:b w:val="false"/>
            <w:i w:val="false"/>
            <w:color w:val="000000"/>
            <w:sz w:val="22"/>
          </w:rPr>
          <w:t>43.7(2)</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within 24 months after such treatment is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Step 6. The system shall complete follow-up sampling pursuant to 567—paragraph </w:t>
      </w:r>
      <w:hyperlink r:id="rId35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(4)“2” and 567—subparagraph </w:t>
      </w:r>
      <w:hyperlink r:id="rId353">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(3) within 36 months after optimal corrosion control treatment is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Step 7. The department will review the system’s installation of treatment and designate optimal water quality control parameters pursuant to </w:t>
      </w:r>
      <w:hyperlink r:id="rId354">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within six months after completion of Step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Step 8. The system shall operate in compliance with the department-designated optimal water quality control parameters under </w:t>
      </w:r>
      <w:hyperlink r:id="rId355">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continue to conduct tap sampling as per 567—paragraph </w:t>
      </w:r>
      <w:hyperlink r:id="rId35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and 567—subparagraph </w:t>
      </w:r>
      <w:hyperlink r:id="rId357">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43.7(2)</w:t>
      </w:r>
      <w:r>
        <w:rPr>
          <w:rFonts w:ascii="Times New Roman" w:hAnsi="Times New Roman"/>
          <w:b w:val="false"/>
          <w:i w:val="false"/>
          <w:color w:val="000000"/>
          <w:sz w:val="22"/>
        </w:rPr>
        <w:t> </w:t>
      </w:r>
      <w:r>
        <w:rPr>
          <w:rFonts w:ascii="Times New Roman" w:hAnsi="Times New Roman"/>
          <w:b w:val="false"/>
          <w:i/>
          <w:color w:val="000000"/>
          <w:sz w:val="22"/>
        </w:rPr>
        <w:t xml:space="preserve">Description of corrosion control treatment requirements. </w:t>
      </w:r>
      <w:r>
        <w:rPr>
          <w:rFonts w:ascii="Times New Roman" w:hAnsi="Times New Roman"/>
          <w:b w:val="false"/>
          <w:i w:val="false"/>
          <w:color w:val="000000"/>
          <w:sz w:val="22"/>
        </w:rPr>
        <w:t xml:space="preserve">Each public water supply system shall complete the corrosion control treatment requirements described below which are applicable to such systems under </w:t>
      </w:r>
      <w:hyperlink r:id="rId358">
        <w:r>
          <w:rPr>
            <w:rStyle w:val="Hyperlink"/>
            <w:rFonts w:ascii="Times New Roman" w:hAnsi="Times New Roman"/>
            <w:b w:val="false"/>
            <w:i w:val="false"/>
            <w:color w:val="000000"/>
            <w:sz w:val="22"/>
          </w:rPr>
          <w:t>43.7(1)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recommendation regarding corrosion control treatment. </w:t>
      </w:r>
      <w:r>
        <w:rPr>
          <w:rFonts w:ascii="Times New Roman" w:hAnsi="Times New Roman"/>
          <w:b w:val="false"/>
          <w:i w:val="false"/>
          <w:color w:val="000000"/>
          <w:sz w:val="22"/>
        </w:rPr>
        <w:t xml:space="preserve">Based upon the results of lead and copper tap monitoring and water quality parameter monitoring, small and medium-size water systems exceeding the lead or copper action level shall recommend installation of one or more of the corrosion control treatments listed in </w:t>
      </w:r>
      <w:hyperlink r:id="rId359">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which the system believes constitute optimal corrosion control for that system. The department may require the system to conduct additional water quality parameter monitoring in accordance with 567—subparagraph </w:t>
      </w:r>
      <w:hyperlink r:id="rId360">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(2) to assist in reviewing the system’s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decision to require studies of corrosion control treatment (applicable to small and medium-size systems). </w:t>
      </w:r>
      <w:r>
        <w:rPr>
          <w:rFonts w:ascii="Times New Roman" w:hAnsi="Times New Roman"/>
          <w:b w:val="false"/>
          <w:i w:val="false"/>
          <w:color w:val="000000"/>
          <w:sz w:val="22"/>
        </w:rPr>
        <w:t xml:space="preserve">The department may require any small or medium-size system that exceeds the lead or copper action level to perform corrosion control studies under </w:t>
      </w:r>
      <w:hyperlink r:id="rId361">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to identify optimal corrosion control treatment for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Performance of corrosion control studies.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public water supply system performing corrosion control studies shall evaluate the effectiveness of each of the following treatments and, if appropriate, combinations of the following treatments to identify the optimal corrosion control treatment: alkalinity and pH adjustment; calcium hardness adjustment; and the addition of a phosphate or silicate-based corrosion inhibitor at a concentration sufficient to maintain an effective residual concentration in all test tap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water system shall evaluate each of the corrosion control treatments using either pipe rig/loop tests, metal coupon tests, partial-system tests, or analyses based on documented analogous treatments with other systems of similar size, water chemistry and distribution system configuration.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public water supply system shall measure the following water quality parameters in any tests conducted under this paragraph before and after evaluating the corrosion control treatments listed above: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Lead;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Copper;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Alkalinity;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Calcium;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Conductivity;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Orthophosphate (when an inhibitor containing a phosphate compound is used);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Silicate (when an inhibitor containing a silicate compound is used);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public water supply system shall identify all chemical or physical constraints that limit or prohibit the use of a particular corrosion control treatment and outline such constraints with the following: data and documentation showing that a particular corrosion control treatment has adversely affected other water treatment processes when used by another water system with comparable water quality characteristics; or data and documentation demonstrating that the water system has previously attempted to evaluate a particular corrosion control treatment and has found that the treatment is ineffective or adversely affects other water quality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water system shall evaluate the effect of the chemicals used for corrosion control treatment on other water quality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basis of an analysis of the data generated during each evaluation, the water system shall recommend in writing to the department the treatment option that the corrosion control studies indicate constitutes optimal corrosion control treatment for that system. The water system shall provide a rationale for its recommendation along with all supporting documentation required by </w:t>
      </w:r>
      <w:hyperlink r:id="rId362">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(1)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designation of optimal corrosion control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upon consideration of available information including, where applicable, studies performed under </w:t>
      </w:r>
      <w:hyperlink r:id="rId363">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a system’s recommended treatment alternative, the department will either approve the corrosion control treatment option recommended by the public water supply system, or designate alternative corrosion control treatment(s) from among those listed in </w:t>
      </w:r>
      <w:hyperlink r:id="rId364">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will consider the effects that additional corrosion control treatment will have on water quality parameters and on other water quality treatment processes (when designating optimal corrosion control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public water supply system of its decision on optimal corrosion control treatment in writing and explain the basis for this determination. If the department requests additional information to aid its review, the public water supply system shall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Installation of optimal corrosion control. </w:t>
      </w:r>
      <w:r>
        <w:rPr>
          <w:rFonts w:ascii="Times New Roman" w:hAnsi="Times New Roman"/>
          <w:b w:val="false"/>
          <w:i w:val="false"/>
          <w:color w:val="000000"/>
          <w:sz w:val="22"/>
        </w:rPr>
        <w:t xml:space="preserve">Each public water supply system shall properly install and operate throughout its distribution system the optimal corrosion control treatment designated under </w:t>
      </w:r>
      <w:hyperlink r:id="rId365">
        <w:r>
          <w:rPr>
            <w:rStyle w:val="Hyperlink"/>
            <w:rFonts w:ascii="Times New Roman" w:hAnsi="Times New Roman"/>
            <w:b w:val="false"/>
            <w:i w:val="false"/>
            <w:color w:val="000000"/>
            <w:sz w:val="22"/>
          </w:rPr>
          <w:t>43.7(2)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treatment and specification of optimal water quality control parameters.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evaluate the results of all lead and copper tap samples and water quality parameter samples submitted by the public water supply system and determine whether the system has properly installed and operated the optimal corrosion control treatment designated in </w:t>
      </w:r>
      <w:hyperlink r:id="rId366">
        <w:r>
          <w:rPr>
            <w:rStyle w:val="Hyperlink"/>
            <w:rFonts w:ascii="Times New Roman" w:hAnsi="Times New Roman"/>
            <w:b w:val="false"/>
            <w:i w:val="false"/>
            <w:color w:val="000000"/>
            <w:sz w:val="22"/>
          </w:rPr>
          <w:t>43.7(2)</w:t>
        </w:r>
      </w:hyperlink>
      <w:r>
        <w:rPr>
          <w:rFonts w:ascii="Times New Roman" w:hAnsi="Times New Roman"/>
          <w:b w:val="false"/>
          <w:i/>
          <w:color w:val="000000"/>
          <w:sz w:val="22"/>
        </w:rPr>
        <w:t>“d.”</w:t>
      </w:r>
      <w:r>
        <w:rPr>
          <w:rFonts w:ascii="Times New Roman" w:hAnsi="Times New Roman"/>
          <w:b w:val="false"/>
          <w:i w:val="false"/>
          <w:color w:val="000000"/>
          <w:sz w:val="22"/>
        </w:rPr>
        <w:t xml:space="preserve"> Upon reviewing the results of tap water and water quality parameter monitoring by the public water supply system, both before and after the system installs optimal corrosion control treatment, the department will designate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minimum value or a range of values for pH measured at each entry point to the distribution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minimum pH value, measured in all tap samples. Such value shall be equal to or greater than 7.0 unless meeting a pH level of 7.0 is not technologically feasible or is not necessary for the public water supply system to optimize corrosion control;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a corrosion inhibitor is used, a minimum concentration or a range of concentrations for the inhibitor, measured at each entry point to the distribution system and in all tap samples, necessary to form a passivating film on the interior walls of the pipes of the distribution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alkalinity is adjusted as part of optimal corrosion control treatment, a minimum concentration or a range of concentrations for alkalinity, measured at each entry point to the distribution system and in all tap samples;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calcium carbonate stabilization is used as part of corrosion control, a minimum concentration or a range of concentrations for calcium, measured in all tap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values for the applicable water quality control parameters listed above shall be those which reflect optimal corrosion control treatment for the public water supply system. The department may designate values for additional water quality control parameters determined by the department to reflect optimal corrosion control for the system. The department will notify the system in writing of these determinations and explain the basis for its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Continued operation with optimized corrosion control and water quality parameter monitoring compliance determination. </w:t>
      </w:r>
      <w:r>
        <w:rPr>
          <w:rFonts w:ascii="Times New Roman" w:hAnsi="Times New Roman"/>
          <w:b w:val="false"/>
          <w:i w:val="false"/>
          <w:color w:val="000000"/>
          <w:sz w:val="22"/>
        </w:rPr>
        <w:t xml:space="preserve">All systems optimizing corrosion control shall continue to operate and maintain optimal corrosion control treatment, including maintaining water quality parameters at or above minimum values or within ranges designated by the department under paragraph </w:t>
      </w:r>
      <w:hyperlink r:id="rId367">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in accordance with this paragraph for all samples collected under 567—subparagraphs </w:t>
      </w:r>
      <w:hyperlink r:id="rId368">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(4) through (6). Compliance with the requirements of this paragraph shall be determined every six months, as specified under 567—subparagraph </w:t>
      </w:r>
      <w:hyperlink r:id="rId369">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(4). A water system is out of compliance with the requirements of this paragraph for a six-month period if it has excursions for any department-specified parameter on more than nine days during the period. An excursion occurs whenever the daily value for one or more of the water quality parameters measured at a sampling location is below the minimum value or outside the range designated by the department. Daily values are calculated as follows. The department has the discretion to invalidate results of obvious sampling errors from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days when more than one measurement for the water quality parameter is collected at the sampling location, the daily value shall be the average of all results collected during the day regardless of whether they are collected through continuous monitoring, grab sampling,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days when only one measurement for the water quality parameter is collected at the sampling location, the daily value shall be the result of that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days when no measurement is collected for the water quality parameter at the sampling location, the daily value shall be the daily value calculated on the most recent day on which the water quality parameter was measured at the sample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department treatment decisions. </w:t>
      </w:r>
      <w:r>
        <w:rPr>
          <w:rFonts w:ascii="Times New Roman" w:hAnsi="Times New Roman"/>
          <w:b w:val="false"/>
          <w:i w:val="false"/>
          <w:color w:val="000000"/>
          <w:sz w:val="22"/>
        </w:rPr>
        <w:t xml:space="preserve">A determination of the optimal corrosion control treatment under </w:t>
      </w:r>
      <w:hyperlink r:id="rId370">
        <w:r>
          <w:rPr>
            <w:rStyle w:val="Hyperlink"/>
            <w:rFonts w:ascii="Times New Roman" w:hAnsi="Times New Roman"/>
            <w:b w:val="false"/>
            <w:i w:val="false"/>
            <w:color w:val="000000"/>
            <w:sz w:val="22"/>
          </w:rPr>
          <w:t>43.7(2)</w:t>
        </w:r>
      </w:hyperlink>
      <w:r>
        <w:rPr>
          <w:rFonts w:ascii="Times New Roman" w:hAnsi="Times New Roman"/>
          <w:b w:val="false"/>
          <w:i/>
          <w:color w:val="000000"/>
          <w:sz w:val="22"/>
        </w:rPr>
        <w:t>“d”</w:t>
      </w:r>
      <w:r>
        <w:rPr>
          <w:rFonts w:ascii="Times New Roman" w:hAnsi="Times New Roman"/>
          <w:b w:val="false"/>
          <w:i w:val="false"/>
          <w:color w:val="000000"/>
          <w:sz w:val="22"/>
        </w:rPr>
        <w:t xml:space="preserve"> or optimal water quality control parameters under </w:t>
      </w:r>
      <w:hyperlink r:id="rId371">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may be modified. A request for modification by a public water supply system or other interested party shall be in writing, explain why the modification is appropriate, and provide supporting documentation. The department may modify its determination when it concludes that such change is necessary to ensure that the public water supply system continues to optimize corrosion control treatment. A revised determination will be made in writing, which will set forth the new treatment requirements, explain the basis for the decision, and provide an implementation schedule for completing the treatment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43.7(3)</w:t>
      </w:r>
      <w:r>
        <w:rPr>
          <w:rFonts w:ascii="Times New Roman" w:hAnsi="Times New Roman"/>
          <w:b w:val="false"/>
          <w:i w:val="false"/>
          <w:color w:val="000000"/>
          <w:sz w:val="22"/>
        </w:rPr>
        <w:t> </w:t>
      </w:r>
      <w:r>
        <w:rPr>
          <w:rFonts w:ascii="Times New Roman" w:hAnsi="Times New Roman"/>
          <w:b w:val="false"/>
          <w:i/>
          <w:color w:val="000000"/>
          <w:sz w:val="22"/>
        </w:rPr>
        <w:t xml:space="preserve">Source water treatment requirements. </w:t>
      </w:r>
      <w:r>
        <w:rPr>
          <w:rFonts w:ascii="Times New Roman" w:hAnsi="Times New Roman"/>
          <w:b w:val="false"/>
          <w:i w:val="false"/>
          <w:color w:val="000000"/>
          <w:sz w:val="22"/>
        </w:rPr>
        <w:t xml:space="preserve">Public water supply systems shall complete the applicable source water monitoring and treatment requirements, as described in the referenced portions of </w:t>
      </w:r>
      <w:hyperlink r:id="rId372">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in 567—paragraphs </w:t>
      </w:r>
      <w:hyperlink r:id="rId37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by the following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Deadlines for completing source water treatment steps.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Step 1. A public water supply system exceeding the lead or copper action level shall complete lead and copper source water monitoring under 567—subparagraph </w:t>
      </w:r>
      <w:hyperlink r:id="rId374">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(2) and make a written treatment recommendation to the department no later than 180 days after the end of the monitoring period during which the lead or copper action level was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 2. The department will make a determination regarding source water treatment pursuant to </w:t>
      </w:r>
      <w:hyperlink r:id="rId375">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(2) within six months after submission of monitoring results under Step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Step 3. If installation of source water treatment is required, the system shall install the treatment pursuant to </w:t>
      </w:r>
      <w:hyperlink r:id="rId376">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(3) within 24 months after completion of Step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Step 4. The public water supply system shall complete follow-up tap water monitoring under 567—paragraph </w:t>
      </w:r>
      <w:hyperlink r:id="rId37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(4)“2” and source water monitoring under 567—subparagraph </w:t>
      </w:r>
      <w:hyperlink r:id="rId378">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(3) within 36 months after completion of Step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Step 5. The department will review the system’s installation and operation of source water treatment and specify maximum permissible source water levels under </w:t>
      </w:r>
      <w:hyperlink r:id="rId379">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(4) within six months after completion of Step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Step 6. The public water supply system shall operate in compliance with the specified maximum permissible lead and copper source water levels under </w:t>
      </w:r>
      <w:hyperlink r:id="rId380">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 xml:space="preserve">(4) and continue source water monitoring pursuant to 567—subparagraph </w:t>
      </w:r>
      <w:hyperlink r:id="rId381">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source water treatment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 treatment recommendation. Any system which exceeds the lead or copper action level shall recommend in writing to the department the installation and operation of one of the source water treatments listed in </w:t>
      </w:r>
      <w:hyperlink r:id="rId382">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(2). A system may recommend that no treatment be installed based upon a demonstration that source water treatment is not necessary to minimize lead and copper levels at users’ taps.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water treatment determinations. The department will complete an evaluation of the results of all source water samples submitted by the public water supply system to determine whether source water treatment is necessary to minimize lead or copper levels in water delivered to users’ taps. If the department determines that treatment is needed, the department will require installation and operation of the source water treatment recommended by the public water supply system or require the installation and operation of another source water treatment from among the following: ion exchange, reverse osmosis, lime softening or coagulation/filtration. If the department requests additional information to aid in its review, the water system shall provide the information by the date specified in its request. The department will notify the system in writing of its determination and set forth the basis for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source water treatment. Public water supply systems shall properly install and operate the source water treatment designated by the department under </w:t>
      </w:r>
      <w:hyperlink r:id="rId383">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Department review of source water treatment and specification of maximum permissible source water levels. The department will review the source water samples taken by the water supply system both before and after the system installs source water treatment and determine whether the public water supply system has properly installed and operated the designated source water treatment. Based upon its review, the department will designate maximum permissible lead and copper concentrations for finished water entering the distribution system. Such levels shall reflect the contaminant removal capability of the treatment (properly operated and maintained). The department will notify the public water supply system in writing and explain the basis for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operation and maintenance. Each public water supply system shall maintain lead and copper levels below the maximum permissible concentrations designated by the department at each sampling point monitored in accordance with 567—paragraph </w:t>
      </w:r>
      <w:hyperlink r:id="rId384">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system is out of compliance with this paragraph if the level of lead or copper at any sampling point is greater than the maximum permissible designated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Modification of source water treatment decisions. The department may modify its determination of the source water treatment under </w:t>
      </w:r>
      <w:hyperlink r:id="rId385">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 xml:space="preserve">(6), or maximum permissible lead and copper concentrations for finished water entering the distribution system under </w:t>
      </w:r>
      <w:hyperlink r:id="rId386">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(4). A request for modification by a public water supply system or other interested party shall be in writing, explain why the modification is appropriate, and provide supporting documentation. The department may modify its determination where it concludes that such change is necessary to ensure that the system continues to minimize lead and copper concentrations in source water. A revised determination will be made in writing, set forth the new treatment requirements, explain the basis for the decision, and provide an implementation schedule for completing the treatment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43.7(4)</w:t>
      </w:r>
      <w:r>
        <w:rPr>
          <w:rFonts w:ascii="Times New Roman" w:hAnsi="Times New Roman"/>
          <w:b w:val="false"/>
          <w:i w:val="false"/>
          <w:color w:val="000000"/>
          <w:sz w:val="22"/>
        </w:rPr>
        <w:t> </w:t>
      </w:r>
      <w:r>
        <w:rPr>
          <w:rFonts w:ascii="Times New Roman" w:hAnsi="Times New Roman"/>
          <w:b w:val="false"/>
          <w:i/>
          <w:color w:val="000000"/>
          <w:sz w:val="22"/>
        </w:rPr>
        <w:t xml:space="preserve">Lead service line replacement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Public water supply systems that fail to meet the lead action level in tap samples taken pursuant to 567—paragraph </w:t>
      </w:r>
      <w:hyperlink r:id="rId38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(4)“2” after installing corrosion control or source water treatment (whichever sampling occurs later) shall replace lead service lines in accordance with the requirements of this subrule. If a system is in violation of </w:t>
      </w:r>
      <w:hyperlink r:id="rId388">
        <w:r>
          <w:rPr>
            <w:rStyle w:val="Hyperlink"/>
            <w:rFonts w:ascii="Times New Roman" w:hAnsi="Times New Roman"/>
            <w:b w:val="false"/>
            <w:i w:val="false"/>
            <w:color w:val="000000"/>
            <w:sz w:val="22"/>
          </w:rPr>
          <w:t>43.7(1)</w:t>
        </w:r>
      </w:hyperlink>
      <w:r>
        <w:rPr>
          <w:rFonts w:ascii="Times New Roman" w:hAnsi="Times New Roman"/>
          <w:b w:val="false"/>
          <w:i w:val="false"/>
          <w:color w:val="000000"/>
          <w:sz w:val="22"/>
        </w:rPr>
        <w:t xml:space="preserve"> and </w:t>
      </w:r>
      <w:hyperlink r:id="rId389">
        <w:r>
          <w:rPr>
            <w:rStyle w:val="Hyperlink"/>
            <w:rFonts w:ascii="Times New Roman" w:hAnsi="Times New Roman"/>
            <w:b w:val="false"/>
            <w:i w:val="false"/>
            <w:color w:val="000000"/>
            <w:sz w:val="22"/>
          </w:rPr>
          <w:t>43.7(3)</w:t>
        </w:r>
      </w:hyperlink>
      <w:r>
        <w:rPr>
          <w:rFonts w:ascii="Times New Roman" w:hAnsi="Times New Roman"/>
          <w:b w:val="false"/>
          <w:i w:val="false"/>
          <w:color w:val="000000"/>
          <w:sz w:val="22"/>
        </w:rPr>
        <w:t xml:space="preserve"> for failure to install source water or corrosion control treatment, the department may require the system to commence lead service line replacement under this subrule after the date by which the system was required to conduct monitoring under 567—paragraph </w:t>
      </w:r>
      <w:hyperlink r:id="rId39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(4)“2” has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Lead service line replacement schedule. </w:t>
      </w:r>
      <w:r>
        <w:rPr>
          <w:rFonts w:ascii="Times New Roman" w:hAnsi="Times New Roman"/>
          <w:b w:val="false"/>
          <w:i w:val="false"/>
          <w:color w:val="000000"/>
          <w:sz w:val="22"/>
        </w:rPr>
        <w:t xml:space="preserve">A public water supply system shall replace annually at least 7 percent of the initial number of lead service lines in its distribution system. The initial number of lead service lines is the number of lead lines in place at the time the replacement program begins. The system shall identify the initial number of lead service lines in its distribution system, including an identification of the portion(s) owned by the system, based upon a materials evaluation, including the evaluation required under 567—subparagraph </w:t>
      </w:r>
      <w:hyperlink r:id="rId39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relevant legal authorities regarding the portion owned by the system such as contracts and local ordinances.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year of lead service line replacement shall begin on the first day following the end of the monitoring period in which the action level was exceeded in tap sampling referenced in </w:t>
      </w:r>
      <w:hyperlink r:id="rId392">
        <w:r>
          <w:rPr>
            <w:rStyle w:val="Hyperlink"/>
            <w:rFonts w:ascii="Times New Roman" w:hAnsi="Times New Roman"/>
            <w:b w:val="false"/>
            <w:i w:val="false"/>
            <w:color w:val="000000"/>
            <w:sz w:val="22"/>
          </w:rPr>
          <w:t>43.7(4)</w:t>
        </w:r>
      </w:hyperlink>
      <w:r>
        <w:rPr>
          <w:rFonts w:ascii="Times New Roman" w:hAnsi="Times New Roman"/>
          <w:b w:val="false"/>
          <w:i/>
          <w:color w:val="000000"/>
          <w:sz w:val="22"/>
        </w:rPr>
        <w:t>“a.”</w:t>
      </w:r>
      <w:r>
        <w:rPr>
          <w:rFonts w:ascii="Times New Roman" w:hAnsi="Times New Roman"/>
          <w:b w:val="false"/>
          <w:i w:val="false"/>
          <w:color w:val="000000"/>
          <w:sz w:val="22"/>
        </w:rPr>
        <w:t xml:space="preserve"> If monitoring is required annually or less frequently, the end of the monitoring period is September 30 of the calendar year in which the sampling occurs. If the department has established an alternate monitoring period, then the end of the monitoring period will be the last day of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water system resuming a lead service line replacement program after the cessation of its lead service line replacement program as allowed by 43.7(4)</w:t>
      </w:r>
      <w:r>
        <w:rPr>
          <w:rFonts w:ascii="Times New Roman" w:hAnsi="Times New Roman"/>
          <w:b w:val="false"/>
          <w:i/>
          <w:color w:val="000000"/>
          <w:sz w:val="22"/>
        </w:rPr>
        <w:t>“g”</w:t>
      </w:r>
      <w:r>
        <w:rPr>
          <w:rFonts w:ascii="Times New Roman" w:hAnsi="Times New Roman"/>
          <w:b w:val="false"/>
          <w:i w:val="false"/>
          <w:color w:val="000000"/>
          <w:sz w:val="22"/>
        </w:rPr>
        <w:t xml:space="preserve"> shall update its inventory of lead service lines to include those sites that were previously determined not to require replacement through the sampling provision under 43.7(4)</w:t>
      </w:r>
      <w:r>
        <w:rPr>
          <w:rFonts w:ascii="Times New Roman" w:hAnsi="Times New Roman"/>
          <w:b w:val="false"/>
          <w:i/>
          <w:color w:val="000000"/>
          <w:sz w:val="22"/>
        </w:rPr>
        <w:t>“c.”</w:t>
      </w:r>
      <w:r>
        <w:rPr>
          <w:rFonts w:ascii="Times New Roman" w:hAnsi="Times New Roman"/>
          <w:b w:val="false"/>
          <w:i w:val="false"/>
          <w:color w:val="000000"/>
          <w:sz w:val="22"/>
        </w:rPr>
        <w:t xml:space="preserve"> The system will then divide the updated number of remaining lead service lines by the number of remaining years in the program to determine the number of lines that must be replaced per year. Seven percent lead service line replacement is based on a 15-year replacement program. For example, systems resuming lead service line replacement after previously conducting two years of replacement would divide the updated inventory by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those systems that have completed a 15-year lead service line replacement program, the department will determine a schedule for replacing or retesting lines that were previously exempted through testing under 43.7(4)</w:t>
      </w:r>
      <w:r>
        <w:rPr>
          <w:rFonts w:ascii="Times New Roman" w:hAnsi="Times New Roman"/>
          <w:b w:val="false"/>
          <w:i/>
          <w:color w:val="000000"/>
          <w:sz w:val="22"/>
        </w:rPr>
        <w:t>“c”</w:t>
      </w:r>
      <w:r>
        <w:rPr>
          <w:rFonts w:ascii="Times New Roman" w:hAnsi="Times New Roman"/>
          <w:b w:val="false"/>
          <w:i w:val="false"/>
          <w:color w:val="000000"/>
          <w:sz w:val="22"/>
        </w:rPr>
        <w:t xml:space="preserve"> from the replacement program when the system re-exceeds the action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Exemption to lead service line replacement requirement. </w:t>
      </w:r>
      <w:r>
        <w:rPr>
          <w:rFonts w:ascii="Times New Roman" w:hAnsi="Times New Roman"/>
          <w:b w:val="false"/>
          <w:i w:val="false"/>
          <w:color w:val="000000"/>
          <w:sz w:val="22"/>
        </w:rPr>
        <w:t xml:space="preserve">A public water supply system is not required to replace an individual lead service line if the lead concentration in all service line samples from that line, taken pursuant to 567—paragraph </w:t>
      </w:r>
      <w:hyperlink r:id="rId39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(2)“3,” is less than or equal to 0.015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Lead service line replacement requirements. </w:t>
      </w:r>
      <w:r>
        <w:rPr>
          <w:rFonts w:ascii="Times New Roman" w:hAnsi="Times New Roman"/>
          <w:b w:val="false"/>
          <w:i w:val="false"/>
          <w:color w:val="000000"/>
          <w:sz w:val="22"/>
        </w:rPr>
        <w:t>A water system shall replace that portion of the lead service line that it owns. In cases where the system does not own the entire lead service line, the system shall notify the owner of the line, or the owner’s authorized agent, that the system will replace the portion of the service line that it owns and shall offer to replace the owner’s portion of the line. A system is not required to bear the cost of replacing the privately owned portion of the line, nor is it required to replace the privately owned portion of the line where the owner chooses not to pay the cost of replacing the privately owned portion of the line, or where replacing the privately owned portion would be precluded by state, local, or common law. A water system that does not replace the entire length of the service line shall complete the following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residents. At least 45 days prior to commencing with the partial replacement of a lead service line, the water system shall provide to the resident(s) of all buildings served by the line notice explaining that the resident(s) may experience a temporary increase of lead levels in their drinking water, along with guidance on measures consumers may take to minimize their exposure to lead. The department may allow the water system to provide this notice less than 45 days prior to commencing partial lead service line replacement where such replacement is in conjunction with emergency repairs. In addition, the water system shall inform the resident(s) served by the line that the system will, at the system’s expense, collect from each partially replaced lead service line a sample that is representative of the water in the service line for analysis of lead content, as prescribed under </w:t>
      </w:r>
      <w:hyperlink r:id="rId394">
        <w:r>
          <w:rPr>
            <w:rStyle w:val="Hyperlink"/>
            <w:rFonts w:ascii="Times New Roman" w:hAnsi="Times New Roman"/>
            <w:b w:val="false"/>
            <w:i w:val="false"/>
            <w:color w:val="000000"/>
            <w:sz w:val="22"/>
          </w:rPr>
          <w:t>567—paragraph 41.4(1)</w:t>
        </w:r>
        <w:r>
          <w:rPr>
            <w:rFonts w:ascii="Times New Roman" w:hAnsi="Times New Roman"/>
            <w:b w:val="false"/>
            <w:i/>
            <w:color w:val="000000"/>
            <w:sz w:val="22"/>
          </w:rPr>
          <w:t>“c”</w:t>
        </w:r>
      </w:hyperlink>
      <w:r>
        <w:rPr>
          <w:rFonts w:ascii="Times New Roman" w:hAnsi="Times New Roman"/>
          <w:b w:val="false"/>
          <w:i w:val="false"/>
          <w:color w:val="000000"/>
          <w:sz w:val="22"/>
        </w:rPr>
        <w:t>(2)“3,” within 72 hours after the completion of the partial replacement of the service line. The system shall collect the sample and report the results of the analysis to the owner and the resident(s) served by the line within three business days of receiving the results. Mailed notices postmarked within three business days of receiving the results shall be considered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methods. The water system shall provide the information required by subparagraph </w:t>
      </w:r>
      <w:hyperlink r:id="rId395">
        <w:r>
          <w:rPr>
            <w:rStyle w:val="Hyperlink"/>
            <w:rFonts w:ascii="Times New Roman" w:hAnsi="Times New Roman"/>
            <w:b w:val="false"/>
            <w:i w:val="false"/>
            <w:color w:val="000000"/>
            <w:sz w:val="22"/>
          </w:rPr>
          <w:t>43.7(4)</w:t>
        </w:r>
      </w:hyperlink>
      <w:r>
        <w:rPr>
          <w:rFonts w:ascii="Times New Roman" w:hAnsi="Times New Roman"/>
          <w:b w:val="false"/>
          <w:i/>
          <w:color w:val="000000"/>
          <w:sz w:val="22"/>
        </w:rPr>
        <w:t>“d”</w:t>
      </w:r>
      <w:r>
        <w:rPr>
          <w:rFonts w:ascii="Times New Roman" w:hAnsi="Times New Roman"/>
          <w:b w:val="false"/>
          <w:i w:val="false"/>
          <w:color w:val="000000"/>
          <w:sz w:val="22"/>
        </w:rPr>
        <w:t>(1) to the residents of individual dwellings by mail or by other methods approved by the department. In instances where multifamily dwellings are served by the line, the water system shall have the option to post the information at a conspicuous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Lead service line control—department review.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Lead service line replacement schedule. </w:t>
      </w:r>
      <w:r>
        <w:rPr>
          <w:rFonts w:ascii="Times New Roman" w:hAnsi="Times New Roman"/>
          <w:b w:val="false"/>
          <w:i w:val="false"/>
          <w:color w:val="000000"/>
          <w:sz w:val="22"/>
        </w:rPr>
        <w:t xml:space="preserve">The department may require a public water supply system to replace lead service lines on a shorter schedule than that required by this subrule, taking into account the number of lead service lines in the system, where such a shorter replacement schedule is feasible. The department will make this determination in writing and notify the system of its finding within six months after the system is triggered into lead service line replacement based on monitoring referenced in </w:t>
      </w:r>
      <w:hyperlink r:id="rId396">
        <w:r>
          <w:rPr>
            <w:rStyle w:val="Hyperlink"/>
            <w:rFonts w:ascii="Times New Roman" w:hAnsi="Times New Roman"/>
            <w:b w:val="false"/>
            <w:i w:val="false"/>
            <w:color w:val="000000"/>
            <w:sz w:val="22"/>
          </w:rPr>
          <w:t>43.7(4)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Cessation of lead service line replacement. </w:t>
      </w:r>
      <w:r>
        <w:rPr>
          <w:rFonts w:ascii="Times New Roman" w:hAnsi="Times New Roman"/>
          <w:b w:val="false"/>
          <w:i w:val="false"/>
          <w:color w:val="000000"/>
          <w:sz w:val="22"/>
        </w:rPr>
        <w:t xml:space="preserve">Any public water supply system may cease replacing lead service lines whenever first draw samples collected pursuant to 567—paragraph </w:t>
      </w:r>
      <w:hyperlink r:id="rId39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(2)“2” meet the lead action level during each of two consecutive monitoring periods and the system submits the results. If the first draw tap samples collected in any such water system thereafter exceed the lead action level, the system shall recommence replacing lead service lines, as detailed in </w:t>
      </w:r>
      <w:hyperlink r:id="rId398">
        <w:r>
          <w:rPr>
            <w:rStyle w:val="Hyperlink"/>
            <w:rFonts w:ascii="Times New Roman" w:hAnsi="Times New Roman"/>
            <w:b w:val="false"/>
            <w:i w:val="false"/>
            <w:color w:val="000000"/>
            <w:sz w:val="22"/>
          </w:rPr>
          <w:t>43.7(4)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Lead service line replacement reporting requirements. </w:t>
      </w:r>
      <w:r>
        <w:rPr>
          <w:rFonts w:ascii="Times New Roman" w:hAnsi="Times New Roman"/>
          <w:b w:val="false"/>
          <w:i w:val="false"/>
          <w:color w:val="000000"/>
          <w:sz w:val="22"/>
        </w:rPr>
        <w:t xml:space="preserve">To demonstrate compliance with </w:t>
      </w:r>
      <w:hyperlink r:id="rId399">
        <w:r>
          <w:rPr>
            <w:rStyle w:val="Hyperlink"/>
            <w:rFonts w:ascii="Times New Roman" w:hAnsi="Times New Roman"/>
            <w:b w:val="false"/>
            <w:i w:val="false"/>
            <w:color w:val="000000"/>
            <w:sz w:val="22"/>
          </w:rPr>
          <w:t>43.7(4)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 system shall report the information specified in 567—paragraph </w:t>
      </w:r>
      <w:hyperlink r:id="rId400">
        <w:r>
          <w:rPr>
            <w:rStyle w:val="Hyperlink"/>
            <w:rFonts w:ascii="Times New Roman" w:hAnsi="Times New Roman"/>
            <w:b w:val="false"/>
            <w:i w:val="false"/>
            <w:color w:val="000000"/>
            <w:sz w:val="22"/>
          </w:rPr>
          <w:t>42.4(2)</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567—43.8</w:t>
      </w:r>
      <w:r>
        <w:rPr>
          <w:rFonts w:ascii="Times New Roman" w:hAnsi="Times New Roman"/>
          <w:b/>
          <w:i w:val="false"/>
          <w:color w:val="000000"/>
          <w:sz w:val="22"/>
        </w:rPr>
        <w:t xml:space="preserve">(455B) </w:t>
      </w:r>
      <w:r>
        <w:rPr>
          <w:rFonts w:ascii="Times New Roman" w:hAnsi="Times New Roman"/>
          <w:b/>
          <w:i w:val="false"/>
          <w:color w:val="000000"/>
          <w:sz w:val="22"/>
        </w:rPr>
        <w:t xml:space="preserve">Viability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color w:val="000000"/>
          <w:sz w:val="22"/>
        </w:rPr>
        <w:t xml:space="preserve">Definitions specific to viability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system” </w:t>
      </w:r>
      <w:r>
        <w:rPr>
          <w:rFonts w:ascii="Times New Roman" w:hAnsi="Times New Roman"/>
          <w:b w:val="false"/>
          <w:i w:val="false"/>
          <w:color w:val="000000"/>
          <w:sz w:val="22"/>
        </w:rPr>
        <w:t>for viability assessment purposes includes public water supply systems which are newly constructed after the effective date of this rule, as well as systems which do not currently meet the definition of a PWS, but which expand their infrastructure and thereby grow to become a PWS. Systems not currently meeting the definition of a PWS and which add additional users and thereby become a PWS without constructing any additional infrastructure are not “new systems”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“Nonviable system” </w:t>
      </w:r>
      <w:r>
        <w:rPr>
          <w:rFonts w:ascii="Times New Roman" w:hAnsi="Times New Roman"/>
          <w:b w:val="false"/>
          <w:i w:val="false"/>
          <w:color w:val="000000"/>
          <w:sz w:val="22"/>
        </w:rPr>
        <w:t xml:space="preserve">for viability assessment purposes means a system lacking the technical, financial, and managerial ability to comply with </w:t>
      </w:r>
      <w:hyperlink r:id="rId401">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402">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403">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noncompliance (SNC)” </w:t>
      </w:r>
      <w:r>
        <w:rPr>
          <w:rFonts w:ascii="Times New Roman" w:hAnsi="Times New Roman"/>
          <w:b w:val="false"/>
          <w:i w:val="false"/>
          <w:color w:val="000000"/>
          <w:sz w:val="22"/>
        </w:rPr>
        <w:t>for viability assessment purposes means the failure to comply with any drinking water standard as adopted by the state of Iowa as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“Viability” </w:t>
      </w:r>
      <w:r>
        <w:rPr>
          <w:rFonts w:ascii="Times New Roman" w:hAnsi="Times New Roman"/>
          <w:b w:val="false"/>
          <w:i w:val="false"/>
          <w:color w:val="000000"/>
          <w:sz w:val="22"/>
        </w:rPr>
        <w:t xml:space="preserve">for viability assessment purposes is the ability to remain in compliance insofar as the requirements of the federal Safe Drinking Water Act and </w:t>
      </w:r>
      <w:hyperlink r:id="rId404">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40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406">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“Viable system” </w:t>
      </w:r>
      <w:r>
        <w:rPr>
          <w:rFonts w:ascii="Times New Roman" w:hAnsi="Times New Roman"/>
          <w:b w:val="false"/>
          <w:i w:val="false"/>
          <w:color w:val="000000"/>
          <w:sz w:val="22"/>
        </w:rPr>
        <w:t>for viability assessment purposes means a system with the technical, financial, and managerial ability to comply with applicable drinking water standards adopted by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These rules apply to all new and existing public water supplies, including the following: new systems commencing operation after October 1, 1999; systems deemed to be in significant noncompliance with the primary drinking water standards; DWSRF applicants; and existing systems. The purpose of the viability assessment program is to ensure the safety of the public drinking water supplies and ensure the viability of new public water supply systems upon commencement of operation. The department may assess public notification requirements and administrative penalties to any public water supply system which fails to fulfill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color w:val="000000"/>
          <w:sz w:val="22"/>
        </w:rPr>
        <w:t xml:space="preserve">Contents of a viability assessment. </w:t>
      </w:r>
      <w:r>
        <w:rPr>
          <w:rFonts w:ascii="Times New Roman" w:hAnsi="Times New Roman"/>
          <w:b w:val="false"/>
          <w:i w:val="false"/>
          <w:color w:val="000000"/>
          <w:sz w:val="22"/>
        </w:rPr>
        <w:t>The viability assessment must address the areas of technical, financial, and managerial viability for a public water supply system. The assessment must include evaluation of the following areas at a minimum, and the public water supply system may be required to include additional information as directed by the department. The viability of a system should be forecast for a 20-year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Technical viability.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Supply sources and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Infrastructure (examples: pumping, storage,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Financial viability.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and operating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Revenue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Contingency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Managerial viability.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43.8(4)</w:t>
      </w:r>
      <w:r>
        <w:rPr>
          <w:rFonts w:ascii="Times New Roman" w:hAnsi="Times New Roman"/>
          <w:b w:val="false"/>
          <w:i w:val="false"/>
          <w:color w:val="000000"/>
          <w:sz w:val="22"/>
        </w:rPr>
        <w:t> </w:t>
      </w:r>
      <w:r>
        <w:rPr>
          <w:rFonts w:ascii="Times New Roman" w:hAnsi="Times New Roman"/>
          <w:b w:val="false"/>
          <w:i/>
          <w:color w:val="000000"/>
          <w:sz w:val="22"/>
        </w:rPr>
        <w:t xml:space="preserve">New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system viability assessment. </w:t>
      </w:r>
      <w:r>
        <w:rPr>
          <w:rFonts w:ascii="Times New Roman" w:hAnsi="Times New Roman"/>
          <w:b w:val="false"/>
          <w:i w:val="false"/>
          <w:color w:val="000000"/>
          <w:sz w:val="22"/>
        </w:rPr>
        <w:t xml:space="preserve">New public water supply systems (including community, nontransient noncommunity systems, and transient noncommunity systems) commencing operation after the effective date of this rule are required to submit a completed system viability assessment for review by the department, prior to obtaining a construction permit. The viability assessment may be submitted with the application for a construction permit. The department may reject receipt or delay review of the construction plans and specifications until an adequate viability assessment is provided. If the department finds, upon review and approval of the viability assessment, that the PWS will be viable, a construction permit will be issued in accordance with </w:t>
      </w:r>
      <w:hyperlink r:id="rId407">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and </w:t>
      </w:r>
      <w:hyperlink r:id="rId40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Prior to beginning operation, a public water supply operation permit must be obtained in accordance with </w:t>
      </w:r>
      <w:hyperlink r:id="rId409">
        <w:r>
          <w:rPr>
            <w:rStyle w:val="Hyperlink"/>
            <w:rFonts w:ascii="Times New Roman" w:hAnsi="Times New Roman"/>
            <w:b w:val="false"/>
            <w:i w:val="false"/>
            <w:color w:val="000000"/>
            <w:sz w:val="22"/>
          </w:rPr>
          <w:t>567—43.2</w:t>
        </w:r>
      </w:hyperlink>
      <w:r>
        <w:rPr>
          <w:rFonts w:ascii="Times New Roman" w:hAnsi="Times New Roman"/>
          <w:b w:val="false"/>
          <w:i w:val="false"/>
          <w:color w:val="000000"/>
          <w:sz w:val="22"/>
        </w:rPr>
        <w:t xml:space="preserve">(455B) and </w:t>
      </w:r>
      <w:hyperlink r:id="rId410">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the viability assessment. </w:t>
      </w:r>
      <w:r>
        <w:rPr>
          <w:rFonts w:ascii="Times New Roman" w:hAnsi="Times New Roman"/>
          <w:b w:val="false"/>
          <w:i w:val="false"/>
          <w:color w:val="000000"/>
          <w:sz w:val="22"/>
        </w:rPr>
        <w:t>If the department declines to approve the viability assessment as submitted by the applicant, or if the department finds that the PWS is not viable, approval of construction and operation permit applications will be denied. If the viability assessment is conditionally approved, construction and operation permits will be issued, with conditions and a schedule to achieve compliance specified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43.8(5)</w:t>
      </w:r>
      <w:r>
        <w:rPr>
          <w:rFonts w:ascii="Times New Roman" w:hAnsi="Times New Roman"/>
          <w:b w:val="false"/>
          <w:i w:val="false"/>
          <w:color w:val="000000"/>
          <w:sz w:val="22"/>
        </w:rPr>
        <w:t> </w:t>
      </w:r>
      <w:r>
        <w:rPr>
          <w:rFonts w:ascii="Times New Roman" w:hAnsi="Times New Roman"/>
          <w:b w:val="false"/>
          <w:i/>
          <w:color w:val="000000"/>
          <w:sz w:val="22"/>
        </w:rPr>
        <w:t xml:space="preserve">Existing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system viability assessment. </w:t>
      </w:r>
      <w:r>
        <w:rPr>
          <w:rFonts w:ascii="Times New Roman" w:hAnsi="Times New Roman"/>
          <w:b w:val="false"/>
          <w:i w:val="false"/>
          <w:color w:val="000000"/>
          <w:sz w:val="22"/>
        </w:rPr>
        <w:t>Any community, nontransient noncommunity, or transient noncommunity water system which operated prior to October 1, 1999, and was regulated as a public water system by the department shall be considered an existing system. Any system which does not currently meet the definition of a PWS, but which expands their infrastructure and thereby grows to become a PWS is considered a new system. Systems not currently meeting the definition of a PWS and which add additional users and thereby become a PWS without constructing any additional infrastructure are considered existing systems for the purposes of this subrule. All PWSs should complete a viability assessment. However, only those existing PWSs which meet one or more of the following criteria are required to complete a viability assessment for the department’s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applying for DWSRF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categorized as being in significant noncompliance by the department, due to their history of failure to comply with drinking water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identified by the department via a sanitary survey as having technical, managerial, or financial problems as evidenced by such conditions as poor operational control, a poor state of repair or maintenance, vulnerability to contamination, or inability to maintain adequate distribution system operating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which have been unable to retain a certified operator in accordance with </w:t>
      </w:r>
      <w:hyperlink r:id="rId411">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viability assessments for systems required to submit an assessment. </w:t>
      </w:r>
      <w:r>
        <w:rPr>
          <w:rFonts w:ascii="Times New Roman" w:hAnsi="Times New Roman"/>
          <w:b w:val="false"/>
          <w:i w:val="false"/>
          <w:color w:val="000000"/>
          <w:sz w:val="22"/>
        </w:rPr>
        <w:t>If the assessment is incomplete and does not include all of the required elements, the supply will be notified in writing and will be given an opportunity to modify and resubmit the assessment within the time period specified by the department. If the system fails to resubmit a completed viability assessment as specified by the department, the department may find that the system is not viable. If the submitted assessment is complete, the department will either indicate that the system is viable or not viable after the assessment review process. The system will be notified of the results of the evaluation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Review of voluntarily submitted viability assessments. </w:t>
      </w:r>
      <w:r>
        <w:rPr>
          <w:rFonts w:ascii="Times New Roman" w:hAnsi="Times New Roman"/>
          <w:b w:val="false"/>
          <w:i w:val="false"/>
          <w:color w:val="000000"/>
          <w:sz w:val="22"/>
        </w:rPr>
        <w:t xml:space="preserve">It is recommended that all existing systems complete the viability assessment and submit it to the department. Voluntarily submitted assessments may be reviewed upon request and will be exempt from any requirements to modify the assessment if it is not approved, or from a determination that the system is not viable, providing the system does not meet any of the criteria for mandatory completion of a viability assessment as set forth in </w:t>
      </w:r>
      <w:hyperlink r:id="rId412">
        <w:r>
          <w:rPr>
            <w:rStyle w:val="Hyperlink"/>
            <w:rFonts w:ascii="Times New Roman" w:hAnsi="Times New Roman"/>
            <w:b w:val="false"/>
            <w:i w:val="false"/>
            <w:color w:val="000000"/>
            <w:sz w:val="22"/>
          </w:rPr>
          <w:t>43.8(4)</w:t>
        </w:r>
      </w:hyperlink>
      <w:r>
        <w:rPr>
          <w:rFonts w:ascii="Times New Roman" w:hAnsi="Times New Roman"/>
          <w:b w:val="false"/>
          <w:i/>
          <w:color w:val="000000"/>
          <w:sz w:val="22"/>
        </w:rPr>
        <w:t>“a”</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43.8(6)</w:t>
      </w:r>
      <w:r>
        <w:rPr>
          <w:rFonts w:ascii="Times New Roman" w:hAnsi="Times New Roman"/>
          <w:b w:val="false"/>
          <w:i w:val="false"/>
          <w:color w:val="000000"/>
          <w:sz w:val="22"/>
        </w:rPr>
        <w:t> </w:t>
      </w:r>
      <w:r>
        <w:rPr>
          <w:rFonts w:ascii="Times New Roman" w:hAnsi="Times New Roman"/>
          <w:b w:val="false"/>
          <w:i/>
          <w:color w:val="000000"/>
          <w:sz w:val="22"/>
        </w:rPr>
        <w:t xml:space="preserve">Systems which are determined to be not viable.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Applicability. The following applies to community, nontransient noncommunity, and transient noncommunity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applying for DWSRF loan funds must be viable, or the loan funds must be used to assist the system in attaining viable status. If a system making a loan application is found to be not viable, and loan funds will not be sufficient or available to ensure viability, then the situation must be corrected to the department’s satisfaction prior to qualification to apply for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which meet the department’s criteria of significant noncompliance are not considered viable. The viability assessment completed by the public water supply and the most recent sanitary survey results will be evaluated by the department to assist the system in returning to and remaining in compliance, which would achieve viability. Required corrective actions will be specified in the system’s operation permit and will include a compliance schedule. Field office inspections will be conducted on an as-needed basis to assist the system in implementing the required system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experiencing technical, managerial, or financial problems as noted by department in the sanitary survey will be considered not viable. The viability assessment completed by the public water supply will be evaluated by the department to assist the system in attaining viability, and any required corrective actions will be specified in the system’s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unable to retain a certified operator will be considered not viable. All community and nontransient noncommunity water systems, and transient noncommunity water systems as denoted by the department, are required to have a certified operator who meets the requirements of </w:t>
      </w:r>
      <w:hyperlink r:id="rId413">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The viability assessment completed by the public water supply will be used to determine the source of the problem, and required corrective actions will be specified in the system’s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43.8(7)</w:t>
      </w:r>
      <w:r>
        <w:rPr>
          <w:rFonts w:ascii="Times New Roman" w:hAnsi="Times New Roman"/>
          <w:b w:val="false"/>
          <w:i w:val="false"/>
          <w:color w:val="000000"/>
          <w:sz w:val="22"/>
        </w:rPr>
        <w:t> </w:t>
      </w:r>
      <w:r>
        <w:rPr>
          <w:rFonts w:ascii="Times New Roman" w:hAnsi="Times New Roman"/>
          <w:b w:val="false"/>
          <w:i/>
          <w:color w:val="000000"/>
          <w:sz w:val="22"/>
        </w:rPr>
        <w:t xml:space="preserve">Revocation or denial of operation or construction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Revocation or denial of an operation permit. </w:t>
      </w:r>
      <w:r>
        <w:rPr>
          <w:rFonts w:ascii="Times New Roman" w:hAnsi="Times New Roman"/>
          <w:b w:val="false"/>
          <w:i w:val="false"/>
          <w:color w:val="000000"/>
          <w:sz w:val="22"/>
        </w:rPr>
        <w:t>Failure to correct the deficiencies regarding viability, as identified in accordance with a compliance schedule set by the department, may result in revocation or denial of the system’s operation permit. If the department revokes or denies the operation permit, the owner of the system must negotiate an alternative arrangement with the department for providing treatment or water supply services within 30 days of receipt of the notification by the department unless the owner of the supply appeals the decision to the department. The public water supply is required to provide water that continually meets all health-based standards during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Denial of new construction permits for an existing system. </w:t>
      </w:r>
      <w:r>
        <w:rPr>
          <w:rFonts w:ascii="Times New Roman" w:hAnsi="Times New Roman"/>
          <w:b w:val="false"/>
          <w:i w:val="false"/>
          <w:color w:val="000000"/>
          <w:sz w:val="22"/>
        </w:rPr>
        <w:t xml:space="preserve">In addition to the criteria provided in </w:t>
      </w:r>
      <w:hyperlink r:id="rId414">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415">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new construction permits for water system improvements may be denied until the system makes the required corrections and attains viable status unless the proposed project is necessary to attain viability.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conform to approved construction plans and specifications, or to comply with the requirements of </w:t>
      </w:r>
      <w:hyperlink r:id="rId416">
        <w:r>
          <w:rPr>
            <w:rStyle w:val="Hyperlink"/>
            <w:rFonts w:ascii="Times New Roman" w:hAnsi="Times New Roman"/>
            <w:b w:val="false"/>
            <w:i/>
            <w:color w:val="000000"/>
            <w:sz w:val="22"/>
          </w:rPr>
          <w:t>567—Chapters 40</w:t>
        </w:r>
      </w:hyperlink>
      <w:r>
        <w:rPr>
          <w:rFonts w:ascii="Times New Roman" w:hAnsi="Times New Roman"/>
          <w:b w:val="false"/>
          <w:i/>
          <w:color w:val="000000"/>
          <w:sz w:val="22"/>
        </w:rPr>
        <w:t xml:space="preserve"> to </w:t>
      </w:r>
      <w:hyperlink r:id="rId417">
        <w:r>
          <w:rPr>
            <w:rStyle w:val="Hyperlink"/>
            <w:rFonts w:ascii="Times New Roman" w:hAnsi="Times New Roman"/>
            <w:b w:val="false"/>
            <w:i/>
            <w:color w:val="000000"/>
            <w:sz w:val="22"/>
          </w:rPr>
          <w:t>44</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Failure of a project to conform to approved construction plans and specifications, or failure to comply with the requirements of </w:t>
      </w:r>
      <w:hyperlink r:id="rId418">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419">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constitutes grounds for the director to withhold the applicable construction and operation permits. The system is then responsible for ensuring that the identified problem with the project is rectified so that permits may be issued. Once an agreement for correcting the problem is reached between the department and the system, the department will issue the appropriate permits according to the provisions of the agreement. If an agreement cannot be reached within a reasonable time period, the permit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notification denying the permit. </w:t>
      </w:r>
      <w:r>
        <w:rPr>
          <w:rFonts w:ascii="Times New Roman" w:hAnsi="Times New Roman"/>
          <w:b w:val="false"/>
          <w:i w:val="false"/>
          <w:color w:val="000000"/>
          <w:sz w:val="22"/>
        </w:rPr>
        <w:t>The notification of denial or withholding approval of the operation or construction permit will state the department’s reasons for withholding or denying permit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43.8(8)</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formal review of determination of viability. </w:t>
      </w:r>
      <w:r>
        <w:rPr>
          <w:rFonts w:ascii="Times New Roman" w:hAnsi="Times New Roman"/>
          <w:b w:val="false"/>
          <w:i w:val="false"/>
          <w:color w:val="000000"/>
          <w:sz w:val="22"/>
        </w:rPr>
        <w:t>A person or entity who disagrees with the decision regarding the viability of a public water supply system may request a formal review of the action. A request for review must be submitted in writing to the director by the owner or their designee within 30 days of the date of notification by the department of the viability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of operation or construction permit. </w:t>
      </w:r>
      <w:r>
        <w:rPr>
          <w:rFonts w:ascii="Times New Roman" w:hAnsi="Times New Roman"/>
          <w:b w:val="false"/>
          <w:i w:val="false"/>
          <w:color w:val="000000"/>
          <w:sz w:val="22"/>
        </w:rPr>
        <w:t xml:space="preserve">A decision to deny an operation or construction permit may be appealed by the applicant to the environmental protection commission pursuant to </w:t>
      </w:r>
      <w:hyperlink r:id="rId420">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The appeal must be made in writing to the director within 30 days of receiving the notice of denial by the owner of the public water supply.</w:t>
      </w:r>
    </w:p>
    <w:p>
      <w:pPr>
        <w:spacing w:before="0" w:after="0"/>
        <w:ind w:left="120"/>
        <w:jc w:val="both"/>
      </w:pPr>
      <w:r>
        <w:rPr>
          <w:rFonts w:ascii="Times New Roman" w:hAnsi="Times New Roman"/>
          <w:b/>
          <w:i w:val="false"/>
          <w:color w:val="000000"/>
          <w:sz w:val="22"/>
        </w:rPr>
        <w:t>567—43.9</w:t>
      </w:r>
      <w:r>
        <w:rPr>
          <w:rFonts w:ascii="Times New Roman" w:hAnsi="Times New Roman"/>
          <w:b/>
          <w:i w:val="false"/>
          <w:color w:val="000000"/>
          <w:sz w:val="22"/>
        </w:rPr>
        <w:t xml:space="preserve">(455B) </w:t>
      </w:r>
      <w:r>
        <w:rPr>
          <w:rFonts w:ascii="Times New Roman" w:hAnsi="Times New Roman"/>
          <w:b/>
          <w:i w:val="false"/>
          <w:color w:val="000000"/>
          <w:sz w:val="22"/>
        </w:rPr>
        <w:t xml:space="preserve">Enhanced filtration and disinfection requirements for surface water and IGW systems serving at least 10,000 people.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requirements of this rule constitute national primary drinking water regulations. This rule establishes the filtration and disinfection requirements that are in addition to criteria under which filtration and disinfection are required in </w:t>
      </w:r>
      <w:hyperlink r:id="rId421">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The requirements of this rule are applicable, beginning January 1, 2002, to all public water systems using surface water or groundwater under the direct influence of surface water, in whole or in part, and which serve at least 10,000 people. This rule establishes or extends treatment technique requirements in lieu of maximum contaminant levels for the following contaminants: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viruses, heterotrophic plate count bacteria, </w:t>
      </w:r>
      <w:r>
        <w:rPr>
          <w:rFonts w:ascii="Times New Roman" w:hAnsi="Times New Roman"/>
          <w:b w:val="false"/>
          <w:i/>
          <w:color w:val="000000"/>
          <w:sz w:val="22"/>
        </w:rPr>
        <w:t>Legionella</w:t>
      </w:r>
      <w:r>
        <w:rPr>
          <w:rFonts w:ascii="Times New Roman" w:hAnsi="Times New Roman"/>
          <w:b w:val="false"/>
          <w:i w:val="false"/>
          <w:color w:val="000000"/>
          <w:sz w:val="22"/>
        </w:rPr>
        <w:t xml:space="preser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and turbidity. Each surface water or groundwater under the direct influence of surface water system serving at least 10,000 people must provide treatment of its source water that complies with these treatment technique requirements and they are in addition to those identified in subrule </w:t>
      </w:r>
      <w:hyperlink r:id="rId422">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 The treatment technique requirements consist of installing and properly operating water treatment processes that reliably achieve: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99 percent (2-log)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between a point where the raw water is not subject to recontamination by surface water runoff and a point downstream before or at the first customer for filtered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profiling and benchmark requirements under </w:t>
      </w:r>
      <w:hyperlink r:id="rId423">
        <w:r>
          <w:rPr>
            <w:rStyle w:val="Hyperlink"/>
            <w:rFonts w:ascii="Times New Roman" w:hAnsi="Times New Roman"/>
            <w:b w:val="false"/>
            <w:i w:val="false"/>
            <w:color w:val="000000"/>
            <w:sz w:val="22"/>
          </w:rPr>
          <w:t>43.9(2)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other surface water or groundwater under the direct influence of surface water systems to comply with this rule, through an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determination. </w:t>
      </w:r>
      <w:r>
        <w:rPr>
          <w:rFonts w:ascii="Times New Roman" w:hAnsi="Times New Roman"/>
          <w:b w:val="false"/>
          <w:i w:val="false"/>
          <w:color w:val="000000"/>
          <w:sz w:val="22"/>
        </w:rPr>
        <w:t xml:space="preserve">A public water system subject to the requirements of this rule is considered to be in compliance with the requirements of </w:t>
      </w:r>
      <w:hyperlink r:id="rId424">
        <w:r>
          <w:rPr>
            <w:rStyle w:val="Hyperlink"/>
            <w:rFonts w:ascii="Times New Roman" w:hAnsi="Times New Roman"/>
            <w:b w:val="false"/>
            <w:i w:val="false"/>
            <w:color w:val="000000"/>
            <w:sz w:val="22"/>
          </w:rPr>
          <w:t>43.9(1)</w:t>
        </w:r>
      </w:hyperlink>
      <w:r>
        <w:rPr>
          <w:rFonts w:ascii="Times New Roman" w:hAnsi="Times New Roman"/>
          <w:b w:val="false"/>
          <w:i/>
          <w:color w:val="000000"/>
          <w:sz w:val="22"/>
        </w:rPr>
        <w:t>“a”</w:t>
      </w:r>
      <w:r>
        <w:rPr>
          <w:rFonts w:ascii="Times New Roman" w:hAnsi="Times New Roman"/>
          <w:b w:val="false"/>
          <w:i w:val="false"/>
          <w:color w:val="000000"/>
          <w:sz w:val="22"/>
        </w:rPr>
        <w:t xml:space="preserve"> if it meets the applicable filtration requirements in either </w:t>
      </w:r>
      <w:hyperlink r:id="rId425">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or </w:t>
      </w:r>
      <w:hyperlink r:id="rId426">
        <w:r>
          <w:rPr>
            <w:rStyle w:val="Hyperlink"/>
            <w:rFonts w:ascii="Times New Roman" w:hAnsi="Times New Roman"/>
            <w:b w:val="false"/>
            <w:i w:val="false"/>
            <w:color w:val="000000"/>
            <w:sz w:val="22"/>
          </w:rPr>
          <w:t>43.9(3)</w:t>
        </w:r>
      </w:hyperlink>
      <w:r>
        <w:rPr>
          <w:rFonts w:ascii="Times New Roman" w:hAnsi="Times New Roman"/>
          <w:b w:val="false"/>
          <w:i w:val="false"/>
          <w:color w:val="000000"/>
          <w:sz w:val="22"/>
        </w:rPr>
        <w:t xml:space="preserve"> and the disinfection requirements in </w:t>
      </w:r>
      <w:hyperlink r:id="rId427">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and </w:t>
      </w:r>
      <w:hyperlink r:id="rId428">
        <w:r>
          <w:rPr>
            <w:rStyle w:val="Hyperlink"/>
            <w:rFonts w:ascii="Times New Roman" w:hAnsi="Times New Roman"/>
            <w:b w:val="false"/>
            <w:i w:val="false"/>
            <w:color w:val="000000"/>
            <w:sz w:val="22"/>
          </w:rPr>
          <w:t>43.6(2)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Prohibition of new construction of uncovered intermediate or finished water storage facilities. </w:t>
      </w:r>
      <w:r>
        <w:rPr>
          <w:rFonts w:ascii="Times New Roman" w:hAnsi="Times New Roman"/>
          <w:b w:val="false"/>
          <w:i w:val="false"/>
          <w:color w:val="000000"/>
          <w:sz w:val="22"/>
        </w:rPr>
        <w:t>Systems that are required to comply with this rule may construct only covered intermediate or finished water storage facilities. For the purposes of this rule, an intermediate storage facility is defined as a storage facility or reservoir after the clarification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Systems with populations that increased after January 1, 2002, to more than 10,000 people served. </w:t>
      </w:r>
      <w:r>
        <w:rPr>
          <w:rFonts w:ascii="Times New Roman" w:hAnsi="Times New Roman"/>
          <w:b w:val="false"/>
          <w:i w:val="false"/>
          <w:color w:val="000000"/>
          <w:sz w:val="22"/>
        </w:rPr>
        <w:t xml:space="preserve">Systems using surface water or influenced groundwater sources that did not conduct optional monitoring under </w:t>
      </w:r>
      <w:hyperlink r:id="rId429">
        <w:r>
          <w:rPr>
            <w:rStyle w:val="Hyperlink"/>
            <w:rFonts w:ascii="Times New Roman" w:hAnsi="Times New Roman"/>
            <w:b w:val="false"/>
            <w:i w:val="false"/>
            <w:color w:val="000000"/>
            <w:sz w:val="22"/>
          </w:rPr>
          <w:t>43.9(2)</w:t>
        </w:r>
      </w:hyperlink>
      <w:r>
        <w:rPr>
          <w:rFonts w:ascii="Times New Roman" w:hAnsi="Times New Roman"/>
          <w:b w:val="false"/>
          <w:i w:val="false"/>
          <w:color w:val="000000"/>
          <w:sz w:val="22"/>
        </w:rPr>
        <w:t xml:space="preserve"> because they served fewer than 10,000 persons when such monitoring was required, but serve more than 10,000 persons prior to January 1, 2005, must comply with </w:t>
      </w:r>
      <w:hyperlink r:id="rId430">
        <w:r>
          <w:rPr>
            <w:rStyle w:val="Hyperlink"/>
            <w:rFonts w:ascii="Times New Roman" w:hAnsi="Times New Roman"/>
            <w:b w:val="false"/>
            <w:i w:val="false"/>
            <w:color w:val="000000"/>
            <w:sz w:val="22"/>
          </w:rPr>
          <w:t>43.9(1)</w:t>
        </w:r>
      </w:hyperlink>
      <w:r>
        <w:rPr>
          <w:rFonts w:ascii="Times New Roman" w:hAnsi="Times New Roman"/>
          <w:b w:val="false"/>
          <w:i w:val="false"/>
          <w:color w:val="000000"/>
          <w:sz w:val="22"/>
        </w:rPr>
        <w:t xml:space="preserve">, </w:t>
      </w:r>
      <w:hyperlink r:id="rId431">
        <w:r>
          <w:rPr>
            <w:rStyle w:val="Hyperlink"/>
            <w:rFonts w:ascii="Times New Roman" w:hAnsi="Times New Roman"/>
            <w:b w:val="false"/>
            <w:i w:val="false"/>
            <w:color w:val="000000"/>
            <w:sz w:val="22"/>
          </w:rPr>
          <w:t>43.9(3)</w:t>
        </w:r>
      </w:hyperlink>
      <w:r>
        <w:rPr>
          <w:rFonts w:ascii="Times New Roman" w:hAnsi="Times New Roman"/>
          <w:b w:val="false"/>
          <w:i w:val="false"/>
          <w:color w:val="000000"/>
          <w:sz w:val="22"/>
        </w:rPr>
        <w:t xml:space="preserve">, </w:t>
      </w:r>
      <w:hyperlink r:id="rId432">
        <w:r>
          <w:rPr>
            <w:rStyle w:val="Hyperlink"/>
            <w:rFonts w:ascii="Times New Roman" w:hAnsi="Times New Roman"/>
            <w:b w:val="false"/>
            <w:i w:val="false"/>
            <w:color w:val="000000"/>
            <w:sz w:val="22"/>
          </w:rPr>
          <w:t>43.9(4)</w:t>
        </w:r>
      </w:hyperlink>
      <w:r>
        <w:rPr>
          <w:rFonts w:ascii="Times New Roman" w:hAnsi="Times New Roman"/>
          <w:b w:val="false"/>
          <w:i w:val="false"/>
          <w:color w:val="000000"/>
          <w:sz w:val="22"/>
        </w:rPr>
        <w:t xml:space="preserve">, and </w:t>
      </w:r>
      <w:hyperlink r:id="rId433">
        <w:r>
          <w:rPr>
            <w:rStyle w:val="Hyperlink"/>
            <w:rFonts w:ascii="Times New Roman" w:hAnsi="Times New Roman"/>
            <w:b w:val="false"/>
            <w:i w:val="false"/>
            <w:color w:val="000000"/>
            <w:sz w:val="22"/>
          </w:rPr>
          <w:t>43.9(5)</w:t>
        </w:r>
      </w:hyperlink>
      <w:r>
        <w:rPr>
          <w:rFonts w:ascii="Times New Roman" w:hAnsi="Times New Roman"/>
          <w:b w:val="false"/>
          <w:i w:val="false"/>
          <w:color w:val="000000"/>
          <w:sz w:val="22"/>
        </w:rPr>
        <w:t xml:space="preserve">. These systems must also consult with the department to establish a disinfection benchmark. A system that decides to make a significant change to its disinfection practice as described in </w:t>
      </w:r>
      <w:hyperlink r:id="rId434">
        <w:r>
          <w:rPr>
            <w:rStyle w:val="Hyperlink"/>
            <w:rFonts w:ascii="Times New Roman" w:hAnsi="Times New Roman"/>
            <w:b w:val="false"/>
            <w:i w:val="false"/>
            <w:color w:val="000000"/>
            <w:sz w:val="22"/>
          </w:rPr>
          <w:t>43.9(2)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“1” through “4” must consult with the department prior to making such a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43.9(2)</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and benchmarking.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systems required to profile. </w:t>
      </w:r>
      <w:r>
        <w:rPr>
          <w:rFonts w:ascii="Times New Roman" w:hAnsi="Times New Roman"/>
          <w:b w:val="false"/>
          <w:i w:val="false"/>
          <w:color w:val="000000"/>
          <w:sz w:val="22"/>
        </w:rPr>
        <w:t>A public water system subject to the requirements of this rule must determine its total trihalomethane (TTHM) and haloacetic acid (HAA5) annual averages using the procedures listed below. The annual average is the arithmetic average of the quarterly averages of four consecutive quarters of monitoring. Both the TTHM and HAA5 samples must be collected as paired samples during the same time period in order for each parameter to have the same annual average period for result comparison. A paired sample is one that is collected at the same location and time and is analyzed for both TTHM and HAA5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Allowance of information collection rule data. Those systems that collected data under the provisions of the federal Information Collection Rule listed in Code of Federal Regulations Title 40, Part 141, Subpart M, must use the results of the TTHM and HAA5 samples collected during the last four quarters of monitoring required under 40 CFR 141.142. The system must have submitted the results of the samples collected during the last 12 months of required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that have not collected TTHM and HAA5 data under </w:t>
      </w:r>
      <w:hyperlink r:id="rId435">
        <w:r>
          <w:rPr>
            <w:rStyle w:val="Hyperlink"/>
            <w:rFonts w:ascii="Times New Roman" w:hAnsi="Times New Roman"/>
            <w:b w:val="false"/>
            <w:i w:val="false"/>
            <w:color w:val="000000"/>
            <w:sz w:val="22"/>
          </w:rPr>
          <w:t>43.9(2)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Those systems that have not collected four consecutive quarters of paired TTHM and HAA5 samples as described under </w:t>
      </w:r>
      <w:hyperlink r:id="rId436">
        <w:r>
          <w:rPr>
            <w:rStyle w:val="Hyperlink"/>
            <w:rFonts w:ascii="Times New Roman" w:hAnsi="Times New Roman"/>
            <w:b w:val="false"/>
            <w:i w:val="false"/>
            <w:color w:val="000000"/>
            <w:sz w:val="22"/>
          </w:rPr>
          <w:t>43.9(2)</w:t>
        </w:r>
      </w:hyperlink>
      <w:r>
        <w:rPr>
          <w:rFonts w:ascii="Times New Roman" w:hAnsi="Times New Roman"/>
          <w:b w:val="false"/>
          <w:i/>
          <w:color w:val="000000"/>
          <w:sz w:val="22"/>
        </w:rPr>
        <w:t>“a”</w:t>
      </w:r>
      <w:r>
        <w:rPr>
          <w:rFonts w:ascii="Times New Roman" w:hAnsi="Times New Roman"/>
          <w:b w:val="false"/>
          <w:i w:val="false"/>
          <w:color w:val="000000"/>
          <w:sz w:val="22"/>
        </w:rPr>
        <w:t xml:space="preserve">(1) must comply with all other provisions of this subrule as if the HAA5 monitoring had been conducted and the results of that monitoring required compliance with </w:t>
      </w:r>
      <w:hyperlink r:id="rId437">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system that elects this option must notify the department in writing of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that a system use a more representative annual data set than the data set determined under 567—subparagraph 42.9(2)</w:t>
      </w:r>
      <w:r>
        <w:rPr>
          <w:rFonts w:ascii="Times New Roman" w:hAnsi="Times New Roman"/>
          <w:b w:val="false"/>
          <w:i/>
          <w:color w:val="000000"/>
          <w:sz w:val="22"/>
        </w:rPr>
        <w:t>“a”</w:t>
      </w:r>
      <w:r>
        <w:rPr>
          <w:rFonts w:ascii="Times New Roman" w:hAnsi="Times New Roman"/>
          <w:b w:val="false"/>
          <w:i w:val="false"/>
          <w:color w:val="000000"/>
          <w:sz w:val="22"/>
        </w:rPr>
        <w:t>(1) for the purpose of determining applicability of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Profiling determination criteria. Any system having either a TTHM annual average greater than 0.064 mg/L or an HAA5 annual average greater than 0.048 mg/L during the period identified in </w:t>
      </w:r>
      <w:hyperlink r:id="rId438">
        <w:r>
          <w:rPr>
            <w:rStyle w:val="Hyperlink"/>
            <w:rFonts w:ascii="Times New Roman" w:hAnsi="Times New Roman"/>
            <w:b w:val="false"/>
            <w:i w:val="false"/>
            <w:color w:val="000000"/>
            <w:sz w:val="22"/>
          </w:rPr>
          <w:t>43.9(2)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(3) must comply with </w:t>
      </w:r>
      <w:hyperlink r:id="rId439">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Any system that meets the criteria in </w:t>
      </w:r>
      <w:hyperlink r:id="rId440">
        <w:r>
          <w:rPr>
            <w:rStyle w:val="Hyperlink"/>
            <w:rFonts w:ascii="Times New Roman" w:hAnsi="Times New Roman"/>
            <w:b w:val="false"/>
            <w:i w:val="false"/>
            <w:color w:val="000000"/>
            <w:sz w:val="22"/>
          </w:rPr>
          <w:t>43.9(2)</w:t>
        </w:r>
      </w:hyperlink>
      <w:r>
        <w:rPr>
          <w:rFonts w:ascii="Times New Roman" w:hAnsi="Times New Roman"/>
          <w:b w:val="false"/>
          <w:i/>
          <w:color w:val="000000"/>
          <w:sz w:val="22"/>
        </w:rPr>
        <w:t>“a”</w:t>
      </w:r>
      <w:r>
        <w:rPr>
          <w:rFonts w:ascii="Times New Roman" w:hAnsi="Times New Roman"/>
          <w:b w:val="false"/>
          <w:i w:val="false"/>
          <w:color w:val="000000"/>
          <w:sz w:val="22"/>
        </w:rPr>
        <w:t>(4) must develop a disinfection profile of its disinfection practice for a period of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requirements. The system must monitor daily for a period of 12 consecutive calendar months to determine the total logs of inactivation for each day of operation, based on the CT</w:t>
      </w:r>
      <w:r>
        <w:rPr>
          <w:rFonts w:ascii="Times New Roman" w:hAnsi="Times New Roman"/>
          <w:b w:val="false"/>
          <w:i w:val="false"/>
          <w:color w:val="000000"/>
          <w:sz w:val="18"/>
          <w:vertAlign w:val="subscript"/>
        </w:rPr>
        <w:t xml:space="preserve">99.9 </w:t>
      </w:r>
      <w:r>
        <w:rPr>
          <w:rFonts w:ascii="Times New Roman" w:hAnsi="Times New Roman"/>
          <w:b w:val="false"/>
          <w:i w:val="false"/>
          <w:color w:val="000000"/>
          <w:sz w:val="22"/>
        </w:rPr>
        <w:t xml:space="preserve">values in Tables 1 through 8 in Appendix A, as appropriate, through the entire treatment plant. This system must begin this monitoring as directed by the department. As a minimum, the system with a single point of disinfectant application prior to entrance to the distribution system must conduct the monitoring in </w:t>
      </w:r>
      <w:hyperlink r:id="rId441">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 xml:space="preserve">(2)“1” through “4.” A system with more than one point of disinfectant application must conduct the monitoring in </w:t>
      </w:r>
      <w:hyperlink r:id="rId442">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 xml:space="preserve">(2)“1” through “4” for each disinfection segment. The system must monitor the parameters necessary to determine the total inactivation ratio, using analytical methods in </w:t>
      </w:r>
      <w:hyperlink r:id="rId443">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temperature of the disinfected water must be measured once per day at each residual disinfectant concentration sampling point during peak hourly flow.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system uses chlorine, the pH of the disinfected water must be measured once per day at each chlorine residual disinfectant concentration sampling point during peak hourly flow.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disinfectant contact time(s) (“T”) must be determined for each day during peak hourly flow.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residual disinfectant concentration(s) (“C”) of the water before or at the first customer and prior to each additional point of disinfection must be measured each day during peak hourly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existing data. A system that has existing operational data may use those data to develop a disinfection profile for additional years, in addition to the disinfection profile generated under </w:t>
      </w:r>
      <w:hyperlink r:id="rId444">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 xml:space="preserve">(2). Such systems may use these additional yearly disinfection profiles to develop a benchmark under the provisions of </w:t>
      </w:r>
      <w:hyperlink r:id="rId445">
        <w:r>
          <w:rPr>
            <w:rStyle w:val="Hyperlink"/>
            <w:rFonts w:ascii="Times New Roman" w:hAnsi="Times New Roman"/>
            <w:b w:val="false"/>
            <w:i w:val="false"/>
            <w:color w:val="000000"/>
            <w:sz w:val="22"/>
          </w:rPr>
          <w:t>43.9(2)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must determine whether these operational data are substantially equivalent to data collected under the provisions of </w:t>
      </w:r>
      <w:hyperlink r:id="rId446">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(2). These data must also be representative of inactivation through the entire treatment plant and not just of certain treatment segments.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Calculation of the total inactivation ratio. The system must calculate the total inactivation ratio as follows, using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values from Tables 1 through 8 listed in Appendix A:</w:t>
      </w:r>
    </w:p>
    <w:p>
      <w:pPr>
        <w:spacing w:before="0" w:after="0"/>
        <w:ind w:left="120"/>
        <w:jc w:val="both"/>
      </w:pPr>
      <w:r>
        <w:rPr>
          <w:rFonts w:ascii="Times New Roman" w:hAnsi="Times New Roman"/>
          <w:b w:val="false"/>
          <w:i w:val="false"/>
          <w:color w:val="000000"/>
          <w:sz w:val="22"/>
        </w:rPr>
        <w:t>1. If the system uses only one point of disinfectant application, the system may determine the total inactivation ratio for the disinfection segment based on either of the following two methods: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one inactivation ratio (CTcalc/CT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before or at the first customer during peak hourly flow.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successive CTcalc/CT</w:t>
      </w:r>
      <w:r>
        <w:rPr>
          <w:rFonts w:ascii="Times New Roman" w:hAnsi="Times New Roman"/>
          <w:b w:val="false"/>
          <w:i w:val="false"/>
          <w:color w:val="000000"/>
          <w:sz w:val="18"/>
          <w:vertAlign w:val="subscript"/>
        </w:rPr>
        <w:t xml:space="preserve">99.9 </w:t>
      </w:r>
      <w:r>
        <w:rPr>
          <w:rFonts w:ascii="Times New Roman" w:hAnsi="Times New Roman"/>
          <w:b w:val="false"/>
          <w:i w:val="false"/>
          <w:color w:val="000000"/>
          <w:sz w:val="22"/>
        </w:rPr>
        <w:t>values, representing sequential inactivation ratios, between the point of disinfectant application and a point before or at the first customer during peak hourly flow. Under this alternative, the system must calculate the total inactivation ratio by determining (CTcalc/CT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for each sequence and then adding the (CTcalc/CT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values together to determine Σ(CTcalc/CT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 If the system uses more than one point of disinfectant application before the first customer, the system must determine the CT value of each disinfection segment immediately prior to the next point of disinfectant application, or for the final segment, before or at the first customer, during peak hourly flow. The CTcalc/CT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 of each segment and Σ(CTcalc/CT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must be calculated using the method in </w:t>
      </w:r>
      <w:hyperlink r:id="rId447">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(4)“1.”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system must determine the total logs of inactivation by multiplying the value calculated in </w:t>
      </w:r>
      <w:hyperlink r:id="rId448">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(4)“1” or “2” by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Systems using chloramines or ozone. A system that uses either chloramines or ozone for primary disinfection must also calculate the logs of inactivation for viruses using a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Profile retention requirements. The system must retain disinfection profile data in graphic form, as a spreadsheet, or in some other format acceptable to the department for review as part of sanitary surveys conducted by the department. The department may require the system to submit the data to the department directly or as part of a monthly operation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Disinfection benchmarking.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 change to disinfection practice. Any system required to develop a disinfection profile under the provisions of </w:t>
      </w:r>
      <w:hyperlink r:id="rId449">
        <w:r>
          <w:rPr>
            <w:rStyle w:val="Hyperlink"/>
            <w:rFonts w:ascii="Times New Roman" w:hAnsi="Times New Roman"/>
            <w:b w:val="false"/>
            <w:i w:val="false"/>
            <w:color w:val="000000"/>
            <w:sz w:val="22"/>
          </w:rPr>
          <w:t>43.9(2)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that decides to make a significant change to its disinfection practice must obtain department approval prior to making such change. Significant changes to disinfection practice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Changes to the point of disinfection;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Changes to the disinfectant(s) used in the treatment plant;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Changes to the disinfection process; and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other modification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Calculation of the disinfection benchmark. Any system that is modifying its disinfection practice must calculate its disinfection benchmark using the procedure specified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each year of profiling data collected and calculated under </w:t>
      </w:r>
      <w:hyperlink r:id="rId450">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system must determine the lowest average monthly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in each year of profiling data. The system must determine the average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for each calendar month for each year of profiling data by dividing the sum of daily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by the number of values calculated for that month.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disinfection benchmark is the lowest monthly average value (for systems with one year of profiling data) or average of lowest monthly average values (for systems with more than one year of profiling data) of the monthly logs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in each year of profiling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system that uses either chloramines or ozone for primary disinfection must also calculate the disinfection benchmark for viruses using a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system must submit the following information to the department as part of its consultation process: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proposed change;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disinfection profile for </w:t>
      </w:r>
      <w:r>
        <w:rPr>
          <w:rFonts w:ascii="Times New Roman" w:hAnsi="Times New Roman"/>
          <w:b w:val="false"/>
          <w:i/>
          <w:color w:val="000000"/>
          <w:sz w:val="22"/>
        </w:rPr>
        <w:t xml:space="preserve">Giardia lamblia </w:t>
      </w:r>
      <w:r>
        <w:rPr>
          <w:rFonts w:ascii="Times New Roman" w:hAnsi="Times New Roman"/>
          <w:b w:val="false"/>
          <w:i w:val="false"/>
          <w:color w:val="000000"/>
          <w:sz w:val="22"/>
        </w:rPr>
        <w:t xml:space="preserve">(and, if necessary, viruses) under </w:t>
      </w:r>
      <w:hyperlink r:id="rId451">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the disinfection benchmark as required by </w:t>
      </w:r>
      <w:hyperlink r:id="rId452">
        <w:r>
          <w:rPr>
            <w:rStyle w:val="Hyperlink"/>
            <w:rFonts w:ascii="Times New Roman" w:hAnsi="Times New Roman"/>
            <w:b w:val="false"/>
            <w:i w:val="false"/>
            <w:color w:val="000000"/>
            <w:sz w:val="22"/>
          </w:rPr>
          <w:t>43.9(2)</w:t>
        </w:r>
      </w:hyperlink>
      <w:r>
        <w:rPr>
          <w:rFonts w:ascii="Times New Roman" w:hAnsi="Times New Roman"/>
          <w:b w:val="false"/>
          <w:i/>
          <w:color w:val="000000"/>
          <w:sz w:val="22"/>
        </w:rPr>
        <w:t>“c”</w:t>
      </w:r>
      <w:r>
        <w:rPr>
          <w:rFonts w:ascii="Times New Roman" w:hAnsi="Times New Roman"/>
          <w:b w:val="false"/>
          <w:i w:val="false"/>
          <w:color w:val="000000"/>
          <w:sz w:val="22"/>
        </w:rPr>
        <w:t>(2);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analysis of how the proposed change will affect the current levels of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43.9(3)</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Conventional filtration treatment or direct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Turbidity requirement in 95 percent of samples. For systems using conventional filtration or direct filtration, the turbidity level of representative samples of a system’s filtered water (combined filter effluent or CFE) must be less than or equal to 0.3 NTU in at least 95 percent of the measurements taken each month, measured as specified in </w:t>
      </w:r>
      <w:hyperlink r:id="rId453">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454">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Maximum turbidity level. The turbidity level of representative samples of a system’s filtered water (combined filter effluent or CFE) must at no time exceed 1 NTU, measured as specified in </w:t>
      </w:r>
      <w:hyperlink r:id="rId455">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456">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 If at any time the combined filter effluent turbidity exceeds 1 NTU, either in a grab sample used for compliance or in a continuously monitored flow, the system must inform the department as soon as possible, but no later than 24 hours after the exceedance is known, in accordance with the public notification requirements under 567—subparagraph 42.1(3)</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with lime-softening treatment. A system that uses lime softening may acidify representative samples prior to analysis using a protocol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Filtration technologies other than conventional filtration treatment, direct filtration, slow sand filtration, or diatomaceous earth filtration. </w:t>
      </w:r>
      <w:r>
        <w:rPr>
          <w:rFonts w:ascii="Times New Roman" w:hAnsi="Times New Roman"/>
          <w:b w:val="false"/>
          <w:i w:val="false"/>
          <w:color w:val="000000"/>
          <w:sz w:val="22"/>
        </w:rPr>
        <w:t xml:space="preserve">The department may allow a public water system to use a filtration technology not listed in </w:t>
      </w:r>
      <w:hyperlink r:id="rId457">
        <w:r>
          <w:rPr>
            <w:rStyle w:val="Hyperlink"/>
            <w:rFonts w:ascii="Times New Roman" w:hAnsi="Times New Roman"/>
            <w:b w:val="false"/>
            <w:i w:val="false"/>
            <w:color w:val="000000"/>
            <w:sz w:val="22"/>
          </w:rPr>
          <w:t>43.9(3)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458">
        <w:r>
          <w:rPr>
            <w:rStyle w:val="Hyperlink"/>
            <w:rFonts w:ascii="Times New Roman" w:hAnsi="Times New Roman"/>
            <w:b w:val="false"/>
            <w:i w:val="false"/>
            <w:color w:val="000000"/>
            <w:sz w:val="22"/>
          </w:rPr>
          <w:t>43.5(3)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if it demonstrates to the department, using pilot plant studies or other means, that the alternative filtration technology, in combination with disinfection treatment that meets the requirements of </w:t>
      </w:r>
      <w:hyperlink r:id="rId459">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consistently achieves 99.9 percent removal or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99.99 percent removal or inactivation of viruses, and 99 percent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 and the department approves the use of the filtration technology. For each approval, the department will set turbidity performance requirements that the system must meet at least 95 percent of the time and the requirement that the system shall not exceed at any time at a level that consistently achieves 99.9 percent removal or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99.99 percent removal or inactivation of viruses, and 99 percent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43.9(4)</w:t>
      </w:r>
      <w:r>
        <w:rPr>
          <w:rFonts w:ascii="Times New Roman" w:hAnsi="Times New Roman"/>
          <w:b w:val="false"/>
          <w:i w:val="false"/>
          <w:color w:val="000000"/>
          <w:sz w:val="22"/>
        </w:rPr>
        <w:t> </w:t>
      </w:r>
      <w:r>
        <w:rPr>
          <w:rFonts w:ascii="Times New Roman" w:hAnsi="Times New Roman"/>
          <w:b w:val="false"/>
          <w:i/>
          <w:color w:val="000000"/>
          <w:sz w:val="22"/>
        </w:rPr>
        <w:t xml:space="preserve">Filtration sampling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for systems using filtration treatment. </w:t>
      </w:r>
      <w:r>
        <w:rPr>
          <w:rFonts w:ascii="Times New Roman" w:hAnsi="Times New Roman"/>
          <w:b w:val="false"/>
          <w:i w:val="false"/>
          <w:color w:val="000000"/>
          <w:sz w:val="22"/>
        </w:rPr>
        <w:t xml:space="preserve">In addition to monitoring required by </w:t>
      </w:r>
      <w:hyperlink r:id="rId460">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a public water system subject to the requirements of this rule that provides conventional filtration treatment or direct filtration must conduct continuous monitoring of turbidity for each individual filter using an approved method in 43.5(4)</w:t>
      </w:r>
      <w:r>
        <w:rPr>
          <w:rFonts w:ascii="Times New Roman" w:hAnsi="Times New Roman"/>
          <w:b w:val="false"/>
          <w:i/>
          <w:color w:val="000000"/>
          <w:sz w:val="22"/>
        </w:rPr>
        <w:t>“a”</w:t>
      </w:r>
      <w:r>
        <w:rPr>
          <w:rFonts w:ascii="Times New Roman" w:hAnsi="Times New Roman"/>
          <w:b w:val="false"/>
          <w:i w:val="false"/>
          <w:color w:val="000000"/>
          <w:sz w:val="22"/>
        </w:rPr>
        <w:t>(1) and must calibrate turbidimeters at least every 90 days with a primary standard. The calibration of each turbidimeter used for compliance must be verified at least once per week with a primary standard, secondary standards, or the manufacturer’s proprietary calibration confirmation device or by a method approved by the department. If the verification is not within plus or minus 0.05 NTU for measurements of less than or equal to 0.5 NTU, or within plus or minus 10 percent of measurements greater than 0.5 NTU, then the turbidimeter must be recalibrated. Systems must record the results of individual filter monitoring every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Failure of the continuous turbidity monitoring equipment. </w:t>
      </w:r>
      <w:r>
        <w:rPr>
          <w:rFonts w:ascii="Times New Roman" w:hAnsi="Times New Roman"/>
          <w:b w:val="false"/>
          <w:i w:val="false"/>
          <w:color w:val="000000"/>
          <w:sz w:val="22"/>
        </w:rPr>
        <w:t>If there is a failure in the continuous turbidity monitoring equipment, the system must conduct grab sampling every four hours in lieu of continuous monitoring until the turbidimeter is repaired and back online. A system has a maximum of five working days after failure to repair the equipment, or else it is in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43.9(5)</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requirements. </w:t>
      </w:r>
      <w:r>
        <w:rPr>
          <w:rFonts w:ascii="Times New Roman" w:hAnsi="Times New Roman"/>
          <w:b w:val="false"/>
          <w:i w:val="false"/>
          <w:color w:val="000000"/>
          <w:sz w:val="22"/>
        </w:rPr>
        <w:t xml:space="preserve">In addition to the reporting and record-keeping requirements in 567—paragraph </w:t>
      </w:r>
      <w:hyperlink r:id="rId461">
        <w:r>
          <w:rPr>
            <w:rStyle w:val="Hyperlink"/>
            <w:rFonts w:ascii="Times New Roman" w:hAnsi="Times New Roman"/>
            <w:b w:val="false"/>
            <w:i w:val="false"/>
            <w:color w:val="000000"/>
            <w:sz w:val="22"/>
          </w:rPr>
          <w:t>42.4(3)</w:t>
        </w:r>
      </w:hyperlink>
      <w:r>
        <w:rPr>
          <w:rFonts w:ascii="Times New Roman" w:hAnsi="Times New Roman"/>
          <w:b w:val="false"/>
          <w:i/>
          <w:color w:val="000000"/>
          <w:sz w:val="22"/>
        </w:rPr>
        <w:t>“c,”</w:t>
      </w:r>
      <w:r>
        <w:rPr>
          <w:rFonts w:ascii="Times New Roman" w:hAnsi="Times New Roman"/>
          <w:b w:val="false"/>
          <w:i w:val="false"/>
          <w:color w:val="000000"/>
          <w:sz w:val="22"/>
        </w:rPr>
        <w:t xml:space="preserve"> a system subject to the requirements of this rule that provides conventional filtration treatment or direct filtration must report monthly to the department the information specified in </w:t>
      </w:r>
      <w:hyperlink r:id="rId462">
        <w:r>
          <w:rPr>
            <w:rStyle w:val="Hyperlink"/>
            <w:rFonts w:ascii="Times New Roman" w:hAnsi="Times New Roman"/>
            <w:b w:val="false"/>
            <w:i w:val="false"/>
            <w:color w:val="000000"/>
            <w:sz w:val="22"/>
          </w:rPr>
          <w:t>43.9(5)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beginning January 1, 2002. In addition to the reporting and record-keeping requirements in 567—paragraph </w:t>
      </w:r>
      <w:hyperlink r:id="rId463">
        <w:r>
          <w:rPr>
            <w:rStyle w:val="Hyperlink"/>
            <w:rFonts w:ascii="Times New Roman" w:hAnsi="Times New Roman"/>
            <w:b w:val="false"/>
            <w:i w:val="false"/>
            <w:color w:val="000000"/>
            <w:sz w:val="22"/>
          </w:rPr>
          <w:t>42.4(3)</w:t>
        </w:r>
      </w:hyperlink>
      <w:r>
        <w:rPr>
          <w:rFonts w:ascii="Times New Roman" w:hAnsi="Times New Roman"/>
          <w:b w:val="false"/>
          <w:i/>
          <w:color w:val="000000"/>
          <w:sz w:val="22"/>
        </w:rPr>
        <w:t>“c,”</w:t>
      </w:r>
      <w:r>
        <w:rPr>
          <w:rFonts w:ascii="Times New Roman" w:hAnsi="Times New Roman"/>
          <w:b w:val="false"/>
          <w:i w:val="false"/>
          <w:color w:val="000000"/>
          <w:sz w:val="22"/>
        </w:rPr>
        <w:t xml:space="preserve"> a system subject to the requirements of this rule that provides filtration approved under </w:t>
      </w:r>
      <w:hyperlink r:id="rId464">
        <w:r>
          <w:rPr>
            <w:rStyle w:val="Hyperlink"/>
            <w:rFonts w:ascii="Times New Roman" w:hAnsi="Times New Roman"/>
            <w:b w:val="false"/>
            <w:i w:val="false"/>
            <w:color w:val="000000"/>
            <w:sz w:val="22"/>
          </w:rPr>
          <w:t>43.9(3)</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report monthly to the department the information specified in </w:t>
      </w:r>
      <w:hyperlink r:id="rId465">
        <w:r>
          <w:rPr>
            <w:rStyle w:val="Hyperlink"/>
            <w:rFonts w:ascii="Times New Roman" w:hAnsi="Times New Roman"/>
            <w:b w:val="false"/>
            <w:i w:val="false"/>
            <w:color w:val="000000"/>
            <w:sz w:val="22"/>
          </w:rPr>
          <w:t>43.9(5)</w:t>
        </w:r>
      </w:hyperlink>
      <w:r>
        <w:rPr>
          <w:rFonts w:ascii="Times New Roman" w:hAnsi="Times New Roman"/>
          <w:b w:val="false"/>
          <w:i/>
          <w:color w:val="000000"/>
          <w:sz w:val="22"/>
        </w:rPr>
        <w:t>“a”</w:t>
      </w:r>
      <w:r>
        <w:rPr>
          <w:rFonts w:ascii="Times New Roman" w:hAnsi="Times New Roman"/>
          <w:b w:val="false"/>
          <w:i w:val="false"/>
          <w:color w:val="000000"/>
          <w:sz w:val="22"/>
        </w:rPr>
        <w:t xml:space="preserve"> beginning January 1, 2002. The reporting in </w:t>
      </w:r>
      <w:hyperlink r:id="rId466">
        <w:r>
          <w:rPr>
            <w:rStyle w:val="Hyperlink"/>
            <w:rFonts w:ascii="Times New Roman" w:hAnsi="Times New Roman"/>
            <w:b w:val="false"/>
            <w:i w:val="false"/>
            <w:color w:val="000000"/>
            <w:sz w:val="22"/>
          </w:rPr>
          <w:t>43.9(5)</w:t>
        </w:r>
      </w:hyperlink>
      <w:r>
        <w:rPr>
          <w:rFonts w:ascii="Times New Roman" w:hAnsi="Times New Roman"/>
          <w:b w:val="false"/>
          <w:i/>
          <w:color w:val="000000"/>
          <w:sz w:val="22"/>
        </w:rPr>
        <w:t>“a”</w:t>
      </w:r>
      <w:r>
        <w:rPr>
          <w:rFonts w:ascii="Times New Roman" w:hAnsi="Times New Roman"/>
          <w:b w:val="false"/>
          <w:i w:val="false"/>
          <w:color w:val="000000"/>
          <w:sz w:val="22"/>
        </w:rPr>
        <w:t xml:space="preserve"> is in lieu of the reporting specified in 567—subparagraph </w:t>
      </w:r>
      <w:hyperlink r:id="rId467">
        <w:r>
          <w:rPr>
            <w:rStyle w:val="Hyperlink"/>
            <w:rFonts w:ascii="Times New Roman" w:hAnsi="Times New Roman"/>
            <w:b w:val="false"/>
            <w:i w:val="false"/>
            <w:color w:val="000000"/>
            <w:sz w:val="22"/>
          </w:rPr>
          <w:t>42.4(3)</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Turbidity. </w:t>
      </w:r>
      <w:r>
        <w:rPr>
          <w:rFonts w:ascii="Times New Roman" w:hAnsi="Times New Roman"/>
          <w:b w:val="false"/>
          <w:i w:val="false"/>
          <w:color w:val="000000"/>
          <w:sz w:val="22"/>
        </w:rPr>
        <w:t xml:space="preserve">Turbidity measurements as required by </w:t>
      </w:r>
      <w:hyperlink r:id="rId468">
        <w:r>
          <w:rPr>
            <w:rStyle w:val="Hyperlink"/>
            <w:rFonts w:ascii="Times New Roman" w:hAnsi="Times New Roman"/>
            <w:b w:val="false"/>
            <w:i w:val="false"/>
            <w:color w:val="000000"/>
            <w:sz w:val="22"/>
          </w:rPr>
          <w:t>43.9(3)</w:t>
        </w:r>
      </w:hyperlink>
      <w:r>
        <w:rPr>
          <w:rFonts w:ascii="Times New Roman" w:hAnsi="Times New Roman"/>
          <w:b w:val="false"/>
          <w:i w:val="false"/>
          <w:color w:val="000000"/>
          <w:sz w:val="22"/>
        </w:rPr>
        <w:t xml:space="preserve"> must be reported in a format acceptable to the department and within ten days after the end of each month that the system serves water to the public. Information that must be reported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number of filtered water (combined filter effluent or CFE) turbidity measurements taken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and percentage of filtered water (combined filter effluent or CFE) turbidity measurements taken during the month which are less than or equal to the turbidity limits specified in </w:t>
      </w:r>
      <w:hyperlink r:id="rId469">
        <w:r>
          <w:rPr>
            <w:rStyle w:val="Hyperlink"/>
            <w:rFonts w:ascii="Times New Roman" w:hAnsi="Times New Roman"/>
            <w:b w:val="false"/>
            <w:i w:val="false"/>
            <w:color w:val="000000"/>
            <w:sz w:val="22"/>
          </w:rPr>
          <w:t>43.9(3)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and value of any combined filter effluent or CFE turbidity measurements taken during the month which exceed 1 NTU for systems using conventional filtration treatment or direct filtration or which exceed the maximum level set by the department under </w:t>
      </w:r>
      <w:hyperlink r:id="rId470">
        <w:r>
          <w:rPr>
            <w:rStyle w:val="Hyperlink"/>
            <w:rFonts w:ascii="Times New Roman" w:hAnsi="Times New Roman"/>
            <w:b w:val="false"/>
            <w:i w:val="false"/>
            <w:color w:val="000000"/>
            <w:sz w:val="22"/>
          </w:rPr>
          <w:t>43.9(3)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dates and summary of calibration and verification of all compliance turbidimeters.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turbidity monitoring. </w:t>
      </w:r>
      <w:r>
        <w:rPr>
          <w:rFonts w:ascii="Times New Roman" w:hAnsi="Times New Roman"/>
          <w:b w:val="false"/>
          <w:i w:val="false"/>
          <w:color w:val="000000"/>
          <w:sz w:val="22"/>
        </w:rPr>
        <w:t xml:space="preserve">Systems must maintain the results of individual filter turbidity per monitoring taken under </w:t>
      </w:r>
      <w:hyperlink r:id="rId471">
        <w:r>
          <w:rPr>
            <w:rStyle w:val="Hyperlink"/>
            <w:rFonts w:ascii="Times New Roman" w:hAnsi="Times New Roman"/>
            <w:b w:val="false"/>
            <w:i w:val="false"/>
            <w:color w:val="000000"/>
            <w:sz w:val="22"/>
          </w:rPr>
          <w:t>43.9(4)</w:t>
        </w:r>
      </w:hyperlink>
      <w:r>
        <w:rPr>
          <w:rFonts w:ascii="Times New Roman" w:hAnsi="Times New Roman"/>
          <w:b w:val="false"/>
          <w:i w:val="false"/>
          <w:color w:val="000000"/>
          <w:sz w:val="22"/>
        </w:rPr>
        <w:t xml:space="preserve"> for at least three years. Systems must report to the department that they have conducted individual filter turbidity monitoring under 43.9(4) within ten days after the end of each month that the system serves water to the public. Systems must report to the department individual filter turbidity measurement results taken under 43.9(4) within ten days after the end of each month that the system serves water to the public only if measurements demonstrate one or more of the conditions specified in 43.9(5)</w:t>
      </w:r>
      <w:r>
        <w:rPr>
          <w:rFonts w:ascii="Times New Roman" w:hAnsi="Times New Roman"/>
          <w:b w:val="false"/>
          <w:i/>
          <w:color w:val="000000"/>
          <w:sz w:val="22"/>
        </w:rPr>
        <w:t>“b”</w:t>
      </w:r>
      <w:r>
        <w:rPr>
          <w:rFonts w:ascii="Times New Roman" w:hAnsi="Times New Roman"/>
          <w:b w:val="false"/>
          <w:i w:val="false"/>
          <w:color w:val="000000"/>
          <w:sz w:val="22"/>
        </w:rPr>
        <w:t xml:space="preserve">(1) through (4). Systems that use lime softening may apply to the department for alternative exceedance levels for the levels specified in </w:t>
      </w:r>
      <w:hyperlink r:id="rId472">
        <w:r>
          <w:rPr>
            <w:rStyle w:val="Hyperlink"/>
            <w:rFonts w:ascii="Times New Roman" w:hAnsi="Times New Roman"/>
            <w:b w:val="false"/>
            <w:i w:val="false"/>
            <w:color w:val="000000"/>
            <w:sz w:val="22"/>
          </w:rPr>
          <w:t>43.9(5)</w:t>
        </w:r>
      </w:hyperlink>
      <w:r>
        <w:rPr>
          <w:rFonts w:ascii="Times New Roman" w:hAnsi="Times New Roman"/>
          <w:b w:val="false"/>
          <w:i/>
          <w:color w:val="000000"/>
          <w:sz w:val="22"/>
        </w:rPr>
        <w:t>“b”</w:t>
      </w:r>
      <w:r>
        <w:rPr>
          <w:rFonts w:ascii="Times New Roman" w:hAnsi="Times New Roman"/>
          <w:b w:val="false"/>
          <w:i w:val="false"/>
          <w:color w:val="000000"/>
          <w:sz w:val="22"/>
        </w:rPr>
        <w:t>(1) through (4) if they can demonstrate that higher turbidity levels in individual filters are due to lime carryover only and not due to degraded filter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individual filter that has a measured turbidity level of greater than 1.0 NTU in two consecutive measurements taken 15 minutes apart, the system must report the filter number, the turbidity measurement, and the date(s) on which the exceedance occurred. In addition, the system must either produce a filter profile for the filter within seven days of the exceedance (if the system is not able to identify an obvious reason for the abnormal filter performance) and report that the profile has been produced or report the obvious reason for the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any individual filter that has a measured turbidity level of greater than 0.5 NTU in two consecutive measurements taken 15 minutes apart anytime following the first four hours of continuous filter operation after the filter has been backwashed or otherwise taken offline, the system must report the filter number, the turbidity, and the date(s) on which the exceedance occurred. In addition, the system must either produce a filter profile for the filter within seven days of the exceedance (if the system is not able to identify an obvious reason for the abnormal filter performance) and report that the profile has been produced or report the obvious reason for the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any individual filter that has a measured turbidity level of greater than 1.0 NTU in two consecutive measurements taken 15 minutes apart at any time in each month of three consecutive months, the system must report the filter number, the turbidity measurement, and the date(s) on which the exceedance occurred. In addition, the system must conduct a self-assessment of the filter within 14 days of the exceedance and report that the self-assessment was conducted. The self-assessment must consist of at least the following components: assessment of filter performance; development of a filter profile; identification and prioritization of factors limiting filter performance; assessment of the applicability of corrections; and preparation of a filter self-assessment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any individual filter that has a measured turbidity level of greater than 2.0 NTU in two consecutive measurements taken 15 minutes apart at any time in each month of two consecutive months, the system must report the filter number, the turbidity measurement, and the date(s) on which the exceedance occurred. In addition, the system must arrange for a comprehensive performance evaluation to be conducted by the department or a third party approved by the department no later than 30 days following the exceedance and have the evaluation completed and submitted to the department no later than 90 days following the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reporting requirement for turbidity combined filter effluent.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the turbidity exceeds 1 NTU in representative samples of filtered water (combined filter effluent or CFE) in a system using conventional filtration treatment or direct filtration, the system must consult with the department as soon as practical, but no later than 24 hours after the exceedance is known, in accordance with the public notification requirements under 567—subparagraph </w:t>
      </w:r>
      <w:hyperlink r:id="rId473">
        <w:r>
          <w:rPr>
            <w:rStyle w:val="Hyperlink"/>
            <w:rFonts w:ascii="Times New Roman" w:hAnsi="Times New Roman"/>
            <w:b w:val="false"/>
            <w:i w:val="false"/>
            <w:color w:val="000000"/>
            <w:sz w:val="22"/>
          </w:rPr>
          <w:t>42.1(3)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the turbidity in representative samples of filtered water (combined filter effluent or CFE) exceeds the maximum level set by the department under </w:t>
      </w:r>
      <w:hyperlink r:id="rId474">
        <w:r>
          <w:rPr>
            <w:rStyle w:val="Hyperlink"/>
            <w:rFonts w:ascii="Times New Roman" w:hAnsi="Times New Roman"/>
            <w:b w:val="false"/>
            <w:i w:val="false"/>
            <w:color w:val="000000"/>
            <w:sz w:val="22"/>
          </w:rPr>
          <w:t>43.9(3)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filtration technologies other than conventional filtration treatment, direct filtration, slow sand filtration, or diatomaceous earth filtration, the system must consult with the department as soon as practical, but no later than 24 hours after the exceedance is known, in accordance with the public notification requirements under 567—subparagraph </w:t>
      </w:r>
      <w:hyperlink r:id="rId475">
        <w:r>
          <w:rPr>
            <w:rStyle w:val="Hyperlink"/>
            <w:rFonts w:ascii="Times New Roman" w:hAnsi="Times New Roman"/>
            <w:b w:val="false"/>
            <w:i w:val="false"/>
            <w:color w:val="000000"/>
            <w:sz w:val="22"/>
          </w:rPr>
          <w:t>42.1(3)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567—43.10</w:t>
      </w:r>
      <w:r>
        <w:rPr>
          <w:rFonts w:ascii="Times New Roman" w:hAnsi="Times New Roman"/>
          <w:b/>
          <w:i w:val="false"/>
          <w:color w:val="000000"/>
          <w:sz w:val="22"/>
        </w:rPr>
        <w:t xml:space="preserve">(455B) </w:t>
      </w:r>
      <w:r>
        <w:rPr>
          <w:rFonts w:ascii="Times New Roman" w:hAnsi="Times New Roman"/>
          <w:b/>
          <w:i w:val="false"/>
          <w:color w:val="000000"/>
          <w:sz w:val="22"/>
        </w:rPr>
        <w:t xml:space="preserve">Enhanced filtration and disinfection requirements for surface water and IGW systems serving fewer than 10,000 people.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requirements of this rule constitute national primary drinking water regulations. This rule establishes requirements for filtration and disinfection that are in addition to criteria under which filtration and disinfection are required in </w:t>
      </w:r>
      <w:hyperlink r:id="rId476">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The requirements of this rule are applicable beginning January 1, 2005, unless otherwise noted, to all public water systems using surface water or groundwater under the direct influence of surface water, in whole or in part, and which serve less than 10,000 people. This rule establishes or extends treatment technique requirements in lieu of maximum contaminant levels for the following contaminants: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viruses, heterotrophic plate count bacteria, </w:t>
      </w:r>
      <w:r>
        <w:rPr>
          <w:rFonts w:ascii="Times New Roman" w:hAnsi="Times New Roman"/>
          <w:b w:val="false"/>
          <w:i/>
          <w:color w:val="000000"/>
          <w:sz w:val="22"/>
        </w:rPr>
        <w:t>Legionella</w:t>
      </w:r>
      <w:r>
        <w:rPr>
          <w:rFonts w:ascii="Times New Roman" w:hAnsi="Times New Roman"/>
          <w:b w:val="false"/>
          <w:i w:val="false"/>
          <w:color w:val="000000"/>
          <w:sz w:val="22"/>
        </w:rPr>
        <w:t xml:space="preserve">, </w:t>
      </w:r>
      <w:r>
        <w:rPr>
          <w:rFonts w:ascii="Times New Roman" w:hAnsi="Times New Roman"/>
          <w:b w:val="false"/>
          <w:i/>
          <w:color w:val="000000"/>
          <w:sz w:val="22"/>
        </w:rPr>
        <w:t>Cryptosporidium</w:t>
      </w:r>
      <w:r>
        <w:rPr>
          <w:rFonts w:ascii="Times New Roman" w:hAnsi="Times New Roman"/>
          <w:b w:val="false"/>
          <w:i w:val="false"/>
          <w:color w:val="000000"/>
          <w:sz w:val="22"/>
        </w:rPr>
        <w:t>, and turbidity. The treatment technique requirements consist of installing and properly operating water treatment processes which reliably achieve: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99 percent (2 log)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between a point where the raw water is not subject to recontamination by surface water runoff and a point downstream before or at the first customer for filtered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profiling and benchmark requirements in subrules </w:t>
      </w:r>
      <w:hyperlink r:id="rId477">
        <w:r>
          <w:rPr>
            <w:rStyle w:val="Hyperlink"/>
            <w:rFonts w:ascii="Times New Roman" w:hAnsi="Times New Roman"/>
            <w:b w:val="false"/>
            <w:i w:val="false"/>
            <w:color w:val="000000"/>
            <w:sz w:val="22"/>
          </w:rPr>
          <w:t>43.10(2)</w:t>
        </w:r>
      </w:hyperlink>
      <w:r>
        <w:rPr>
          <w:rFonts w:ascii="Times New Roman" w:hAnsi="Times New Roman"/>
          <w:b w:val="false"/>
          <w:i w:val="false"/>
          <w:color w:val="000000"/>
          <w:sz w:val="22"/>
        </w:rPr>
        <w:t xml:space="preserve"> and </w:t>
      </w:r>
      <w:hyperlink r:id="rId478">
        <w:r>
          <w:rPr>
            <w:rStyle w:val="Hyperlink"/>
            <w:rFonts w:ascii="Times New Roman" w:hAnsi="Times New Roman"/>
            <w:b w:val="false"/>
            <w:i w:val="false"/>
            <w:color w:val="000000"/>
            <w:sz w:val="22"/>
          </w:rPr>
          <w:t>43.10(3)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Prohibition of new construction of uncovered intermediate or finished water storage facilities. </w:t>
      </w:r>
      <w:r>
        <w:rPr>
          <w:rFonts w:ascii="Times New Roman" w:hAnsi="Times New Roman"/>
          <w:b w:val="false"/>
          <w:i w:val="false"/>
          <w:color w:val="000000"/>
          <w:sz w:val="22"/>
        </w:rPr>
        <w:t>Systems that are required to comply with this rule may construct only covered intermediate or finished water storage facilities. For the purposes of this rule, an intermediate storage facility is defined as a storage facility or reservoir after the clarification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43.10(2)</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 disinfection profile is a graphical representation of a system’s level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or virus inactivation measured during the course of a year. All systems required to comply with this rule must develop a disinfection profile unless the department determines that such a profile is unnecessary. Records must be maintained according to subrule </w:t>
      </w:r>
      <w:hyperlink r:id="rId479">
        <w:r>
          <w:rPr>
            <w:rStyle w:val="Hyperlink"/>
            <w:rFonts w:ascii="Times New Roman" w:hAnsi="Times New Roman"/>
            <w:b w:val="false"/>
            <w:i w:val="false"/>
            <w:color w:val="000000"/>
            <w:sz w:val="22"/>
          </w:rPr>
          <w:t>43.10(7)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the use of a more representative data set for disinfection profiling than the data set required in paragraph </w:t>
      </w:r>
      <w:hyperlink r:id="rId480">
        <w:r>
          <w:rPr>
            <w:rStyle w:val="Hyperlink"/>
            <w:rFonts w:ascii="Times New Roman" w:hAnsi="Times New Roman"/>
            <w:b w:val="false"/>
            <w:i w:val="false"/>
            <w:color w:val="000000"/>
            <w:sz w:val="22"/>
          </w:rPr>
          <w:t>43.10(2)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determine that a system’s profile is unnecessary only if a system’s TTHM and HAA5 levels are below 0.064 mg/L and 0.048 mg/L, respectively. To determine these levels, TTHM and HAA5 samples must be collected after January 1, 1998, during the month with the warmest water temperature, and at the point of maximum residence time in the distribution system. The department may approve the use of a more representative annual data set for purpose of determining applicability of the requirements of this subrule. The annual data set must be calculated on an annual average, of the arithmetic average of the quarterly averages of four consecutive quarters of monitoring. At least 25 percent of the samples collected in each quarter must be collected at the maximum residence time location in the distribution system.</w:t>
      </w:r>
    </w:p>
    <w:p>
      <w:pPr>
        <w:spacing w:before="0" w:after="0"/>
        <w:ind w:left="120"/>
        <w:jc w:val="both"/>
      </w:pPr>
      <w:r>
        <w:rPr>
          <w:rFonts w:ascii="Times New Roman" w:hAnsi="Times New Roman"/>
          <w:b w:val="false"/>
          <w:i w:val="false"/>
          <w:color w:val="000000"/>
          <w:sz w:val="22"/>
        </w:rPr>
        <w:t>1. For systems that provide water to other public water supplies, if the producing system meets the byproduct level requirements of less than 0.064 mg/L for TTHM and less than 0.048 mg/L for HAA5, it will not be required to develop a disinfection profile and benchmark unless: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consecutive system cannot meet in its distribution system the byproduct level requirements of less than 0.064 mg/L for TTHM and less than 0.048 mg/L for HAA5,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producing system wants to make a significant change to its disinfection practices.</w:t>
      </w:r>
    </w:p>
    <w:p>
      <w:pPr>
        <w:spacing w:before="0" w:after="0"/>
        <w:ind w:left="120"/>
        <w:jc w:val="both"/>
      </w:pPr>
      <w:r>
        <w:rPr>
          <w:rFonts w:ascii="Times New Roman" w:hAnsi="Times New Roman"/>
          <w:b w:val="false"/>
          <w:i w:val="false"/>
          <w:color w:val="000000"/>
          <w:sz w:val="22"/>
        </w:rPr>
        <w:t>2. The department will then assign the requirement to the producing system to conduct the disinfection profiling study and determine a disinfection benchmark.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of a disinfection profile.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of the following data for 12 consecutive months, beginning by July 1, 2003, for systems serving 500 to 9,999 people, and by January 1, 2004, for systems serving fewer than 500 people. A system must monitor the following parameters to determine the total log inactivation by using the analytical methods in paragraph </w:t>
      </w:r>
      <w:hyperlink r:id="rId481">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 once per week on the same calendar day, over 12 consecutive months.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Temperature of the disinfected water at each residual disinfectant concentration sampling point during peak hourly flow, measured in degrees Celsius;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systems using chlorine, the pH of the disinfected water at each residual disinfectant concentration sampling point during peak hourly flow, measured in standard pH units;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disinfectant contact time (“T”) during peak hourly flow, measured in minutes;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residual disinfectant concentration(s) (“C”) of the water following each point of disinfection at a point(s) prior to each subsequent point of disinfection and at the entry point to the distribution system or at a location just prior to the first customer during peak hourly flows, measured in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collected in </w:t>
      </w:r>
      <w:hyperlink r:id="rId482">
        <w:r>
          <w:rPr>
            <w:rStyle w:val="Hyperlink"/>
            <w:rFonts w:ascii="Times New Roman" w:hAnsi="Times New Roman"/>
            <w:b w:val="false"/>
            <w:i w:val="false"/>
            <w:color w:val="000000"/>
            <w:sz w:val="22"/>
          </w:rPr>
          <w:t>43.10(2)</w:t>
        </w:r>
      </w:hyperlink>
      <w:r>
        <w:rPr>
          <w:rFonts w:ascii="Times New Roman" w:hAnsi="Times New Roman"/>
          <w:b w:val="false"/>
          <w:i/>
          <w:color w:val="000000"/>
          <w:sz w:val="22"/>
        </w:rPr>
        <w:t>“b”</w:t>
      </w:r>
      <w:r>
        <w:rPr>
          <w:rFonts w:ascii="Times New Roman" w:hAnsi="Times New Roman"/>
          <w:b w:val="false"/>
          <w:i w:val="false"/>
          <w:color w:val="000000"/>
          <w:sz w:val="22"/>
        </w:rPr>
        <w:t>(1) must be used to calculate the weekly log inactivation, along with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tables listed in Appendix A. The system must calculate the total inactivation ratio as follows and multiply the value by 3.0 to determine log inactivation of </w:t>
      </w:r>
      <w:r>
        <w:rPr>
          <w:rFonts w:ascii="Times New Roman" w:hAnsi="Times New Roman"/>
          <w:b w:val="false"/>
          <w:i/>
          <w:color w:val="000000"/>
          <w:sz w:val="22"/>
        </w:rPr>
        <w:t>Giardia lamblia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system uses only one point of disinfectant application, it must determine: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One inactivation ratio (CT 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before or at the first customer during peak hourly flow,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Successive (CT 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values, representing sequential inactivation ratios, between the point of disinfection application and a point before or at the first customer during peak hourly flow. Under this alternative, the system must calculate the total inactivation ratio by determining (CT 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for each sequence and then adding the (CT 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values together to determine (ƩCT 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a system uses more than one point of disinfectant application before the first customer, the system must determine the (CT calc/CT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 of each disinfection segment immediately prior to the next point of disinfectant application, or for the final segment, before or at the first customer, during peak hourly flow using the procedure specified in </w:t>
      </w:r>
      <w:hyperlink r:id="rId483">
        <w:r>
          <w:rPr>
            <w:rStyle w:val="Hyperlink"/>
            <w:rFonts w:ascii="Times New Roman" w:hAnsi="Times New Roman"/>
            <w:b w:val="false"/>
            <w:i w:val="false"/>
            <w:color w:val="000000"/>
            <w:sz w:val="22"/>
          </w:rPr>
          <w:t>43.10(2)</w:t>
        </w:r>
      </w:hyperlink>
      <w:r>
        <w:rPr>
          <w:rFonts w:ascii="Times New Roman" w:hAnsi="Times New Roman"/>
          <w:b w:val="false"/>
          <w:i/>
          <w:color w:val="000000"/>
          <w:sz w:val="22"/>
        </w:rPr>
        <w:t>“b”</w:t>
      </w:r>
      <w:r>
        <w:rPr>
          <w:rFonts w:ascii="Times New Roman" w:hAnsi="Times New Roman"/>
          <w:b w:val="false"/>
          <w:i w:val="false"/>
          <w:color w:val="000000"/>
          <w:sz w:val="22"/>
        </w:rPr>
        <w:t>(2) “1,” second bulleted paragraph.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a system uses chloramines, ozone, or chlorine dioxide for primary disinfection, the system must also calculate the inactivation logs for viruses and develop an additional disinfection profile for viruses using methods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weekly log inactivations are used to develop a disinfection profile,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disinfection profile is developed by graphing each log inactivation data point versus time. Each log inactivation serves as a data point in the disinfection profile. The system will have obtained 52 measurements at a minimum, one for each week of the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disinfection profile depicts the variation of microbial inactivation over the course of the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system must retain the disinfection profile data both in a graphic form and in a spreadsheet, which must be available for review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This profile is used to calculate a disinfection benchmark if the system is considering changes to its disinfection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43.10(3)</w:t>
      </w:r>
      <w:r>
        <w:rPr>
          <w:rFonts w:ascii="Times New Roman" w:hAnsi="Times New Roman"/>
          <w:b w:val="false"/>
          <w:i w:val="false"/>
          <w:color w:val="000000"/>
          <w:sz w:val="22"/>
        </w:rPr>
        <w:t> </w:t>
      </w:r>
      <w:r>
        <w:rPr>
          <w:rFonts w:ascii="Times New Roman" w:hAnsi="Times New Roman"/>
          <w:b w:val="false"/>
          <w:i/>
          <w:color w:val="000000"/>
          <w:sz w:val="22"/>
        </w:rPr>
        <w:t xml:space="preserve">Disinfection benchmark.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Any system required to develop a disinfection profile under </w:t>
      </w:r>
      <w:hyperlink r:id="rId484">
        <w:r>
          <w:rPr>
            <w:rStyle w:val="Hyperlink"/>
            <w:rFonts w:ascii="Times New Roman" w:hAnsi="Times New Roman"/>
            <w:b w:val="false"/>
            <w:i w:val="false"/>
            <w:color w:val="000000"/>
            <w:sz w:val="22"/>
          </w:rPr>
          <w:t>43.10(2)</w:t>
        </w:r>
      </w:hyperlink>
      <w:r>
        <w:rPr>
          <w:rFonts w:ascii="Times New Roman" w:hAnsi="Times New Roman"/>
          <w:b w:val="false"/>
          <w:i w:val="false"/>
          <w:color w:val="000000"/>
          <w:sz w:val="22"/>
        </w:rPr>
        <w:t xml:space="preserve"> must develop a disinfection benchmark prior to making any significant change in disinfection practice. The system must receive department approval before any significant change in disinfection practice is implemented. Records must be maintained according to subrule </w:t>
      </w:r>
      <w:hyperlink r:id="rId485">
        <w:r>
          <w:rPr>
            <w:rStyle w:val="Hyperlink"/>
            <w:rFonts w:ascii="Times New Roman" w:hAnsi="Times New Roman"/>
            <w:b w:val="false"/>
            <w:i w:val="false"/>
            <w:color w:val="000000"/>
            <w:sz w:val="22"/>
          </w:rPr>
          <w:t>43.10(7)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Significant changes to disinfection practice. </w:t>
      </w:r>
      <w:r>
        <w:rPr>
          <w:rFonts w:ascii="Times New Roman" w:hAnsi="Times New Roman"/>
          <w:b w:val="false"/>
          <w:i w:val="false"/>
          <w:color w:val="000000"/>
          <w:sz w:val="22"/>
        </w:rPr>
        <w:t>Significant changes to disinfection practice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to the point of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to the disinfectant(s) used in the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to the disinfection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modification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disinfection benchmark. </w:t>
      </w:r>
      <w:r>
        <w:rPr>
          <w:rFonts w:ascii="Times New Roman" w:hAnsi="Times New Roman"/>
          <w:b w:val="false"/>
          <w:i w:val="false"/>
          <w:color w:val="000000"/>
          <w:sz w:val="22"/>
        </w:rPr>
        <w:t>The system must calculate the disinfection benchmark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Step 1. Using the data collected to develop the disinfection profile, the system must determine the average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for each calendar month by dividing the sum of all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inactivations for that month by the number of values calculated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 2. The system must determine the lowest monthly average value out of the 12 values. This value becomes the disinfection benchmark.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for department approval of a change in disinfection practice. </w:t>
      </w:r>
      <w:r>
        <w:rPr>
          <w:rFonts w:ascii="Times New Roman" w:hAnsi="Times New Roman"/>
          <w:b w:val="false"/>
          <w:i w:val="false"/>
          <w:color w:val="000000"/>
          <w:sz w:val="22"/>
        </w:rPr>
        <w:t>Any significant change in disinfection practice must have been approved by the department before the system institutes the change. The following information must be submitted by the system to the department as part of the consultation and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disinfection profile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if necessary, viruses;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disinfection benchmark;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analysis of how the proposed change will affect the current levels of disinfection;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benchmark requirements if chloramines, ozone, or chlorine dioxide is used for primary disinfection. </w:t>
      </w:r>
      <w:r>
        <w:rPr>
          <w:rFonts w:ascii="Times New Roman" w:hAnsi="Times New Roman"/>
          <w:b w:val="false"/>
          <w:i w:val="false"/>
          <w:color w:val="000000"/>
          <w:sz w:val="22"/>
        </w:rPr>
        <w:t xml:space="preserve">If a system uses chloramines, ozone, or chlorine dioxide for primary disinfection, the system must calculate the disinfection benchmark from the data collected for viruses to develop the disinfection profile in addition to the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disinfection benchmark calculated in paragraph </w:t>
      </w:r>
      <w:hyperlink r:id="rId486">
        <w:r>
          <w:rPr>
            <w:rStyle w:val="Hyperlink"/>
            <w:rFonts w:ascii="Times New Roman" w:hAnsi="Times New Roman"/>
            <w:b w:val="false"/>
            <w:i w:val="false"/>
            <w:color w:val="000000"/>
            <w:sz w:val="22"/>
          </w:rPr>
          <w:t>43.10(3)</w:t>
        </w:r>
      </w:hyperlink>
      <w:r>
        <w:rPr>
          <w:rFonts w:ascii="Times New Roman" w:hAnsi="Times New Roman"/>
          <w:b w:val="false"/>
          <w:i/>
          <w:color w:val="000000"/>
          <w:sz w:val="22"/>
        </w:rPr>
        <w:t>“c.”</w:t>
      </w:r>
      <w:r>
        <w:rPr>
          <w:rFonts w:ascii="Times New Roman" w:hAnsi="Times New Roman"/>
          <w:b w:val="false"/>
          <w:i w:val="false"/>
          <w:color w:val="000000"/>
          <w:sz w:val="22"/>
        </w:rPr>
        <w:t xml:space="preserve"> This viral benchmark must be calculated in the same manner used to calculate the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disinfection benchmark in paragraph </w:t>
      </w:r>
      <w:hyperlink r:id="rId487">
        <w:r>
          <w:rPr>
            <w:rStyle w:val="Hyperlink"/>
            <w:rFonts w:ascii="Times New Roman" w:hAnsi="Times New Roman"/>
            <w:b w:val="false"/>
            <w:i w:val="false"/>
            <w:color w:val="000000"/>
            <w:sz w:val="22"/>
          </w:rPr>
          <w:t>43.10(3)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43.10(4)</w:t>
      </w:r>
      <w:r>
        <w:rPr>
          <w:rFonts w:ascii="Times New Roman" w:hAnsi="Times New Roman"/>
          <w:b w:val="false"/>
          <w:i w:val="false"/>
          <w:color w:val="000000"/>
          <w:sz w:val="22"/>
        </w:rPr>
        <w:t> </w:t>
      </w:r>
      <w:r>
        <w:rPr>
          <w:rFonts w:ascii="Times New Roman" w:hAnsi="Times New Roman"/>
          <w:b w:val="false"/>
          <w:i/>
          <w:color w:val="000000"/>
          <w:sz w:val="22"/>
        </w:rPr>
        <w:t xml:space="preserve">Combined filter effluent turbidity requirements. </w:t>
      </w:r>
      <w:r>
        <w:rPr>
          <w:rFonts w:ascii="Times New Roman" w:hAnsi="Times New Roman"/>
          <w:b w:val="false"/>
          <w:i w:val="false"/>
          <w:color w:val="000000"/>
          <w:sz w:val="22"/>
        </w:rPr>
        <w:t>All systems using surface water or groundwater under the direct influence of surface water which serve less than 10,000 people must use filtration, and the turbidity limits that must be met depend upon the type of filtration used. Systems using lime softening may acidify representative combined filter effluent turbidity samples prior to analysis, using a protocol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Conventional filtration treatment or direct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Turbidity must be measured in the combined filter effluent as described in paragraphs </w:t>
      </w:r>
      <w:hyperlink r:id="rId488">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turbidity in the combined filter effluent must be less than or equal to 0.3 NTU in 95 percent of the turbidity measurements taken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turbidity in the combined filter effluent must never exceed 1 NTU at any time during the month. If at any time the combined filter effluent turbidity exceeds 1 NTU, either in a grab sample used for compliance or in a continuously monitored flow, the system must inform the department as soon as possible, but no later than 24 hours after the exceedance is known, in accordance with the public notification requirements under 567—subparagraphs 42.1(3)</w:t>
      </w:r>
      <w:r>
        <w:rPr>
          <w:rFonts w:ascii="Times New Roman" w:hAnsi="Times New Roman"/>
          <w:b w:val="false"/>
          <w:i/>
          <w:color w:val="000000"/>
          <w:sz w:val="22"/>
        </w:rPr>
        <w:t>“b”</w:t>
      </w:r>
      <w:r>
        <w:rPr>
          <w:rFonts w:ascii="Times New Roman" w:hAnsi="Times New Roman"/>
          <w:b w:val="false"/>
          <w:i w:val="false"/>
          <w:color w:val="000000"/>
          <w:sz w:val="22"/>
        </w:rPr>
        <w:t>(3) and 42.1(2)</w:t>
      </w:r>
      <w:r>
        <w:rPr>
          <w:rFonts w:ascii="Times New Roman" w:hAnsi="Times New Roman"/>
          <w:b w:val="false"/>
          <w:i/>
          <w:color w:val="000000"/>
          <w:sz w:val="22"/>
        </w:rPr>
        <w:t>“a”</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monthly reporting requirements are listed in subrule </w:t>
      </w:r>
      <w:hyperlink r:id="rId489">
        <w:r>
          <w:rPr>
            <w:rStyle w:val="Hyperlink"/>
            <w:rFonts w:ascii="Times New Roman" w:hAnsi="Times New Roman"/>
            <w:b w:val="false"/>
            <w:i w:val="false"/>
            <w:color w:val="000000"/>
            <w:sz w:val="22"/>
          </w:rPr>
          <w:t>43.10(6)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Slow sand filtration or diatomaceous earth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Turbidity must be measured in the combined filter effluent as described in paragraphs </w:t>
      </w:r>
      <w:hyperlink r:id="rId490">
        <w:r>
          <w:rPr>
            <w:rStyle w:val="Hyperlink"/>
            <w:rFonts w:ascii="Times New Roman" w:hAnsi="Times New Roman"/>
            <w:b w:val="false"/>
            <w:i w:val="false"/>
            <w:color w:val="000000"/>
            <w:sz w:val="22"/>
          </w:rPr>
          <w:t>43.5(4)</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combined filter effluent turbidity limits of subrule </w:t>
      </w:r>
      <w:hyperlink r:id="rId491">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monthly reporting requirements are listed in subrule </w:t>
      </w:r>
      <w:hyperlink r:id="rId492">
        <w:r>
          <w:rPr>
            <w:rStyle w:val="Hyperlink"/>
            <w:rFonts w:ascii="Times New Roman" w:hAnsi="Times New Roman"/>
            <w:b w:val="false"/>
            <w:i w:val="false"/>
            <w:color w:val="000000"/>
            <w:sz w:val="22"/>
          </w:rPr>
          <w:t>43.10(6)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alternative filtration technologies. </w:t>
      </w:r>
      <w:r>
        <w:rPr>
          <w:rFonts w:ascii="Times New Roman" w:hAnsi="Times New Roman"/>
          <w:b w:val="false"/>
          <w:i w:val="false"/>
          <w:color w:val="000000"/>
          <w:sz w:val="22"/>
        </w:rPr>
        <w:t xml:space="preserve">By using pilot studies or other means, a system using alternative filtration must demonstrate to the satisfaction of the department that the system’s filtration, in combination with disinfection treatment, consistently achieves 99 percent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 99.9 percent removal, inactivation, or a combination of both,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and 99.99 percent removal, inactivation, or a combination of both, of viruses. The department will then use the pilot study data to determine system-specific turbidity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Turbidity must be measured in the combined filter effluent as described in paragraphs </w:t>
      </w:r>
      <w:hyperlink r:id="rId493">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turbidity must be less than or equal to a value set by the department in 95 percent of the combined filter effluent turbidity measurements taken each month, based on the pilot study. The value may not exceed 1 NTU.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combined filter effluent turbidity must never exceed a value set by the department, based on the pilot study. The value may not exceed 5 NTU.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monthly reporting requirements are listed in subrule </w:t>
      </w:r>
      <w:hyperlink r:id="rId494">
        <w:r>
          <w:rPr>
            <w:rStyle w:val="Hyperlink"/>
            <w:rFonts w:ascii="Times New Roman" w:hAnsi="Times New Roman"/>
            <w:b w:val="false"/>
            <w:i w:val="false"/>
            <w:color w:val="000000"/>
            <w:sz w:val="22"/>
          </w:rPr>
          <w:t>43.10(6)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43.10(5)</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turbidity requirements. </w:t>
      </w:r>
      <w:r>
        <w:rPr>
          <w:rFonts w:ascii="Times New Roman" w:hAnsi="Times New Roman"/>
          <w:b w:val="false"/>
          <w:i w:val="false"/>
          <w:color w:val="000000"/>
          <w:sz w:val="22"/>
        </w:rPr>
        <w:t xml:space="preserve">All systems utilizing conventional filtration or direct filtration must conduct continuous monitoring of turbidity for each individual filter. Records must be maintained according to subrule </w:t>
      </w:r>
      <w:hyperlink r:id="rId495">
        <w:r>
          <w:rPr>
            <w:rStyle w:val="Hyperlink"/>
            <w:rFonts w:ascii="Times New Roman" w:hAnsi="Times New Roman"/>
            <w:b w:val="false"/>
            <w:i w:val="false"/>
            <w:color w:val="000000"/>
            <w:sz w:val="22"/>
          </w:rPr>
          <w:t>43.10(7)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Continuous turbidity monitoring requirements. </w:t>
      </w:r>
      <w:r>
        <w:rPr>
          <w:rFonts w:ascii="Times New Roman" w:hAnsi="Times New Roman"/>
          <w:b w:val="false"/>
          <w:i w:val="false"/>
          <w:color w:val="000000"/>
          <w:sz w:val="22"/>
        </w:rPr>
        <w:t>Following are the continuous turbidity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must be conducted using an approved method listed in paragraph </w:t>
      </w:r>
      <w:hyperlink r:id="rId496">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Calibration of turbidimeters must be conducted at least every 90 days with a primary standard. The calibration of each turbidimeter used for compliance must be verified at least once per week with a primary standard, secondary standards, or the manufacturer’s proprietary calibration confirmation device or by a method approved by the department. If the verification is not within plus or minus 0.05 NTU for measurements of less than or equal to 0.5 NTU, or within plus or minus 10 percent of measurements greater than 0.5 NTU, the turbidimeter must be recalibrated;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turbidity monitoring must be recorded at least every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Monthly reporting must be completed according to subrule </w:t>
      </w:r>
      <w:hyperlink r:id="rId497">
        <w:r>
          <w:rPr>
            <w:rStyle w:val="Hyperlink"/>
            <w:rFonts w:ascii="Times New Roman" w:hAnsi="Times New Roman"/>
            <w:b w:val="false"/>
            <w:i w:val="false"/>
            <w:color w:val="000000"/>
            <w:sz w:val="22"/>
          </w:rPr>
          <w:t>43.10(6)</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must be maintained according to </w:t>
      </w:r>
      <w:hyperlink r:id="rId498">
        <w:r>
          <w:rPr>
            <w:rStyle w:val="Hyperlink"/>
            <w:rFonts w:ascii="Times New Roman" w:hAnsi="Times New Roman"/>
            <w:b w:val="false"/>
            <w:i w:val="false"/>
            <w:color w:val="000000"/>
            <w:sz w:val="22"/>
          </w:rPr>
          <w:t>43.10(7)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Failure of continuous turbidity monitoring equipment. </w:t>
      </w:r>
      <w:r>
        <w:rPr>
          <w:rFonts w:ascii="Times New Roman" w:hAnsi="Times New Roman"/>
          <w:b w:val="false"/>
          <w:i w:val="false"/>
          <w:color w:val="000000"/>
          <w:sz w:val="22"/>
        </w:rPr>
        <w:t>If there is a failure in the continuous turbidity monitoring equipment, the system must conduct grab sampling every four hours in lieu of continuous monitoring until the turbidimeter is back on-line. A system has a maximum of 14 days after failure to repair the equipment, or else the system is in violation. The system must notify the department within 24 hours of both when the turbidimeter was taken off-line and when it was returned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provision for one-filter or two-filter systems. </w:t>
      </w:r>
      <w:r>
        <w:rPr>
          <w:rFonts w:ascii="Times New Roman" w:hAnsi="Times New Roman"/>
          <w:b w:val="false"/>
          <w:i w:val="false"/>
          <w:color w:val="000000"/>
          <w:sz w:val="22"/>
        </w:rPr>
        <w:t xml:space="preserve">If a system has only one or two filters, it may conduct continuous monitoring of the combined filter effluent turbidity instead of individual effluent turbidity monitoring. The continuous monitoring of the combined filter effluent turbidity must meet the requirements listed in </w:t>
      </w:r>
      <w:hyperlink r:id="rId499">
        <w:r>
          <w:rPr>
            <w:rStyle w:val="Hyperlink"/>
            <w:rFonts w:ascii="Times New Roman" w:hAnsi="Times New Roman"/>
            <w:b w:val="false"/>
            <w:i w:val="false"/>
            <w:color w:val="000000"/>
            <w:sz w:val="22"/>
          </w:rPr>
          <w:t>43.10(5)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Alternative turbidity levels for systems using lime softening. </w:t>
      </w:r>
      <w:r>
        <w:rPr>
          <w:rFonts w:ascii="Times New Roman" w:hAnsi="Times New Roman"/>
          <w:b w:val="false"/>
          <w:i w:val="false"/>
          <w:color w:val="000000"/>
          <w:sz w:val="22"/>
        </w:rPr>
        <w:t xml:space="preserve">Systems using lime softening may apply to the department for alternative turbidity exceedance levels for the levels specified in </w:t>
      </w:r>
      <w:hyperlink r:id="rId500">
        <w:r>
          <w:rPr>
            <w:rStyle w:val="Hyperlink"/>
            <w:rFonts w:ascii="Times New Roman" w:hAnsi="Times New Roman"/>
            <w:b w:val="false"/>
            <w:i w:val="false"/>
            <w:color w:val="000000"/>
            <w:sz w:val="22"/>
          </w:rPr>
          <w:t>43.10(5)</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system must be able to demonstrate to the satisfaction of the department that higher turbidity levels are due to lime carryover only, and not due to degraded filter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Requirements triggered by the individual filter turbidity monitoring data. </w:t>
      </w:r>
      <w:r>
        <w:rPr>
          <w:rFonts w:ascii="Times New Roman" w:hAnsi="Times New Roman"/>
          <w:b w:val="false"/>
          <w:i w:val="false"/>
          <w:color w:val="000000"/>
          <w:sz w:val="22"/>
        </w:rPr>
        <w:t>Systems are required to conduct additional activities based upon their individual filter turbidity monitoring data, as listed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turbidity of an individual filter (or the turbidity of the combined filter effluent for a system with one or two filters, pursuant to </w:t>
      </w:r>
      <w:hyperlink r:id="rId501">
        <w:r>
          <w:rPr>
            <w:rStyle w:val="Hyperlink"/>
            <w:rFonts w:ascii="Times New Roman" w:hAnsi="Times New Roman"/>
            <w:b w:val="false"/>
            <w:i w:val="false"/>
            <w:color w:val="000000"/>
            <w:sz w:val="22"/>
          </w:rPr>
          <w:t>43.10(5)</w:t>
        </w:r>
      </w:hyperlink>
      <w:r>
        <w:rPr>
          <w:rFonts w:ascii="Times New Roman" w:hAnsi="Times New Roman"/>
          <w:b w:val="false"/>
          <w:i/>
          <w:color w:val="000000"/>
          <w:sz w:val="22"/>
        </w:rPr>
        <w:t>“c”</w:t>
      </w:r>
      <w:r>
        <w:rPr>
          <w:rFonts w:ascii="Times New Roman" w:hAnsi="Times New Roman"/>
          <w:b w:val="false"/>
          <w:i w:val="false"/>
          <w:color w:val="000000"/>
          <w:sz w:val="22"/>
        </w:rPr>
        <w:t>) exceeds 1.0 NTU in two consecutive recordings taken 15 minutes apart, the system must report the following information in the monthly operation report to the department by the tenth day of the following month: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filter number(s);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Corresponding date(s);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Turbidity value(s) which exceeded 1.0 NTU;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cause of the exceedance(s),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turbidity of an individual filter (or the turbidity of the combined filter effluent for a system with one or two filters, pursuant to </w:t>
      </w:r>
      <w:hyperlink r:id="rId502">
        <w:r>
          <w:rPr>
            <w:rStyle w:val="Hyperlink"/>
            <w:rFonts w:ascii="Times New Roman" w:hAnsi="Times New Roman"/>
            <w:b w:val="false"/>
            <w:i w:val="false"/>
            <w:color w:val="000000"/>
            <w:sz w:val="22"/>
          </w:rPr>
          <w:t>43.10(5)</w:t>
        </w:r>
      </w:hyperlink>
      <w:r>
        <w:rPr>
          <w:rFonts w:ascii="Times New Roman" w:hAnsi="Times New Roman"/>
          <w:b w:val="false"/>
          <w:i/>
          <w:color w:val="000000"/>
          <w:sz w:val="22"/>
        </w:rPr>
        <w:t>“c”</w:t>
      </w:r>
      <w:r>
        <w:rPr>
          <w:rFonts w:ascii="Times New Roman" w:hAnsi="Times New Roman"/>
          <w:b w:val="false"/>
          <w:i w:val="false"/>
          <w:color w:val="000000"/>
          <w:sz w:val="22"/>
        </w:rPr>
        <w:t>) exceeds 1.0 NTU in two consecutive recordings 15 minutes apart in three consecutive months, the system must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system must conduct a self-assessment of the filter(s) within 14 days of the day the filter exceeded 1.0 NTU in two consecutive measurements for the third straight month, unless a comprehensive performance evaluation as specified in the following paragraph is required. Two-filter systems that monitor the combined filter effluent turbidity instead of the individual filters must conduct a self-assessment of both filters.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self-assessment must consist of at least the following components: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of filter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Development of a filter profile;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Identification and prioritization of factors limiting filter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Assessment of the applicability of corrections;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Preparation of a filter self-assessment report;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the self-assessment requirement was triggered;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the self-assessment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turbidity of an individual filter (or the turbidity of the combined filter effluent for a system with one or two filters, pursuant to </w:t>
      </w:r>
      <w:hyperlink r:id="rId503">
        <w:r>
          <w:rPr>
            <w:rStyle w:val="Hyperlink"/>
            <w:rFonts w:ascii="Times New Roman" w:hAnsi="Times New Roman"/>
            <w:b w:val="false"/>
            <w:i w:val="false"/>
            <w:color w:val="000000"/>
            <w:sz w:val="22"/>
          </w:rPr>
          <w:t>43.10(5)</w:t>
        </w:r>
      </w:hyperlink>
      <w:r>
        <w:rPr>
          <w:rFonts w:ascii="Times New Roman" w:hAnsi="Times New Roman"/>
          <w:b w:val="false"/>
          <w:i/>
          <w:color w:val="000000"/>
          <w:sz w:val="22"/>
        </w:rPr>
        <w:t>“c”</w:t>
      </w:r>
      <w:r>
        <w:rPr>
          <w:rFonts w:ascii="Times New Roman" w:hAnsi="Times New Roman"/>
          <w:b w:val="false"/>
          <w:i w:val="false"/>
          <w:color w:val="000000"/>
          <w:sz w:val="22"/>
        </w:rPr>
        <w:t>) exceeds 2.0 NTU in two consecutive recordings 15 minutes apart in two consecutive months, the system must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system must arrange to have a comprehensive performance evaluation (CPE) conducted by the department or a third party approved by the department no later than 60 days following the day the filter exceeded 2.0 NTU in two consecutive measurements for the second straight month. The CPE report must be completed and submitted to the department within 120 days following the day the filter exceeded 2.0 NTU in two consecutive measurements for the second straight month.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new CPE is not required if a CPE has been completed by the department or a third party approved by the department within the prior 12 months or if the system and department are jointly participating in an ongoing comprehensive technical assistance project at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CPE at a system regardless of individual filter turbidity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43.10(6)</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The system must meet the following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Combined filter effluent turbidity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must be reported in the monthly operation report to the department by the tenth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number of filtered water turbidity measurements taken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filtered water turbidity measurements taken during the month which are less than or equal to the system’s required 95th percentile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analytical result of any turbidity measurements taken during the month which exceeded the maximum turbidity limit for the system, in addition to the requirements of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dates and summary of calibration and verification of all compliance turbidimeters.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 exceedance of the combined filter effluent maximum turbidity limit, the following requirements must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at any time the turbidity exceeds 1 NTU in representative samples of filtered water in a system using conventional filtration treatment or direct filtration, the system must consult with the department as soon as practical, but no later than 24 hours after the exceedance is known, in accordance with the public notification requirements under 567—subparagraph </w:t>
      </w:r>
      <w:hyperlink r:id="rId504">
        <w:r>
          <w:rPr>
            <w:rStyle w:val="Hyperlink"/>
            <w:rFonts w:ascii="Times New Roman" w:hAnsi="Times New Roman"/>
            <w:b w:val="false"/>
            <w:i w:val="false"/>
            <w:color w:val="000000"/>
            <w:sz w:val="22"/>
          </w:rPr>
          <w:t>42.1(3)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at any time the turbidity in representative samples of filtered water exceeds the maximum level under subrule </w:t>
      </w:r>
      <w:hyperlink r:id="rId505">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for slow sand filtration or diatomaceous earth filtration, the system must consult with the department as soon as practical, but no later than 24 hours after the exceedance is known, in accordance with the public notification requirements under 567—subparagraph </w:t>
      </w:r>
      <w:hyperlink r:id="rId506">
        <w:r>
          <w:rPr>
            <w:rStyle w:val="Hyperlink"/>
            <w:rFonts w:ascii="Times New Roman" w:hAnsi="Times New Roman"/>
            <w:b w:val="false"/>
            <w:i w:val="false"/>
            <w:color w:val="000000"/>
            <w:sz w:val="22"/>
          </w:rPr>
          <w:t>42.1(3)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at any time the turbidity in representative samples of filtered water exceeds the maximum level set by the department under paragraph </w:t>
      </w:r>
      <w:hyperlink r:id="rId507">
        <w:r>
          <w:rPr>
            <w:rStyle w:val="Hyperlink"/>
            <w:rFonts w:ascii="Times New Roman" w:hAnsi="Times New Roman"/>
            <w:b w:val="false"/>
            <w:i w:val="false"/>
            <w:color w:val="000000"/>
            <w:sz w:val="22"/>
          </w:rPr>
          <w:t>43.10(4)</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filtration technologies other than conventional filtration treatment, direct filtration, slow sand filtration, or diatomaceous earth filtration, the system must consult with the department as soon as practical, but no later than 24 hours after the exceedance is known, in accordance with the public notification requirements under 567—subparagraph </w:t>
      </w:r>
      <w:hyperlink r:id="rId508">
        <w:r>
          <w:rPr>
            <w:rStyle w:val="Hyperlink"/>
            <w:rFonts w:ascii="Times New Roman" w:hAnsi="Times New Roman"/>
            <w:b w:val="false"/>
            <w:i w:val="false"/>
            <w:color w:val="000000"/>
            <w:sz w:val="22"/>
          </w:rPr>
          <w:t>42.1(3)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effluent turbidity monitoring. </w:t>
      </w:r>
      <w:r>
        <w:rPr>
          <w:rFonts w:ascii="Times New Roman" w:hAnsi="Times New Roman"/>
          <w:b w:val="false"/>
          <w:i w:val="false"/>
          <w:color w:val="000000"/>
          <w:sz w:val="22"/>
        </w:rPr>
        <w:t>The following information must be reported in the monthly operation report to the department by the tenth day of the following month,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system conducted individual filter turbidity monitoring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any filter that had two consecutive measurements taken 15 minutes apart that exceeded 1.0 NTU, the following information must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corresponding dates;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turbidity values that exceeded 1.0 NTU;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cause, if known, of the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self-assessment was required, the date it was triggered and the date the assessment was completed must be reported. If the self-assessment requirement was triggered in the last four days of the month, the information must be reported to the department by the 14th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comprehensive performance evaluation was required, the date it was triggered must be reported. A copy of the CPE report must be submitted to the department within 120 days of when the CPE requirement was triggered.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dates and summary of calibration and verification of all compliance turbidimeters.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w:t>
      </w:r>
      <w:r>
        <w:rPr>
          <w:rFonts w:ascii="Times New Roman" w:hAnsi="Times New Roman"/>
          <w:b w:val="false"/>
          <w:i w:val="false"/>
          <w:color w:val="000000"/>
          <w:sz w:val="22"/>
        </w:rPr>
        <w:t>The following information must be reported to the department by January 1, 2004, for systems serving fewer than 500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of disinfection byproduct monitoring that indicate TTHM levels less than 0.064 mg/L and HAA5 levels less than 0.048 mg/L;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system has begun to collect the profiling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Disinfection benchmarking. </w:t>
      </w:r>
      <w:r>
        <w:rPr>
          <w:rFonts w:ascii="Times New Roman" w:hAnsi="Times New Roman"/>
          <w:b w:val="false"/>
          <w:i w:val="false"/>
          <w:color w:val="000000"/>
          <w:sz w:val="22"/>
        </w:rPr>
        <w:t>Before a system that was required to develop a disinfection profile makes a significant change to its disinfection practice, it must report the following information to the department, and the system must receive department approval before any significant change in disinfection practice is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the proposed change in disinfection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system’s disinfection profile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if applicable, for viruses;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system’s disinfection benchmark;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analysis of how the proposed change will affect the current levels of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43.10(7)</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 xml:space="preserve">The system must meet the following record-keeping requirements, in addition to the record-keeping requirements in 567—paragraph </w:t>
      </w:r>
      <w:hyperlink r:id="rId509">
        <w:r>
          <w:rPr>
            <w:rStyle w:val="Hyperlink"/>
            <w:rFonts w:ascii="Times New Roman" w:hAnsi="Times New Roman"/>
            <w:b w:val="false"/>
            <w:i w:val="false"/>
            <w:color w:val="000000"/>
            <w:sz w:val="22"/>
          </w:rPr>
          <w:t>42.4(3)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510">
        <w:r>
          <w:rPr>
            <w:rStyle w:val="Hyperlink"/>
            <w:rFonts w:ascii="Times New Roman" w:hAnsi="Times New Roman"/>
            <w:b w:val="false"/>
            <w:i w:val="false"/>
            <w:color w:val="000000"/>
            <w:sz w:val="22"/>
          </w:rPr>
          <w:t>567—42.5(455B)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effluent turbidity requirements. </w:t>
      </w:r>
      <w:r>
        <w:rPr>
          <w:rFonts w:ascii="Times New Roman" w:hAnsi="Times New Roman"/>
          <w:b w:val="false"/>
          <w:i w:val="false"/>
          <w:color w:val="000000"/>
          <w:sz w:val="22"/>
        </w:rPr>
        <w:t>The results of the individual filter effluent turbidity monitoring must be kept for at least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requirements. </w:t>
      </w:r>
      <w:r>
        <w:rPr>
          <w:rFonts w:ascii="Times New Roman" w:hAnsi="Times New Roman"/>
          <w:b w:val="false"/>
          <w:i w:val="false"/>
          <w:color w:val="000000"/>
          <w:sz w:val="22"/>
        </w:rPr>
        <w:t>The results of the disinfection profile, including raw data and analysis, must be kept indefinitely.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Disinfection benchmarking requirements. </w:t>
      </w:r>
      <w:r>
        <w:rPr>
          <w:rFonts w:ascii="Times New Roman" w:hAnsi="Times New Roman"/>
          <w:b w:val="false"/>
          <w:i w:val="false"/>
          <w:color w:val="000000"/>
          <w:sz w:val="22"/>
        </w:rPr>
        <w:t>The results of the disinfection benchmark, including raw data and analysis, must be kept indefinitely.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567—43.11</w:t>
      </w:r>
      <w:r>
        <w:rPr>
          <w:rFonts w:ascii="Times New Roman" w:hAnsi="Times New Roman"/>
          <w:b/>
          <w:i w:val="false"/>
          <w:color w:val="000000"/>
          <w:sz w:val="22"/>
        </w:rPr>
        <w:t xml:space="preserve">(455B) </w:t>
      </w:r>
      <w:r>
        <w:rPr>
          <w:rFonts w:ascii="Times New Roman" w:hAnsi="Times New Roman"/>
          <w:b/>
          <w:i w:val="false"/>
          <w:color w:val="000000"/>
          <w:sz w:val="22"/>
        </w:rPr>
        <w:t xml:space="preserve">Enhanced treatment for </w:t>
      </w:r>
      <w:r>
        <w:rPr>
          <w:rFonts w:ascii="Times New Roman" w:hAnsi="Times New Roman"/>
          <w:b/>
          <w:i/>
          <w:color w:val="000000"/>
          <w:sz w:val="22"/>
        </w:rPr>
        <w:t>Cryptosporidium</w:t>
      </w:r>
      <w:r>
        <w:rPr>
          <w:rFonts w:ascii="Times New Roman" w:hAnsi="Times New Roman"/>
          <w:b/>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requirements of this rule are national primary drinking water regulations and establish or extend treatment technique requirements in lieu of maximum contaminant levels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These requirements are in addition to the filtration and disinfection requirements of </w:t>
      </w:r>
      <w:hyperlink r:id="rId511">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w:t>
      </w:r>
      <w:hyperlink r:id="rId512">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and </w:t>
      </w:r>
      <w:hyperlink r:id="rId513">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(455B) and apply to all Iowa public water systems supplied by surface water or influenced groundwater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Wholesale systems. </w:t>
      </w:r>
      <w:r>
        <w:rPr>
          <w:rFonts w:ascii="Times New Roman" w:hAnsi="Times New Roman"/>
          <w:b w:val="false"/>
          <w:i w:val="false"/>
          <w:color w:val="000000"/>
          <w:sz w:val="22"/>
        </w:rPr>
        <w:t>Wholesale systems must comply with the requirements based on the population of the largest system in the combined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Filtered systems. </w:t>
      </w:r>
      <w:r>
        <w:rPr>
          <w:rFonts w:ascii="Times New Roman" w:hAnsi="Times New Roman"/>
          <w:b w:val="false"/>
          <w:i w:val="false"/>
          <w:color w:val="000000"/>
          <w:sz w:val="22"/>
        </w:rPr>
        <w:t xml:space="preserve">The requirements of this rule for filtered systems apply to systems that are required to provide filtration treatment pursuant to </w:t>
      </w:r>
      <w:hyperlink r:id="rId514">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(455B), whether or not the system is currently operating a filtration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Systems subject to this rule must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Source water monitoring. </w:t>
      </w:r>
      <w:r>
        <w:rPr>
          <w:rFonts w:ascii="Times New Roman" w:hAnsi="Times New Roman"/>
          <w:b w:val="false"/>
          <w:i w:val="false"/>
          <w:color w:val="000000"/>
          <w:sz w:val="22"/>
        </w:rPr>
        <w:t xml:space="preserve">Systems must conduct two rounds of source water monitoring for each plant that treats a surface water or influenced groundwater source. This monitoring may include sampling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w:t>
      </w:r>
      <w:r>
        <w:rPr>
          <w:rFonts w:ascii="Times New Roman" w:hAnsi="Times New Roman"/>
          <w:b w:val="false"/>
          <w:i/>
          <w:color w:val="000000"/>
          <w:sz w:val="22"/>
        </w:rPr>
        <w:t>E. coli</w:t>
      </w:r>
      <w:r>
        <w:rPr>
          <w:rFonts w:ascii="Times New Roman" w:hAnsi="Times New Roman"/>
          <w:b w:val="false"/>
          <w:i w:val="false"/>
          <w:color w:val="000000"/>
          <w:sz w:val="22"/>
        </w:rPr>
        <w:t xml:space="preserve">, and turbidity, as described in </w:t>
      </w:r>
      <w:hyperlink r:id="rId515">
        <w:r>
          <w:rPr>
            <w:rStyle w:val="Hyperlink"/>
            <w:rFonts w:ascii="Times New Roman" w:hAnsi="Times New Roman"/>
            <w:b w:val="false"/>
            <w:i w:val="false"/>
            <w:color w:val="000000"/>
            <w:sz w:val="22"/>
          </w:rPr>
          <w:t>43.11(3)</w:t>
        </w:r>
      </w:hyperlink>
      <w:r>
        <w:rPr>
          <w:rFonts w:ascii="Times New Roman" w:hAnsi="Times New Roman"/>
          <w:b w:val="false"/>
          <w:i w:val="false"/>
          <w:color w:val="000000"/>
          <w:sz w:val="22"/>
        </w:rPr>
        <w:t xml:space="preserve">, to determine what level, if any, of additional </w:t>
      </w:r>
      <w:r>
        <w:rPr>
          <w:rFonts w:ascii="Times New Roman" w:hAnsi="Times New Roman"/>
          <w:b w:val="false"/>
          <w:i/>
          <w:color w:val="000000"/>
          <w:sz w:val="22"/>
        </w:rPr>
        <w:t xml:space="preserve">Cryptosporidium </w:t>
      </w:r>
      <w:r>
        <w:rPr>
          <w:rFonts w:ascii="Times New Roman" w:hAnsi="Times New Roman"/>
          <w:b w:val="false"/>
          <w:i w:val="false"/>
          <w:color w:val="000000"/>
          <w:sz w:val="22"/>
        </w:rPr>
        <w:t>treatment the systems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profiles and benchmarks. </w:t>
      </w:r>
      <w:r>
        <w:rPr>
          <w:rFonts w:ascii="Times New Roman" w:hAnsi="Times New Roman"/>
          <w:b w:val="false"/>
          <w:i w:val="false"/>
          <w:color w:val="000000"/>
          <w:sz w:val="22"/>
        </w:rPr>
        <w:t xml:space="preserve">Systems that plan to make a significant change to their disinfection practice must develop disinfection profiles and calculate disinfection benchmarks, as described in </w:t>
      </w:r>
      <w:hyperlink r:id="rId516">
        <w:r>
          <w:rPr>
            <w:rStyle w:val="Hyperlink"/>
            <w:rFonts w:ascii="Times New Roman" w:hAnsi="Times New Roman"/>
            <w:b w:val="false"/>
            <w:i w:val="false"/>
            <w:color w:val="000000"/>
            <w:sz w:val="22"/>
          </w:rPr>
          <w:t>43.11(4)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Cryptosporidium treatment bin determination. </w:t>
      </w:r>
      <w:r>
        <w:rPr>
          <w:rFonts w:ascii="Times New Roman" w:hAnsi="Times New Roman"/>
          <w:b w:val="false"/>
          <w:i w:val="false"/>
          <w:color w:val="000000"/>
          <w:sz w:val="22"/>
        </w:rPr>
        <w:t xml:space="preserve">Systems must determine their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bin classification and provide additional treatment for </w:t>
      </w:r>
      <w:r>
        <w:rPr>
          <w:rFonts w:ascii="Times New Roman" w:hAnsi="Times New Roman"/>
          <w:b w:val="false"/>
          <w:i/>
          <w:color w:val="000000"/>
          <w:sz w:val="22"/>
        </w:rPr>
        <w:t>Cryptosporidium</w:t>
      </w:r>
      <w:r>
        <w:rPr>
          <w:rFonts w:ascii="Times New Roman" w:hAnsi="Times New Roman"/>
          <w:b w:val="false"/>
          <w:i w:val="false"/>
          <w:color w:val="000000"/>
          <w:sz w:val="22"/>
        </w:rPr>
        <w:t>, if required, according to the prescribed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treatment for Cryptosporidium. </w:t>
      </w:r>
      <w:r>
        <w:rPr>
          <w:rFonts w:ascii="Times New Roman" w:hAnsi="Times New Roman"/>
          <w:b w:val="false"/>
          <w:i w:val="false"/>
          <w:color w:val="000000"/>
          <w:sz w:val="22"/>
        </w:rPr>
        <w:t xml:space="preserve">Systems required to provide additional treatment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must implement microbial toolbox options that are designed and operated as described in </w:t>
      </w:r>
      <w:hyperlink r:id="rId517">
        <w:r>
          <w:rPr>
            <w:rStyle w:val="Hyperlink"/>
            <w:rFonts w:ascii="Times New Roman" w:hAnsi="Times New Roman"/>
            <w:b w:val="false"/>
            <w:i w:val="false"/>
            <w:color w:val="000000"/>
            <w:sz w:val="22"/>
          </w:rPr>
          <w:t>43.11(8)</w:t>
        </w:r>
      </w:hyperlink>
      <w:r>
        <w:rPr>
          <w:rFonts w:ascii="Times New Roman" w:hAnsi="Times New Roman"/>
          <w:b w:val="false"/>
          <w:i w:val="false"/>
          <w:color w:val="000000"/>
          <w:sz w:val="22"/>
        </w:rPr>
        <w:t xml:space="preserve"> through </w:t>
      </w:r>
      <w:hyperlink r:id="rId518">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reporting. </w:t>
      </w:r>
      <w:r>
        <w:rPr>
          <w:rFonts w:ascii="Times New Roman" w:hAnsi="Times New Roman"/>
          <w:b w:val="false"/>
          <w:i w:val="false"/>
          <w:color w:val="000000"/>
          <w:sz w:val="22"/>
        </w:rPr>
        <w:t xml:space="preserve">Systems must comply with the applicable record-keeping and reporting requirements described in </w:t>
      </w:r>
      <w:hyperlink r:id="rId519">
        <w:r>
          <w:rPr>
            <w:rStyle w:val="Hyperlink"/>
            <w:rFonts w:ascii="Times New Roman" w:hAnsi="Times New Roman"/>
            <w:b w:val="false"/>
            <w:i w:val="false"/>
            <w:color w:val="000000"/>
            <w:sz w:val="22"/>
          </w:rPr>
          <w:t>43.11(14)</w:t>
        </w:r>
      </w:hyperlink>
      <w:r>
        <w:rPr>
          <w:rFonts w:ascii="Times New Roman" w:hAnsi="Times New Roman"/>
          <w:b w:val="false"/>
          <w:i w:val="false"/>
          <w:color w:val="000000"/>
          <w:sz w:val="22"/>
        </w:rPr>
        <w:t xml:space="preserve"> and </w:t>
      </w:r>
      <w:hyperlink r:id="rId520">
        <w:r>
          <w:rPr>
            <w:rStyle w:val="Hyperlink"/>
            <w:rFonts w:ascii="Times New Roman" w:hAnsi="Times New Roman"/>
            <w:b w:val="false"/>
            <w:i w:val="false"/>
            <w:color w:val="000000"/>
            <w:sz w:val="22"/>
          </w:rPr>
          <w:t>43.11(15)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Significant deficiencies. </w:t>
      </w:r>
      <w:r>
        <w:rPr>
          <w:rFonts w:ascii="Times New Roman" w:hAnsi="Times New Roman"/>
          <w:b w:val="false"/>
          <w:i w:val="false"/>
          <w:color w:val="000000"/>
          <w:sz w:val="22"/>
        </w:rPr>
        <w:t xml:space="preserve">Systems must address significant deficiencies identified during sanitary surveys as described in </w:t>
      </w:r>
      <w:hyperlink r:id="rId521">
        <w:r>
          <w:rPr>
            <w:rStyle w:val="Hyperlink"/>
            <w:rFonts w:ascii="Times New Roman" w:hAnsi="Times New Roman"/>
            <w:b w:val="false"/>
            <w:i w:val="false"/>
            <w:color w:val="000000"/>
            <w:sz w:val="22"/>
          </w:rPr>
          <w:t>43.1(7)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43.11(3)</w:t>
      </w:r>
      <w:r>
        <w:rPr>
          <w:rFonts w:ascii="Times New Roman" w:hAnsi="Times New Roman"/>
          <w:b w:val="false"/>
          <w:i w:val="false"/>
          <w:color w:val="000000"/>
          <w:sz w:val="22"/>
        </w:rPr>
        <w:t> </w:t>
      </w:r>
      <w:r>
        <w:rPr>
          <w:rFonts w:ascii="Times New Roman" w:hAnsi="Times New Roman"/>
          <w:b w:val="false"/>
          <w:i/>
          <w:color w:val="000000"/>
          <w:sz w:val="22"/>
        </w:rPr>
        <w:t xml:space="preserve">Source water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 xml:space="preserve">Systems must conduct the source water monitoring no later than the month and year listed in Table 1. A system may avoid the source water monitoring if the system provides a total of at least 5.5-log treatment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equivalent to meeting the treatment requirements of Bin 4 in </w:t>
      </w:r>
      <w:hyperlink r:id="rId522">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xml:space="preserve">. The system must install and operate technologies to provide this level of treatment by the applicable treatment compliance date specified in </w:t>
      </w:r>
      <w:hyperlink r:id="rId523">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val="false"/>
          <w:i w:val="false"/>
          <w:color w:val="000000"/>
          <w:sz w:val="22"/>
        </w:rPr>
        <w:t>Table 1: Source Water Monitoring Schedule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010"/>
        <w:gridCol w:w="3090"/>
        <w:gridCol w:w="3090"/>
      </w:tblGrid>
      <w:tr>
        <w:trPr>
          <w:trHeight w:val="240" w:hRule="atLeast"/>
        </w:trPr>
        <w:tc>
          <w:tcPr>
            <w:tcW w:w="501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System</w:t>
            </w:r>
          </w:p>
        </w:tc>
        <w:tc>
          <w:tcPr>
            <w:tcW w:w="309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First round of monitoring</w:t>
            </w:r>
          </w:p>
        </w:tc>
        <w:tc>
          <w:tcPr>
            <w:tcW w:w="309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Second round of monitoring</w:t>
            </w:r>
          </w:p>
        </w:tc>
      </w:tr>
      <w:tr>
        <w:trPr>
          <w:trHeight w:val="240"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Serves at least 100,000 people</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2006</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2015</w:t>
            </w:r>
          </w:p>
        </w:tc>
      </w:tr>
      <w:tr>
        <w:trPr>
          <w:trHeight w:val="225"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Serves 50,000-99,999 people</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2007</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2015</w:t>
            </w:r>
          </w:p>
        </w:tc>
      </w:tr>
      <w:tr>
        <w:trPr>
          <w:trHeight w:val="225"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Serves 10,000-49,999 people</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2008</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2016</w:t>
            </w:r>
          </w:p>
        </w:tc>
      </w:tr>
      <w:tr>
        <w:trPr>
          <w:trHeight w:val="405"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Serves fewer than 10,000 people and only conducts </w:t>
            </w:r>
            <w:r>
              <w:rPr>
                <w:rFonts w:ascii="Times New Roman" w:hAnsi="Times New Roman"/>
                <w:b w:val="false"/>
                <w:i/>
                <w:color w:val="000000"/>
                <w:sz w:val="16"/>
              </w:rPr>
              <w:t xml:space="preserve">E. coli </w:t>
            </w:r>
            <w:r>
              <w:rPr>
                <w:rFonts w:ascii="Times New Roman" w:hAnsi="Times New Roman"/>
                <w:b w:val="false"/>
                <w:i w:val="false"/>
                <w:color w:val="000000"/>
                <w:sz w:val="16"/>
              </w:rPr>
              <w:t>monitoring</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2008</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2017</w:t>
            </w:r>
          </w:p>
        </w:tc>
      </w:tr>
      <w:tr>
        <w:trPr>
          <w:trHeight w:val="405"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Serves fewer than 10,000 people and conducts </w:t>
            </w:r>
            <w:r>
              <w:rPr>
                <w:rFonts w:ascii="Times New Roman" w:hAnsi="Times New Roman"/>
                <w:b w:val="false"/>
                <w:i/>
                <w:color w:val="000000"/>
                <w:sz w:val="16"/>
              </w:rPr>
              <w:t xml:space="preserve">Cryptosporidium </w:t>
            </w:r>
            <w:r>
              <w:rPr>
                <w:rFonts w:ascii="Times New Roman" w:hAnsi="Times New Roman"/>
                <w:b w:val="false"/>
                <w:i w:val="false"/>
                <w:color w:val="000000"/>
                <w:sz w:val="16"/>
              </w:rPr>
              <w:t>monitoring</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2010</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2019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w:t>
      </w:r>
      <w:r>
        <w:rPr>
          <w:rFonts w:ascii="Times New Roman" w:hAnsi="Times New Roman"/>
          <w:b w:val="false"/>
          <w:i w:val="false"/>
          <w:color w:val="000000"/>
          <w:sz w:val="22"/>
        </w:rPr>
        <w:t>The minimum monitoring requirements are listed below. Systems may sample more frequently, provided the sampling frequency is evenly spaced throughout the monitoring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serving at least 10,000 people. Systems serving at least 10,000 people must sample their source water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w:t>
      </w:r>
      <w:r>
        <w:rPr>
          <w:rFonts w:ascii="Times New Roman" w:hAnsi="Times New Roman"/>
          <w:b w:val="false"/>
          <w:i/>
          <w:color w:val="000000"/>
          <w:sz w:val="22"/>
        </w:rPr>
        <w:t>E. coli</w:t>
      </w:r>
      <w:r>
        <w:rPr>
          <w:rFonts w:ascii="Times New Roman" w:hAnsi="Times New Roman"/>
          <w:b w:val="false"/>
          <w:i w:val="false"/>
          <w:color w:val="000000"/>
          <w:sz w:val="22"/>
        </w:rPr>
        <w:t>, and turbidity at least monthly for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serving fewer than 10,000 people. Systems serving fewer than 10,000 people are allowed to first conduct </w:t>
      </w:r>
      <w:r>
        <w:rPr>
          <w:rFonts w:ascii="Times New Roman" w:hAnsi="Times New Roman"/>
          <w:b w:val="false"/>
          <w:i/>
          <w:color w:val="000000"/>
          <w:sz w:val="22"/>
        </w:rPr>
        <w:t>E. coli</w:t>
      </w:r>
      <w:r>
        <w:rPr>
          <w:rFonts w:ascii="Times New Roman" w:hAnsi="Times New Roman"/>
          <w:b w:val="false"/>
          <w:i w:val="false"/>
          <w:color w:val="000000"/>
          <w:sz w:val="22"/>
        </w:rPr>
        <w:t xml:space="preserve"> monitoring to determine if further monitoring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is required.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Systems must sample their source water for </w:t>
      </w:r>
      <w:r>
        <w:rPr>
          <w:rFonts w:ascii="Times New Roman" w:hAnsi="Times New Roman"/>
          <w:b w:val="false"/>
          <w:i/>
          <w:color w:val="000000"/>
          <w:sz w:val="22"/>
        </w:rPr>
        <w:t>E. coli</w:t>
      </w:r>
      <w:r>
        <w:rPr>
          <w:rFonts w:ascii="Times New Roman" w:hAnsi="Times New Roman"/>
          <w:b w:val="false"/>
          <w:i w:val="false"/>
          <w:color w:val="000000"/>
          <w:sz w:val="22"/>
        </w:rPr>
        <w:t xml:space="preserve"> at least once every two weeks for 12 months. If the annual mean </w:t>
      </w:r>
      <w:r>
        <w:rPr>
          <w:rFonts w:ascii="Times New Roman" w:hAnsi="Times New Roman"/>
          <w:b w:val="false"/>
          <w:i/>
          <w:color w:val="000000"/>
          <w:sz w:val="22"/>
        </w:rPr>
        <w:t>E. coli</w:t>
      </w:r>
      <w:r>
        <w:rPr>
          <w:rFonts w:ascii="Times New Roman" w:hAnsi="Times New Roman"/>
          <w:b w:val="false"/>
          <w:i w:val="false"/>
          <w:color w:val="000000"/>
          <w:sz w:val="22"/>
        </w:rPr>
        <w:t xml:space="preserve"> concentration is at or below 100 </w:t>
      </w:r>
      <w:r>
        <w:rPr>
          <w:rFonts w:ascii="Times New Roman" w:hAnsi="Times New Roman"/>
          <w:b w:val="false"/>
          <w:i/>
          <w:color w:val="000000"/>
          <w:sz w:val="22"/>
        </w:rPr>
        <w:t>E. coli</w:t>
      </w:r>
      <w:r>
        <w:rPr>
          <w:rFonts w:ascii="Times New Roman" w:hAnsi="Times New Roman"/>
          <w:b w:val="false"/>
          <w:i w:val="false"/>
          <w:color w:val="000000"/>
          <w:sz w:val="22"/>
        </w:rPr>
        <w:t xml:space="preserve"> per 100 mL, the system can avoid further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 in that sampling round.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system may avoid </w:t>
      </w:r>
      <w:r>
        <w:rPr>
          <w:rFonts w:ascii="Times New Roman" w:hAnsi="Times New Roman"/>
          <w:b w:val="false"/>
          <w:i/>
          <w:color w:val="000000"/>
          <w:sz w:val="22"/>
        </w:rPr>
        <w:t xml:space="preserve">E. coli </w:t>
      </w:r>
      <w:r>
        <w:rPr>
          <w:rFonts w:ascii="Times New Roman" w:hAnsi="Times New Roman"/>
          <w:b w:val="false"/>
          <w:i w:val="false"/>
          <w:color w:val="000000"/>
          <w:sz w:val="22"/>
        </w:rPr>
        <w:t xml:space="preserve">monitoring if the system notifies the department no later than three months prior to the </w:t>
      </w:r>
      <w:r>
        <w:rPr>
          <w:rFonts w:ascii="Times New Roman" w:hAnsi="Times New Roman"/>
          <w:b w:val="false"/>
          <w:i/>
          <w:color w:val="000000"/>
          <w:sz w:val="22"/>
        </w:rPr>
        <w:t>E. coli</w:t>
      </w:r>
      <w:r>
        <w:rPr>
          <w:rFonts w:ascii="Times New Roman" w:hAnsi="Times New Roman"/>
          <w:b w:val="false"/>
          <w:i w:val="false"/>
          <w:color w:val="000000"/>
          <w:sz w:val="22"/>
        </w:rPr>
        <w:t xml:space="preserve"> monitoring start date that the system will conduct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Systems that fail to conduct the required </w:t>
      </w:r>
      <w:r>
        <w:rPr>
          <w:rFonts w:ascii="Times New Roman" w:hAnsi="Times New Roman"/>
          <w:b w:val="false"/>
          <w:i/>
          <w:color w:val="000000"/>
          <w:sz w:val="22"/>
        </w:rPr>
        <w:t>E. coli</w:t>
      </w:r>
      <w:r>
        <w:rPr>
          <w:rFonts w:ascii="Times New Roman" w:hAnsi="Times New Roman"/>
          <w:b w:val="false"/>
          <w:i w:val="false"/>
          <w:color w:val="000000"/>
          <w:sz w:val="22"/>
        </w:rPr>
        <w:t xml:space="preserve"> monitoring or that cannot meet the </w:t>
      </w:r>
      <w:r>
        <w:rPr>
          <w:rFonts w:ascii="Times New Roman" w:hAnsi="Times New Roman"/>
          <w:b w:val="false"/>
          <w:i/>
          <w:color w:val="000000"/>
          <w:sz w:val="22"/>
        </w:rPr>
        <w:t>E. coli</w:t>
      </w:r>
      <w:r>
        <w:rPr>
          <w:rFonts w:ascii="Times New Roman" w:hAnsi="Times New Roman"/>
          <w:b w:val="false"/>
          <w:i w:val="false"/>
          <w:color w:val="000000"/>
          <w:sz w:val="22"/>
        </w:rPr>
        <w:t xml:space="preserve"> annual mean limit are required to conduct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 The system must sample its source water for </w:t>
      </w:r>
      <w:r>
        <w:rPr>
          <w:rFonts w:ascii="Times New Roman" w:hAnsi="Times New Roman"/>
          <w:b w:val="false"/>
          <w:i/>
          <w:color w:val="000000"/>
          <w:sz w:val="22"/>
        </w:rPr>
        <w:t xml:space="preserve">Cryptosporidium </w:t>
      </w:r>
      <w:r>
        <w:rPr>
          <w:rFonts w:ascii="Times New Roman" w:hAnsi="Times New Roman"/>
          <w:b w:val="false"/>
          <w:i w:val="false"/>
          <w:color w:val="000000"/>
          <w:sz w:val="22"/>
        </w:rPr>
        <w:t>either at least twice per month for 12 months or at least monthly for 24 months.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system that begins monitoring for </w:t>
      </w:r>
      <w:r>
        <w:rPr>
          <w:rFonts w:ascii="Times New Roman" w:hAnsi="Times New Roman"/>
          <w:b w:val="false"/>
          <w:i/>
          <w:color w:val="000000"/>
          <w:sz w:val="22"/>
        </w:rPr>
        <w:t>E. coli</w:t>
      </w:r>
      <w:r>
        <w:rPr>
          <w:rFonts w:ascii="Times New Roman" w:hAnsi="Times New Roman"/>
          <w:b w:val="false"/>
          <w:i w:val="false"/>
          <w:color w:val="000000"/>
          <w:sz w:val="22"/>
        </w:rPr>
        <w:t xml:space="preserve"> and determines during the sampling period that the system mathematically cannot meet the applicable </w:t>
      </w:r>
      <w:r>
        <w:rPr>
          <w:rFonts w:ascii="Times New Roman" w:hAnsi="Times New Roman"/>
          <w:b w:val="false"/>
          <w:i/>
          <w:color w:val="000000"/>
          <w:sz w:val="22"/>
        </w:rPr>
        <w:t>E. coli</w:t>
      </w:r>
      <w:r>
        <w:rPr>
          <w:rFonts w:ascii="Times New Roman" w:hAnsi="Times New Roman"/>
          <w:b w:val="false"/>
          <w:i w:val="false"/>
          <w:color w:val="000000"/>
          <w:sz w:val="22"/>
        </w:rPr>
        <w:t xml:space="preserve"> annual mean limit may discontinue the </w:t>
      </w:r>
      <w:r>
        <w:rPr>
          <w:rFonts w:ascii="Times New Roman" w:hAnsi="Times New Roman"/>
          <w:b w:val="false"/>
          <w:i/>
          <w:color w:val="000000"/>
          <w:sz w:val="22"/>
        </w:rPr>
        <w:t>E. coli</w:t>
      </w:r>
      <w:r>
        <w:rPr>
          <w:rFonts w:ascii="Times New Roman" w:hAnsi="Times New Roman"/>
          <w:b w:val="false"/>
          <w:i w:val="false"/>
          <w:color w:val="000000"/>
          <w:sz w:val="22"/>
        </w:rPr>
        <w:t xml:space="preserve"> sampling. The system is then required to start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 according to the schedule in Table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Plants operating only part of the year. Systems with surface water or influenced groundwater treatment plants that operate for only part of the year must conduct source water monitoring in accordance with this rule, but with the following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must sample their source water only during the months that the plant operates unless the department specifies another monitoring period based on plant operating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with plants that operate less than six months per year and that monitor for must collect at least six samples per year for two years. The samples must be evenly spaced throughout the period the plant operates.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New sources. A system that begins using a new surface water or influenced groundwater source after the dates in Table 1 must monitor according to a schedule approved by the department and meet the requirements of this subrule. The system must also meet the requirements of the bin classification and </w:t>
      </w:r>
      <w:r>
        <w:rPr>
          <w:rFonts w:ascii="Times New Roman" w:hAnsi="Times New Roman"/>
          <w:b w:val="false"/>
          <w:i/>
          <w:color w:val="000000"/>
          <w:sz w:val="22"/>
        </w:rPr>
        <w:t xml:space="preserve">Cryptosporidium </w:t>
      </w:r>
      <w:r>
        <w:rPr>
          <w:rFonts w:ascii="Times New Roman" w:hAnsi="Times New Roman"/>
          <w:b w:val="false"/>
          <w:i w:val="false"/>
          <w:color w:val="000000"/>
          <w:sz w:val="22"/>
        </w:rPr>
        <w:t xml:space="preserve">treatment for the new source on a schedule approved by the department. The system must conduct the second round of source water monitoring no later than six years following the initial bin classification or determination of the mean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level,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violation determination. Failure to collect any source water sample required under this subrule in accordance with the sampling plan, location, analytical method, approved laboratory, or reporting requirements of </w:t>
      </w:r>
      <w:hyperlink r:id="rId524">
        <w:r>
          <w:rPr>
            <w:rStyle w:val="Hyperlink"/>
            <w:rFonts w:ascii="Times New Roman" w:hAnsi="Times New Roman"/>
            <w:b w:val="false"/>
            <w:i w:val="false"/>
            <w:color w:val="000000"/>
            <w:sz w:val="22"/>
          </w:rPr>
          <w:t>43.11(3)</w:t>
        </w:r>
        <w:r>
          <w:rPr>
            <w:rFonts w:ascii="Times New Roman" w:hAnsi="Times New Roman"/>
            <w:b w:val="false"/>
            <w:i/>
            <w:color w:val="000000"/>
            <w:sz w:val="22"/>
          </w:rPr>
          <w:t>“c”</w:t>
        </w:r>
      </w:hyperlink>
      <w:r>
        <w:rPr>
          <w:rFonts w:ascii="Times New Roman" w:hAnsi="Times New Roman"/>
          <w:b w:val="false"/>
          <w:i w:val="false"/>
          <w:color w:val="000000"/>
          <w:sz w:val="22"/>
        </w:rPr>
        <w:t xml:space="preserve"> through </w:t>
      </w:r>
      <w:hyperlink r:id="rId525">
        <w:r>
          <w:rPr>
            <w:rStyle w:val="Hyperlink"/>
            <w:rFonts w:ascii="Times New Roman" w:hAnsi="Times New Roman"/>
            <w:b w:val="false"/>
            <w:i w:val="false"/>
            <w:color w:val="000000"/>
            <w:sz w:val="22"/>
          </w:rPr>
          <w:t>43.11(3)</w:t>
        </w:r>
        <w:r>
          <w:rPr>
            <w:rFonts w:ascii="Times New Roman" w:hAnsi="Times New Roman"/>
            <w:b w:val="false"/>
            <w:i/>
            <w:color w:val="000000"/>
            <w:sz w:val="22"/>
          </w:rPr>
          <w:t>“e”</w:t>
        </w:r>
      </w:hyperlink>
      <w:r>
        <w:rPr>
          <w:rFonts w:ascii="Times New Roman" w:hAnsi="Times New Roman"/>
          <w:b w:val="false"/>
          <w:i w:val="false"/>
          <w:color w:val="000000"/>
          <w:sz w:val="22"/>
        </w:rPr>
        <w:t xml:space="preserve"> is a monitoring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Grandfathered monitoring data. Systems were allowed to use source water monitoring </w:t>
      </w:r>
      <w:r>
        <w:rPr>
          <w:rFonts w:ascii="Times New Roman" w:hAnsi="Times New Roman"/>
          <w:b w:val="false"/>
          <w:i/>
          <w:color w:val="000000"/>
          <w:sz w:val="22"/>
        </w:rPr>
        <w:t xml:space="preserve">Cryptosporidium </w:t>
      </w:r>
      <w:r>
        <w:rPr>
          <w:rFonts w:ascii="Times New Roman" w:hAnsi="Times New Roman"/>
          <w:b w:val="false"/>
          <w:i w:val="false"/>
          <w:color w:val="000000"/>
          <w:sz w:val="22"/>
        </w:rPr>
        <w:t>data collected prior to the applicable start date in Table 1 to meet the requirements of the first round of monitoring, a process referred to as grandfathering data. This grandfathered data substituted for an equivalent number of months at the end of the monitoring period and had to meet the requirements of 40 CFR 141.707 as adopted on January 5, 2006, which the department hereby adopts by reference. Department approval of the grandfathered data application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Sampling plan. </w:t>
      </w:r>
      <w:r>
        <w:rPr>
          <w:rFonts w:ascii="Times New Roman" w:hAnsi="Times New Roman"/>
          <w:b w:val="false"/>
          <w:i w:val="false"/>
          <w:color w:val="000000"/>
          <w:sz w:val="22"/>
        </w:rPr>
        <w:t>Systems must submit a sampling plan that specifies the sampling locations in relation to the sources and treatment processes and the calendar dates when the system will collect each required sample. The specific treatment process locations that must be included in the plan are pretreatment, points of chemical treatment, and filter backwash recycle.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sampling plan must be submitted no later than three months prior to the applicable monitoring date in Table 1. If the department does not respond to a system regarding the submitted sampling plan prior to the start of the monitoring period, the system must sample according to the submitted sampling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must be submitted in a form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system must monitor within two days of the date specified in the plan, unless one of the following conditions occurs.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an extreme condition or situation exists that may pose danger to the sample collector, or that cannot be avoided, and causes the system to be unable to sample in the scheduled five-day period, the system must sample as close to the scheduled date as is feasible unless the department approves an alternative sampling date. The system must submit an explanation for the delayed sampling date to the department within one week of the missed sampling period. A replacement sample must be collected.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a system is unable to report a valid analytical result for a scheduled sampling date due to equipment failure, loss of or damage to the sample, failure to comply with the analytical method or quality control requirements, or failure of the laboratory to analyze the sample, the system must notify the department of the cause of the delay and collect a replacement sample.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replacement sample must be collected within 21 days of the scheduled sampling period or on the resampling date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Missed sampling dates. Systems that fail to meet the dates in their sampling plan for any source water sample must revise their sampling plan to add dates for collecting all missed samples. The revised schedule must be submitted to the department for approval prior to the collection of the missed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Sampling locations. </w:t>
      </w:r>
      <w:r>
        <w:rPr>
          <w:rFonts w:ascii="Times New Roman" w:hAnsi="Times New Roman"/>
          <w:b w:val="false"/>
          <w:i w:val="false"/>
          <w:color w:val="000000"/>
          <w:sz w:val="22"/>
        </w:rPr>
        <w:t>Systems must collect samples for each treatment plant that treats a surface water or influenced groundwater source. If multiple plants draw water from the same influent (same pipe or intake), the department may approve one set of monitoring results to be used to satisfy the requirements for those 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Chemical treatment location. Systems must collect source water samples prior to chemical treatment. If the system cannot feasibly collect a sample prior to chemical treatment, the department may grant approval for the system to collect the sample after chemical treatment. This approval would only be granted if the department determines in writing that collecting the samples prior to chemical treatment is not feasible for the system and that the chemical treatment is unlikely to have a significant adverse effect on the analysis of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Filter backwash recycle return location. Systems that recycle filter backwash water must collect the source water samples prior to the point of filter backwash water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Bank filtration credit sampling location.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Systems that receive </w:t>
      </w:r>
      <w:r>
        <w:rPr>
          <w:rFonts w:ascii="Times New Roman" w:hAnsi="Times New Roman"/>
          <w:b w:val="false"/>
          <w:i/>
          <w:color w:val="000000"/>
          <w:sz w:val="22"/>
        </w:rPr>
        <w:t xml:space="preserve">Cryptosporidium </w:t>
      </w:r>
      <w:r>
        <w:rPr>
          <w:rFonts w:ascii="Times New Roman" w:hAnsi="Times New Roman"/>
          <w:b w:val="false"/>
          <w:i w:val="false"/>
          <w:color w:val="000000"/>
          <w:sz w:val="22"/>
        </w:rPr>
        <w:t xml:space="preserve">treatment credit for bank filtration under </w:t>
      </w:r>
      <w:hyperlink r:id="rId526">
        <w:r>
          <w:rPr>
            <w:rStyle w:val="Hyperlink"/>
            <w:rFonts w:ascii="Times New Roman" w:hAnsi="Times New Roman"/>
            <w:b w:val="false"/>
            <w:i w:val="false"/>
            <w:color w:val="000000"/>
            <w:sz w:val="22"/>
          </w:rPr>
          <w:t>43.9(3)</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hyperlink r:id="rId527">
        <w:r>
          <w:rPr>
            <w:rStyle w:val="Hyperlink"/>
            <w:rFonts w:ascii="Times New Roman" w:hAnsi="Times New Roman"/>
            <w:b w:val="false"/>
            <w:i w:val="false"/>
            <w:color w:val="000000"/>
            <w:sz w:val="22"/>
          </w:rPr>
          <w:t>43.10(4)</w:t>
        </w:r>
        <w:r>
          <w:rPr>
            <w:rFonts w:ascii="Times New Roman" w:hAnsi="Times New Roman"/>
            <w:b w:val="false"/>
            <w:i/>
            <w:color w:val="000000"/>
            <w:sz w:val="22"/>
          </w:rPr>
          <w:t>“c”</w:t>
        </w:r>
      </w:hyperlink>
      <w:r>
        <w:rPr>
          <w:rFonts w:ascii="Times New Roman" w:hAnsi="Times New Roman"/>
          <w:b w:val="false"/>
          <w:i w:val="false"/>
          <w:color w:val="000000"/>
          <w:sz w:val="22"/>
        </w:rPr>
        <w:t xml:space="preserve"> must collect source water samples in the surface water source prior to bank filtration.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Systems that use bank filtration as pretreatment to a filtration plant must collect source water samples from the well, which is after bank filtration has occurred. Use of bank filtration during monitoring must be consistent with routine operational practice. Systems collecting samples after a bank filtration process may not receive treatment credit for the bank filtration under </w:t>
      </w:r>
      <w:hyperlink r:id="rId528">
        <w:r>
          <w:rPr>
            <w:rStyle w:val="Hyperlink"/>
            <w:rFonts w:ascii="Times New Roman" w:hAnsi="Times New Roman"/>
            <w:b w:val="false"/>
            <w:i w:val="false"/>
            <w:color w:val="000000"/>
            <w:sz w:val="22"/>
          </w:rPr>
          <w:t>43.11(10)</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Multiple sources. Systems with plants that use multiple water sources, including multiple surface water sources and blended surface water and groundwater sources, must collect samples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 of multiple sources during monitoring must be consistent with routine operational practice.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a sampling tap is available where the sources are combined prior to treatment, the system must collect samples from that tap.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a sampling tap where the sources are combined prior to treatment is not available, the system must collect samples at each source near the intake on the same day and must use either of the following options for sample analysis.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Physically composite the source samples into a single sample for analysis. Systems may composite the sample from each source into one sample prior to analysis. The volume of the sample from each source must be weighted according to the proportion of the source in the total plant flow at the time the sample is collected.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Analyze the samples separately and mathematically composite the results. Systems may analyze samples from each source separately and calculate a weighted average of the analytical results for each sampling date. The weighted average must be calculated by multiplying the analytical result for each source by the fraction that source contributed to the total plant flow at the time the sample was collected and then summing the weighted analytical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laboratory certification, and data reporting requirements. </w:t>
      </w:r>
      <w:r>
        <w:rPr>
          <w:rFonts w:ascii="Times New Roman" w:hAnsi="Times New Roman"/>
          <w:b w:val="false"/>
          <w:i w:val="false"/>
          <w:color w:val="000000"/>
          <w:sz w:val="22"/>
        </w:rPr>
        <w:t>Systems must have samples analyzed pursuant to the specifications listed in this paragraph. The system must report, in a format acceptable to the department, the analytical results from the source water monitoring no later than ten days after the end of the first month following the month when the sample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Systems must have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samples analyzed by a laboratory that is approved under EPA’s Laboratory Quality Assurance Evaluation Program for Analysis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in Water.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These are the approved analytical methods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“Method 1623: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and </w:t>
      </w:r>
      <w:r>
        <w:rPr>
          <w:rFonts w:ascii="Times New Roman" w:hAnsi="Times New Roman"/>
          <w:b w:val="false"/>
          <w:i/>
          <w:color w:val="000000"/>
          <w:sz w:val="22"/>
        </w:rPr>
        <w:t>Giardia</w:t>
      </w:r>
      <w:r>
        <w:rPr>
          <w:rFonts w:ascii="Times New Roman" w:hAnsi="Times New Roman"/>
          <w:b w:val="false"/>
          <w:i w:val="false"/>
          <w:color w:val="000000"/>
          <w:sz w:val="22"/>
        </w:rPr>
        <w:t xml:space="preserve"> in Water by Filtration/IMS/FA,” 2005, US EPA, EPA-815-R-05-002. Available at </w:t>
      </w:r>
      <w:hyperlink r:id="rId529">
        <w:r>
          <w:rPr>
            <w:rStyle w:val="Hyperlink"/>
            <w:rFonts w:ascii="Times New Roman" w:hAnsi="Times New Roman"/>
            <w:b w:val="false"/>
            <w:i w:val="false"/>
            <w:color w:val="000000"/>
            <w:sz w:val="22"/>
            <w:u w:val="single"/>
          </w:rPr>
          <w:t>www.nemi.gov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“Method 1622: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in Water by Filtration/IMS/FA,” 2005, US EPA, EPA-815-R-05-001. Available at </w:t>
      </w:r>
      <w:hyperlink r:id="rId530">
        <w:r>
          <w:rPr>
            <w:rStyle w:val="Hyperlink"/>
            <w:rFonts w:ascii="Times New Roman" w:hAnsi="Times New Roman"/>
            <w:b w:val="false"/>
            <w:i w:val="false"/>
            <w:color w:val="000000"/>
            <w:sz w:val="22"/>
            <w:u w:val="single"/>
          </w:rPr>
          <w:t>www.nemi.gov</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“Method 1623.1: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and </w:t>
      </w:r>
      <w:r>
        <w:rPr>
          <w:rFonts w:ascii="Times New Roman" w:hAnsi="Times New Roman"/>
          <w:b w:val="false"/>
          <w:i/>
          <w:color w:val="000000"/>
          <w:sz w:val="22"/>
        </w:rPr>
        <w:t>Giardia</w:t>
      </w:r>
      <w:r>
        <w:rPr>
          <w:rFonts w:ascii="Times New Roman" w:hAnsi="Times New Roman"/>
          <w:b w:val="false"/>
          <w:i w:val="false"/>
          <w:color w:val="000000"/>
          <w:sz w:val="22"/>
        </w:rPr>
        <w:t xml:space="preserve"> in Water by Filtration/Immunomagnetic Separation/Immunofluorescence Assay Microscopy,” 2012, EPA-816-R-12-001. Available at </w:t>
      </w:r>
      <w:hyperlink r:id="rId531">
        <w:r>
          <w:rPr>
            <w:rStyle w:val="Hyperlink"/>
            <w:rFonts w:ascii="Times New Roman" w:hAnsi="Times New Roman"/>
            <w:b w:val="false"/>
            <w:i w:val="false"/>
            <w:color w:val="000000"/>
            <w:sz w:val="22"/>
            <w:u w:val="single"/>
          </w:rPr>
          <w:t>www.nepis.epa.gov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Using one of the approved methods, the laboratory must analyze at least a 10 L sample or a packed pellet volume of at least 2 mL. Systems unable to process a 10 L sample must analyze as much sample volume as can be filtered by two filters specified in the method, up to a packed pellet volume of at least 2 mL.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matrix spike (MS) sample must be spiked and filtered by the laboratory according to the approved method. If the volume of the MS sample is greater than 10 L, the system may filter all but 10 L of the MS sample in the field and ship the filtered sample and the remaining 10 L of source water to the laboratory. In this case, the laboratory must spike the remaining 10 L of water and filter it through the filter used to collect the balance of the sample in the field.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Flow cytometer-counted spiking suspensions must be used for the matrix spike samples and the ongoing precision and recovery samples.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following data elements must be reported for each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analysis: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PWSID.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Facility 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collection date.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type (i.e., field or matrix spike).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volume filtered (L), to the nearest 0.25 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100 percent of the filtered volume was examined by the laboratory.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Number of oocysts counted.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matrix spike samples: sample volume spiked and estimated number of oocysts spiked.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samples in which less than 10 L is filtered or less than 100 percent of the sample volume is examined: the number of filters used and the packed pellet volume.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samples in which less than 100 percent of sample volume is examined: the volume of resuspended concentrate and the volume of this resuspension processed through immunomagnetic separation.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 coli.</w:t>
      </w:r>
      <w:r>
        <w:rPr>
          <w:rFonts w:ascii="Times New Roman" w:hAnsi="Times New Roman"/>
          <w:b w:val="false"/>
          <w:i w:val="false"/>
          <w:color w:val="000000"/>
          <w:sz w:val="22"/>
        </w:rPr>
        <w:t xml:space="preserve"> Systems must have the </w:t>
      </w:r>
      <w:r>
        <w:rPr>
          <w:rFonts w:ascii="Times New Roman" w:hAnsi="Times New Roman"/>
          <w:b w:val="false"/>
          <w:i/>
          <w:color w:val="000000"/>
          <w:sz w:val="22"/>
        </w:rPr>
        <w:t>E. coli</w:t>
      </w:r>
      <w:r>
        <w:rPr>
          <w:rFonts w:ascii="Times New Roman" w:hAnsi="Times New Roman"/>
          <w:b w:val="false"/>
          <w:i w:val="false"/>
          <w:color w:val="000000"/>
          <w:sz w:val="22"/>
        </w:rPr>
        <w:t xml:space="preserve"> samples analyzed by a laboratory certified by EPA, the National Environmental Laboratory Accreditation Conference, or the department for total coliform or fecal coliform analysis in drinking water samples using the same approved </w:t>
      </w:r>
      <w:r>
        <w:rPr>
          <w:rFonts w:ascii="Times New Roman" w:hAnsi="Times New Roman"/>
          <w:b w:val="false"/>
          <w:i/>
          <w:color w:val="000000"/>
          <w:sz w:val="22"/>
        </w:rPr>
        <w:t>E. coli</w:t>
      </w:r>
      <w:r>
        <w:rPr>
          <w:rFonts w:ascii="Times New Roman" w:hAnsi="Times New Roman"/>
          <w:b w:val="false"/>
          <w:i w:val="false"/>
          <w:color w:val="000000"/>
          <w:sz w:val="22"/>
        </w:rPr>
        <w:t xml:space="preserve"> method for the analysis of source water.</w:t>
      </w:r>
    </w:p>
    <w:p>
      <w:pPr>
        <w:spacing w:before="0" w:after="0"/>
        <w:ind w:left="120"/>
        <w:jc w:val="both"/>
      </w:pPr>
      <w:r>
        <w:rPr>
          <w:rFonts w:ascii="Times New Roman" w:hAnsi="Times New Roman"/>
          <w:b w:val="false"/>
          <w:i w:val="false"/>
          <w:color w:val="000000"/>
          <w:sz w:val="22"/>
        </w:rPr>
        <w:t xml:space="preserve">1. The approved analytical methods for the enumeration of </w:t>
      </w:r>
      <w:r>
        <w:rPr>
          <w:rFonts w:ascii="Times New Roman" w:hAnsi="Times New Roman"/>
          <w:b w:val="false"/>
          <w:i/>
          <w:color w:val="000000"/>
          <w:sz w:val="22"/>
        </w:rPr>
        <w:t>E. coli</w:t>
      </w:r>
      <w:r>
        <w:rPr>
          <w:rFonts w:ascii="Times New Roman" w:hAnsi="Times New Roman"/>
          <w:b w:val="false"/>
          <w:i w:val="false"/>
          <w:color w:val="000000"/>
          <w:sz w:val="22"/>
        </w:rPr>
        <w:t xml:space="preserve"> in source water are shown in Table 2.</w:t>
      </w:r>
    </w:p>
    <w:p>
      <w:pPr>
        <w:spacing w:before="60" w:after="0"/>
        <w:ind w:left="120"/>
        <w:jc w:val="center"/>
      </w:pPr>
      <w:r>
        <w:rPr>
          <w:rFonts w:ascii="Times New Roman" w:hAnsi="Times New Roman"/>
          <w:b w:val="false"/>
          <w:i w:val="false"/>
          <w:color w:val="000000"/>
          <w:sz w:val="22"/>
        </w:rPr>
        <w:t xml:space="preserve">Table 2: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Methods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1920"/>
        <w:gridCol w:w="2880"/>
        <w:gridCol w:w="2880"/>
      </w:tblGrid>
      <w:tr>
        <w:trPr>
          <w:trHeight w:val="240" w:hRule="atLeast"/>
        </w:trPr>
        <w:tc>
          <w:tcPr>
            <w:tcW w:w="384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Method</w:t>
            </w:r>
          </w:p>
        </w:tc>
        <w:tc>
          <w:tcPr>
            <w:tcW w:w="192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EPA</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Standard Methods</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Other</w:t>
            </w:r>
          </w:p>
        </w:tc>
      </w:tr>
      <w:tr>
        <w:trPr>
          <w:trHeight w:val="70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Most probable number with multiple tube or multiple well</w:t>
            </w:r>
            <w:r>
              <w:rPr>
                <w:rFonts w:ascii="Times New Roman" w:hAnsi="Times New Roman"/>
                <w:b w:val="false"/>
                <w:i w:val="false"/>
                <w:color w:val="000000"/>
                <w:sz w:val="18"/>
                <w:vertAlign w:val="superscript"/>
              </w:rPr>
              <w:t>1, 2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9223 B</w:t>
            </w:r>
            <w:r>
              <w:rPr>
                <w:rFonts w:ascii="Times New Roman" w:hAnsi="Times New Roman"/>
                <w:b w:val="false"/>
                <w:i w:val="false"/>
                <w:color w:val="000000"/>
                <w:sz w:val="18"/>
                <w:vertAlign w:val="superscript"/>
              </w:rPr>
              <w:t>11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991.15</w:t>
            </w:r>
            <w:r>
              <w:rPr>
                <w:rFonts w:ascii="Times New Roman" w:hAnsi="Times New Roman"/>
                <w:b w:val="false"/>
                <w:i w:val="false"/>
                <w:color w:val="000000"/>
                <w:sz w:val="18"/>
                <w:vertAlign w:val="superscript"/>
              </w:rPr>
              <w:t>4</w:t>
            </w:r>
          </w:p>
          <w:p>
            <w:pPr>
              <w:spacing w:before="0" w:after="0"/>
              <w:ind w:left="160"/>
              <w:jc w:val="left"/>
            </w:pPr>
            <w:r>
              <w:rPr>
                <w:rFonts w:ascii="Times New Roman" w:hAnsi="Times New Roman"/>
                <w:b w:val="false"/>
                <w:i w:val="false"/>
                <w:color w:val="000000"/>
                <w:sz w:val="16"/>
              </w:rPr>
              <w:t>Colilert</w:t>
            </w:r>
            <w:r>
              <w:rPr>
                <w:rFonts w:ascii="Times New Roman" w:hAnsi="Times New Roman"/>
                <w:b w:val="false"/>
                <w:i w:val="false"/>
                <w:color w:val="000000"/>
                <w:sz w:val="18"/>
                <w:vertAlign w:val="superscript"/>
              </w:rPr>
              <w:t>3, 5</w:t>
            </w:r>
          </w:p>
          <w:p>
            <w:pPr>
              <w:spacing w:before="0" w:after="0"/>
              <w:ind w:left="160"/>
              <w:jc w:val="left"/>
            </w:pPr>
            <w:r>
              <w:rPr>
                <w:rFonts w:ascii="Times New Roman" w:hAnsi="Times New Roman"/>
                <w:b w:val="false"/>
                <w:i w:val="false"/>
                <w:color w:val="000000"/>
                <w:sz w:val="16"/>
              </w:rPr>
              <w:t>Colilert-18</w:t>
            </w:r>
            <w:r>
              <w:rPr>
                <w:rFonts w:ascii="Times New Roman" w:hAnsi="Times New Roman"/>
                <w:b w:val="false"/>
                <w:i w:val="false"/>
                <w:color w:val="000000"/>
                <w:sz w:val="18"/>
                <w:vertAlign w:val="superscript"/>
              </w:rPr>
              <w:t>3, 5, 6</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single step</w:t>
            </w:r>
            <w:r>
              <w:rPr>
                <w:rFonts w:ascii="Times New Roman" w:hAnsi="Times New Roman"/>
                <w:b w:val="false"/>
                <w:i w:val="false"/>
                <w:color w:val="000000"/>
                <w:sz w:val="18"/>
                <w:vertAlign w:val="superscript"/>
              </w:rPr>
              <w:t>1, 7, 8</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1603</w:t>
            </w:r>
            <w:r>
              <w:rPr>
                <w:rFonts w:ascii="Times New Roman" w:hAnsi="Times New Roman"/>
                <w:b w:val="false"/>
                <w:i w:val="false"/>
                <w:color w:val="000000"/>
                <w:sz w:val="18"/>
                <w:vertAlign w:val="superscript"/>
              </w:rPr>
              <w:t>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m-ColiBlue24</w:t>
            </w:r>
            <w:r>
              <w:rPr>
                <w:rFonts w:ascii="Times New Roman" w:hAnsi="Times New Roman"/>
                <w:b w:val="false"/>
                <w:i w:val="false"/>
                <w:color w:val="000000"/>
                <w:sz w:val="18"/>
                <w:vertAlign w:val="superscript"/>
              </w:rPr>
              <w:t>10</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two step</w:t>
            </w:r>
          </w:p>
        </w:tc>
        <w:tc>
          <w:tcPr>
            <w:tcW w:w="19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9222D/9222G</w:t>
            </w:r>
            <w:r>
              <w:rPr>
                <w:rFonts w:ascii="Times New Roman" w:hAnsi="Times New Roman"/>
                <w:b w:val="false"/>
                <w:i w:val="false"/>
                <w:color w:val="000000"/>
                <w:sz w:val="18"/>
                <w:vertAlign w:val="superscript"/>
              </w:rPr>
              <w:t>12</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Tests must be conducted to provide organism enumeration (i.e., density). Select the appropriate configuration of tubes/filtrations and dilutions/volumes to account for the quality, consistency, and anticipated organism density in the water sample.</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Samples shall be enumerated by the multiple-tube or multiple-well procedure. Using multiple-tube procedures, employ an appropriate tube and dilution configuration of the sample as needed and report the Most Probable Number (MPN). Samples tested with Colilert® may be enumerated with the multiple-well procedures, Quanti-Tray®, Quanti-Tray® 2000, and the MPN calculated from the table provided by the manufacturer.</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These tests are collectively known as defined enzyme substrate tests, where, for example, a substrate is used to detect the enzyme beta-glucouronidase produced by </w:t>
      </w:r>
      <w:r>
        <w:rPr>
          <w:rFonts w:ascii="Times New Roman" w:hAnsi="Times New Roman"/>
          <w:b w:val="false"/>
          <w:i/>
          <w:color w:val="000000"/>
          <w:sz w:val="16"/>
        </w:rPr>
        <w:t>E. coli</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Association of Official Analytical Chemists, International. “Official Methods of Analysis of AOAC International, 16th Ed., Volume 1, Chapter 17, 1995. AOAC, 481 N. Frederick Ave., Suite 500, Gaithersburg, MD 20877-2417.</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Descriptions of the Colilert®, Colilert-18®, Quanti-Tray®, and Quanti-Tray® 2000 may be obtained from IDEXX Laboratories, Inc., 1 IDEXX Drive, Westbrook, ME 04092.</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Colilert-18® is an optimized formulation of the Colilert® for the determination of total coliforms and </w:t>
      </w:r>
      <w:r>
        <w:rPr>
          <w:rFonts w:ascii="Times New Roman" w:hAnsi="Times New Roman"/>
          <w:b w:val="false"/>
          <w:i/>
          <w:color w:val="000000"/>
          <w:sz w:val="16"/>
        </w:rPr>
        <w:t xml:space="preserve">E. coli </w:t>
      </w:r>
      <w:r>
        <w:rPr>
          <w:rFonts w:ascii="Times New Roman" w:hAnsi="Times New Roman"/>
          <w:b w:val="false"/>
          <w:i w:val="false"/>
          <w:color w:val="000000"/>
          <w:sz w:val="16"/>
        </w:rPr>
        <w:t>that provides results within 18 hours of incubation at 35 degrees C rather than the 24 hours required for the Colilert® test.</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The filter must be a 0.45 micron membrane filter or a membrane filter with another pore size certified by the manufacturer to fully retain organisms to be cultivated and to be free of extractables which could interfere with organism growth.</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When the membrane filter method has been used previously to test waters with high turbidity or large numbers of noncoliform bacteria, a parallel test should be conducted with a multiple-tube technique to demonstrate applicability and comparability of results.</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“Method 1603: </w:t>
      </w:r>
      <w:r>
        <w:rPr>
          <w:rFonts w:ascii="Times New Roman" w:hAnsi="Times New Roman"/>
          <w:b w:val="false"/>
          <w:i/>
          <w:color w:val="000000"/>
          <w:sz w:val="16"/>
        </w:rPr>
        <w:t>Escherichia coli (E. coli)</w:t>
      </w:r>
      <w:r>
        <w:rPr>
          <w:rFonts w:ascii="Times New Roman" w:hAnsi="Times New Roman"/>
          <w:b w:val="false"/>
          <w:i w:val="false"/>
          <w:color w:val="000000"/>
          <w:sz w:val="16"/>
        </w:rPr>
        <w:t xml:space="preserve"> in Water by Membrane Filtration Using Modified Membrane-Thermotolerant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Agar (modified mTEC), USEPA, July 2006.” US EPA, Office of Water, Washington, DC, EPA 821-R-06-011. Available at </w:t>
      </w:r>
      <w:hyperlink r:id="rId532">
        <w:r>
          <w:rPr>
            <w:rStyle w:val="Hyperlink"/>
            <w:rFonts w:ascii="Times New Roman" w:hAnsi="Times New Roman"/>
            <w:b w:val="false"/>
            <w:i w:val="false"/>
            <w:color w:val="000000"/>
            <w:sz w:val="16"/>
            <w:u w:val="single"/>
          </w:rPr>
          <w:t>www.nepis.epa.gov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A description of the m-ColiBlue24® test, Total Coliforms and </w:t>
      </w:r>
      <w:r>
        <w:rPr>
          <w:rFonts w:ascii="Times New Roman" w:hAnsi="Times New Roman"/>
          <w:b w:val="false"/>
          <w:i/>
          <w:color w:val="000000"/>
          <w:sz w:val="16"/>
        </w:rPr>
        <w:t>E. coli</w:t>
      </w:r>
      <w:r>
        <w:rPr>
          <w:rFonts w:ascii="Times New Roman" w:hAnsi="Times New Roman"/>
          <w:b w:val="false"/>
          <w:i w:val="false"/>
          <w:color w:val="000000"/>
          <w:sz w:val="16"/>
        </w:rPr>
        <w:t>, is available from Hach Company, 100 Dayton Ave., Ames, IA 50010.</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Standard Methods for the Analysis of Water and Wastewater, 18th (1992), 19th (1995), and 20th (1998) editions, American Public Health Association. Available from APHA, 800 I Street, NW, Washington, DC 20001-3710.</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Standard Methods for the Examination of Water and Wastewater, 20th edition (1998). Available from APHA, 800 I Street, NW, Washington, DC 20001-3710.</w:t>
      </w:r>
    </w:p>
    <w:p>
      <w:pPr>
        <w:spacing w:before="0" w:after="0"/>
        <w:ind w:left="120"/>
        <w:jc w:val="both"/>
      </w:pPr>
      <w:r>
        <w:rPr>
          <w:rFonts w:ascii="Times New Roman" w:hAnsi="Times New Roman"/>
          <w:b w:val="false"/>
          <w:i w:val="false"/>
          <w:color w:val="000000"/>
          <w:sz w:val="22"/>
        </w:rPr>
        <w:t>2. The holding time (the time period from sample collection to initiation of analysis) shall not exceed 30 hours. The department may approve on a case-by-case basis an extension of the holding time to 48 hours, if the 30-hour holding time is not feasible. If the extension is allowed, the laboratory must use the Colilert® reagent version of the Standard Methods 9223B to conduct the analysis.</w:t>
      </w:r>
    </w:p>
    <w:p>
      <w:pPr>
        <w:spacing w:before="0" w:after="0"/>
        <w:ind w:left="120"/>
        <w:jc w:val="both"/>
      </w:pPr>
      <w:r>
        <w:rPr>
          <w:rFonts w:ascii="Times New Roman" w:hAnsi="Times New Roman"/>
          <w:b w:val="false"/>
          <w:i w:val="false"/>
          <w:color w:val="000000"/>
          <w:sz w:val="22"/>
        </w:rPr>
        <w:t>3. The samples must be maintained between 0 and 10 degrees C during storage and transit to the laboratory.</w:t>
      </w:r>
    </w:p>
    <w:p>
      <w:pPr>
        <w:spacing w:before="0" w:after="0"/>
        <w:ind w:left="120"/>
        <w:jc w:val="both"/>
      </w:pPr>
      <w:r>
        <w:rPr>
          <w:rFonts w:ascii="Times New Roman" w:hAnsi="Times New Roman"/>
          <w:b w:val="false"/>
          <w:i w:val="false"/>
          <w:color w:val="000000"/>
          <w:sz w:val="22"/>
        </w:rPr>
        <w:t xml:space="preserve">4. The following data elements must be reported for each </w:t>
      </w:r>
      <w:r>
        <w:rPr>
          <w:rFonts w:ascii="Times New Roman" w:hAnsi="Times New Roman"/>
          <w:b w:val="false"/>
          <w:i/>
          <w:color w:val="000000"/>
          <w:sz w:val="22"/>
        </w:rPr>
        <w:t>E. coli</w:t>
      </w:r>
      <w:r>
        <w:rPr>
          <w:rFonts w:ascii="Times New Roman" w:hAnsi="Times New Roman"/>
          <w:b w:val="false"/>
          <w:i w:val="false"/>
          <w:color w:val="000000"/>
          <w:sz w:val="22"/>
        </w:rPr>
        <w:t xml:space="preserve"> analysis: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PWSID.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Facility 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collection date.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Analytical method number.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Method type.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Source type (flowing stream or river; lake or reservoir; or influenced groundwater).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Number of </w:t>
      </w:r>
      <w:r>
        <w:rPr>
          <w:rFonts w:ascii="Times New Roman" w:hAnsi="Times New Roman"/>
          <w:b w:val="false"/>
          <w:i/>
          <w:color w:val="000000"/>
          <w:sz w:val="22"/>
        </w:rPr>
        <w:t>E. coli</w:t>
      </w:r>
      <w:r>
        <w:rPr>
          <w:rFonts w:ascii="Times New Roman" w:hAnsi="Times New Roman"/>
          <w:b w:val="false"/>
          <w:i w:val="false"/>
          <w:color w:val="000000"/>
          <w:sz w:val="22"/>
        </w:rPr>
        <w:t xml:space="preserve"> per 100 mL.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Turbidity in NTU.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Turbidity. The approved analytical methods for turbidity are listed in 43.5(4)</w:t>
      </w:r>
      <w:r>
        <w:rPr>
          <w:rFonts w:ascii="Times New Roman" w:hAnsi="Times New Roman"/>
          <w:b w:val="false"/>
          <w:i/>
          <w:color w:val="000000"/>
          <w:sz w:val="22"/>
        </w:rPr>
        <w:t>“a”</w:t>
      </w:r>
      <w:r>
        <w:rPr>
          <w:rFonts w:ascii="Times New Roman" w:hAnsi="Times New Roman"/>
          <w:b w:val="false"/>
          <w:i w:val="false"/>
          <w:color w:val="000000"/>
          <w:sz w:val="22"/>
        </w:rPr>
        <w:t xml:space="preserve">(1). Measurements of turbidity must be made by a party approved by the department, and reported on the laboratory data sheet with the corresponding </w:t>
      </w:r>
      <w:r>
        <w:rPr>
          <w:rFonts w:ascii="Times New Roman" w:hAnsi="Times New Roman"/>
          <w:b w:val="false"/>
          <w:i/>
          <w:color w:val="000000"/>
          <w:sz w:val="22"/>
        </w:rPr>
        <w:t>E. coli</w:t>
      </w:r>
      <w:r>
        <w:rPr>
          <w:rFonts w:ascii="Times New Roman" w:hAnsi="Times New Roman"/>
          <w:b w:val="false"/>
          <w:i w:val="false"/>
          <w:color w:val="000000"/>
          <w:sz w:val="22"/>
        </w:rPr>
        <w:t xml:space="preserve"> sample.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43.11(4)</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and benchmarking.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 xml:space="preserve">Following completion of the first round of source water monitoring, a system that plans to make a significant change to its disinfection practice must develop disinfection profiles and calculate disinfection benchmarks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to the department. The system must notify the department prior to changing its disinfection practice and must include in the notice the completed disinfection profile and disinfection benchmark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viruses, a description of the proposed change in disinfection practice, and an analysis of how the proposed change will affect the current level of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Definition of “significant change.” A significant change to the disinfection practice 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change to the point of disinfection;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change to the disinfectant(s) used in the treatment plant;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change to the disinfection process;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other modification identified by the department as a significant change to disinfection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Developing the disinfection profile. </w:t>
      </w:r>
      <w:r>
        <w:rPr>
          <w:rFonts w:ascii="Times New Roman" w:hAnsi="Times New Roman"/>
          <w:b w:val="false"/>
          <w:i w:val="false"/>
          <w:color w:val="000000"/>
          <w:sz w:val="22"/>
        </w:rPr>
        <w:t xml:space="preserve">In order to develop a disinfection profile, a system must monitor at least weekly for a period of 12 consecutive months to determine the total log inactivation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viruses. If a system monitors more frequently, the monitoring frequency must be evenly spaced. A system that operates for fewer than 12 months per year must monitor weekly during the period of operation. A system must determine log inactivation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through the entire plant, based on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values in Appendix A, Tables 1 through 6, as applicable. Systems must determine log inactivation for viruses through the entire treatment plant based on a protocol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requirements. Systems with a single point of disinfectant application prior to the entrance to the distribution system must conduct the monitoring listed in this subparagraph. Systems with multiple points of disinfectant application must conduct the same monitoring for each disinfection segment. Systems must monitor the parameters necessary to determine the total inactivation ratio. The analytical methods for the parameters are listed in 43.5(4)</w:t>
      </w:r>
      <w:r>
        <w:rPr>
          <w:rFonts w:ascii="Times New Roman" w:hAnsi="Times New Roman"/>
          <w:b w:val="false"/>
          <w:i/>
          <w:color w:val="000000"/>
          <w:sz w:val="22"/>
        </w:rPr>
        <w:t>“a.”</w:t>
      </w:r>
      <w:r>
        <w:rPr>
          <w:rFonts w:ascii="Times New Roman" w:hAnsi="Times New Roman"/>
          <w:b w:val="false"/>
          <w:i w:val="false"/>
          <w:color w:val="000000"/>
          <w:sz w:val="22"/>
        </w:rPr>
        <w:t xml:space="preserve"> All measurements must be taken during peak hourly flow.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systems using a disinfectant other than UV, the temperature of the disinfected water must be measured in degrees Celsius at each residual disinfectant concentration sampling point or at an alternative location approved by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systems using chlorine, the pH of the disinfected water must be measured at each chlorine residual disinfectant concentration sampling point or at an alternative location approved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disinfectant contact time must be determined in minutes.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residual disinfectant concentrations of the water must be determined in mg/L before or at the first customer and prior to each additional point of disinfectant application.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system may use existing data to meet the monitoring requirements if the data are substantially equivalent to the required data, the system has not made any significant change to its treatment practice, and the system has the same source water as it had when the data were collected. Systems may develop disinfection profiles using up to three years of existing data.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system may use disinfection profiles developed under </w:t>
      </w:r>
      <w:hyperlink r:id="rId533">
        <w:r>
          <w:rPr>
            <w:rStyle w:val="Hyperlink"/>
            <w:rFonts w:ascii="Times New Roman" w:hAnsi="Times New Roman"/>
            <w:b w:val="false"/>
            <w:i w:val="false"/>
            <w:color w:val="000000"/>
            <w:sz w:val="22"/>
          </w:rPr>
          <w:t>43.9(2)</w:t>
        </w:r>
      </w:hyperlink>
      <w:r>
        <w:rPr>
          <w:rFonts w:ascii="Times New Roman" w:hAnsi="Times New Roman"/>
          <w:b w:val="false"/>
          <w:i w:val="false"/>
          <w:color w:val="000000"/>
          <w:sz w:val="22"/>
        </w:rPr>
        <w:t xml:space="preserve"> or </w:t>
      </w:r>
      <w:hyperlink r:id="rId534">
        <w:r>
          <w:rPr>
            <w:rStyle w:val="Hyperlink"/>
            <w:rFonts w:ascii="Times New Roman" w:hAnsi="Times New Roman"/>
            <w:b w:val="false"/>
            <w:i w:val="false"/>
            <w:color w:val="000000"/>
            <w:sz w:val="22"/>
          </w:rPr>
          <w:t>43.10(2)</w:t>
        </w:r>
      </w:hyperlink>
      <w:r>
        <w:rPr>
          <w:rFonts w:ascii="Times New Roman" w:hAnsi="Times New Roman"/>
          <w:b w:val="false"/>
          <w:i w:val="false"/>
          <w:color w:val="000000"/>
          <w:sz w:val="22"/>
        </w:rPr>
        <w:t xml:space="preserve"> if the system has not made a significant change to its treatment practice and has the same source water as it had when the profile was developed. The virus profile must be developed using the same data on which the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profile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the total inactivation ratio for </w:t>
      </w:r>
      <w:r>
        <w:rPr>
          <w:rFonts w:ascii="Times New Roman" w:hAnsi="Times New Roman"/>
          <w:b w:val="false"/>
          <w:i/>
          <w:color w:val="000000"/>
          <w:sz w:val="22"/>
        </w:rPr>
        <w:t>Giardia lamblia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Systems using only one point of disinfectant application may determine the total inactivation ratio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for the disinfection segment using either of the following methods.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one inactivation ratio before or at the first customer during peak hourly flow.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successive sequential inactivation ratios between the point of disinfectant application and a point before or at the first customer during peak hourly flow. Calculate the total inactivation ratio by determining the inactivation ratio for each sequence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and adding the values together.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Systems using more than one point of disinfectant application before the first customer must determine the CT value of each disinfection segment immediately prior to the next point of disinfectant application, or for the final segment, before or at the first customer, during peak hourly flow. Calculate the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 of each segment and add the values together to determine the total inactivation ratio.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Systems must then determine the total logs of inactivation by multiplying the total inactivation ratio by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 of the total inactivation ratio for viruses. The system must calculate the log of inactivation for viruses using a protocol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disinfection benchmark.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year of profiling data collected and calculated under this subrule, systems must determine the lowest mean monthly level of both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 inactivation. Systems must determine the mean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 inactivation for each calendar month for each year of profiling data by dividing the sum of daily or weekly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 log inactivation by the number of values calculated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system with one year of profiling data, the disinfection benchmark is the lowest monthly mean value. For a system with more than one year of profiling data, the disinfection benchmark is the mean of the lowest monthly mean values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 log inactivation in each year of profiling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43.11(5)</w:t>
      </w:r>
      <w:r>
        <w:rPr>
          <w:rFonts w:ascii="Times New Roman" w:hAnsi="Times New Roman"/>
          <w:b w:val="false"/>
          <w:i w:val="false"/>
          <w:color w:val="000000"/>
          <w:sz w:val="22"/>
        </w:rPr>
        <w:t> </w:t>
      </w:r>
      <w:r>
        <w:rPr>
          <w:rFonts w:ascii="Times New Roman" w:hAnsi="Times New Roman"/>
          <w:b w:val="false"/>
          <w:i/>
          <w:color w:val="000000"/>
          <w:sz w:val="22"/>
        </w:rPr>
        <w:t xml:space="preserve">Bin classification. </w:t>
      </w:r>
      <w:r>
        <w:rPr>
          <w:rFonts w:ascii="Times New Roman" w:hAnsi="Times New Roman"/>
          <w:b w:val="false"/>
          <w:i w:val="false"/>
          <w:color w:val="000000"/>
          <w:sz w:val="22"/>
        </w:rPr>
        <w:t xml:space="preserve">Upon completion of the first round of source water monitoring, systems must calculate an initial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bin concentration for each plant for which monitoring was required. Calculation of the bin concentration must use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results reported under </w:t>
      </w:r>
      <w:hyperlink r:id="rId535">
        <w:r>
          <w:rPr>
            <w:rStyle w:val="Hyperlink"/>
            <w:rFonts w:ascii="Times New Roman" w:hAnsi="Times New Roman"/>
            <w:b w:val="false"/>
            <w:i w:val="false"/>
            <w:color w:val="000000"/>
            <w:sz w:val="22"/>
          </w:rPr>
          <w:t>43.11(3)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of mean Cryptosporidium or bin concentration value.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that collect at least 48 samples. For systems that collect a total of at least 48 samples, the bin concentration is equal to the arithmetic mean of all sample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that collect 24 to 47 samples. For systems that collect at least 24 samples but not more than 47 samples, the bin concentration is equal to the highest arithmetic mean of all sample concentrations in any 12 consecutive months during which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samples were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serving fewer than 10,000 people and monitoring for only one year. For systems that serve fewer than 10,000 people and monitor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for only one year (i.e., 24 samples in 12 months), the bin concentration is equal to the arithmetic mean of all sample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with plants operating on a part-time basis. For systems with plants operating only part of the year that monitor fewer than 12 months per year, the bin concentration is equal to the highest arithmetic mean of all sample concentrations during any year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monthly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sampling frequency varies, systems must first calculate a monthly average for each month of monitoring. Systems must then use these monthly average concentrations, rather than individual sample concentrations, in the applicable calculation for bin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bin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First monitoring round. A system must determine the bin classification from Table 3, using its calculated bin concentration from </w:t>
      </w:r>
      <w:hyperlink r:id="rId536">
        <w:r>
          <w:rPr>
            <w:rStyle w:val="Hyperlink"/>
            <w:rFonts w:ascii="Times New Roman" w:hAnsi="Times New Roman"/>
            <w:b w:val="false"/>
            <w:i w:val="false"/>
            <w:color w:val="000000"/>
            <w:sz w:val="22"/>
          </w:rPr>
          <w:t>43.11(5)</w:t>
        </w:r>
        <w:r>
          <w:rPr>
            <w:rFonts w:ascii="Times New Roman" w:hAnsi="Times New Roman"/>
            <w:b w:val="false"/>
            <w:i/>
            <w:color w:val="000000"/>
            <w:sz w:val="22"/>
          </w:rPr>
          <w:t>“a.”</w:t>
        </w:r>
      </w:hyperlink>
    </w:p>
    <w:p>
      <w:pPr>
        <w:spacing w:before="60" w:after="0"/>
        <w:ind w:left="120"/>
        <w:jc w:val="center"/>
      </w:pPr>
      <w:r>
        <w:rPr>
          <w:rFonts w:ascii="Times New Roman" w:hAnsi="Times New Roman"/>
          <w:b w:val="false"/>
          <w:i w:val="false"/>
          <w:color w:val="000000"/>
          <w:sz w:val="22"/>
        </w:rPr>
        <w:t>Table 3: Bin Classification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320"/>
        <w:gridCol w:w="5280"/>
        <w:gridCol w:w="1920"/>
      </w:tblGrid>
      <w:tr>
        <w:trPr>
          <w:trHeight w:val="240" w:hRule="atLeast"/>
        </w:trPr>
        <w:tc>
          <w:tcPr>
            <w:tcW w:w="432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System Type</w:t>
            </w:r>
          </w:p>
        </w:tc>
        <w:tc>
          <w:tcPr>
            <w:tcW w:w="528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color w:val="000000"/>
                <w:sz w:val="16"/>
              </w:rPr>
              <w:t>Cryptosporidium</w:t>
            </w:r>
            <w:r>
              <w:rPr>
                <w:rFonts w:ascii="Times New Roman" w:hAnsi="Times New Roman"/>
                <w:b w:val="false"/>
                <w:i w:val="false"/>
                <w:color w:val="000000"/>
                <w:sz w:val="16"/>
              </w:rPr>
              <w:t xml:space="preserve"> Concentration, in oocysts/L</w:t>
            </w:r>
          </w:p>
        </w:tc>
        <w:tc>
          <w:tcPr>
            <w:tcW w:w="192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Bin Classification</w:t>
            </w:r>
          </w:p>
        </w:tc>
      </w:tr>
      <w:tr>
        <w:trPr>
          <w:trHeight w:val="240" w:hRule="atLeast"/>
        </w:trPr>
        <w:tc>
          <w:tcPr>
            <w:tcW w:w="432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Systems required to monitor for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under </w:t>
            </w:r>
            <w:hyperlink r:id="rId537">
              <w:r>
                <w:rPr>
                  <w:rStyle w:val="Hyperlink"/>
                  <w:rFonts w:ascii="Times New Roman" w:hAnsi="Times New Roman"/>
                  <w:b w:val="false"/>
                  <w:i w:val="false"/>
                  <w:color w:val="000000"/>
                  <w:sz w:val="16"/>
                </w:rPr>
                <w:t>43.11(3)</w:t>
              </w:r>
              <w:r>
                <w:rPr>
                  <w:rFonts w:ascii="Times New Roman" w:hAnsi="Times New Roman"/>
                  <w:b w:val="false"/>
                  <w:i/>
                  <w:color w:val="000000"/>
                  <w:sz w:val="16"/>
                </w:rPr>
                <w:t>“b”</w:t>
              </w:r>
              <w:r>
                <w:rPr>
                  <w:rFonts w:ascii="Times New Roman" w:hAnsi="Times New Roman"/>
                  <w:b w:val="false"/>
                  <w:i w:val="false"/>
                  <w:color w:val="000000"/>
                  <w:sz w:val="16"/>
                </w:rPr>
                <w:t>(1)</w:t>
              </w:r>
            </w:hyperlink>
            <w:r>
              <w:rPr>
                <w:rFonts w:ascii="Times New Roman" w:hAnsi="Times New Roman"/>
                <w:b w:val="false"/>
                <w:i w:val="false"/>
                <w:color w:val="000000"/>
                <w:sz w:val="16"/>
              </w:rPr>
              <w:t xml:space="preserve"> or </w:t>
            </w:r>
            <w:hyperlink r:id="rId538">
              <w:r>
                <w:rPr>
                  <w:rStyle w:val="Hyperlink"/>
                  <w:rFonts w:ascii="Times New Roman" w:hAnsi="Times New Roman"/>
                  <w:b w:val="false"/>
                  <w:i w:val="false"/>
                  <w:color w:val="000000"/>
                  <w:sz w:val="16"/>
                </w:rPr>
                <w:t>43.11(3)</w:t>
              </w:r>
              <w:r>
                <w:rPr>
                  <w:rFonts w:ascii="Times New Roman" w:hAnsi="Times New Roman"/>
                  <w:b w:val="false"/>
                  <w:i/>
                  <w:color w:val="000000"/>
                  <w:sz w:val="16"/>
                </w:rPr>
                <w:t>“b”</w:t>
              </w:r>
              <w:r>
                <w:rPr>
                  <w:rFonts w:ascii="Times New Roman" w:hAnsi="Times New Roman"/>
                  <w:b w:val="false"/>
                  <w:i w:val="false"/>
                  <w:color w:val="000000"/>
                  <w:sz w:val="16"/>
                </w:rPr>
                <w:t>(2)</w:t>
              </w:r>
            </w:hyperlink>
            <w:r>
              <w:rPr>
                <w:rFonts w:ascii="Times New Roman" w:hAnsi="Times New Roman"/>
                <w:b w:val="false"/>
                <w:i w:val="false"/>
                <w:color w:val="000000"/>
                <w:sz w:val="16"/>
              </w:rPr>
              <w:t>“3”</w:t>
            </w:r>
          </w:p>
        </w:tc>
        <w:tc>
          <w:tcPr>
            <w:tcW w:w="52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Fewer than 0.075 oocysts/L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Bin 1</w:t>
            </w:r>
          </w:p>
        </w:tc>
      </w:tr>
      <w:tr>
        <w:trPr>
          <w:trHeight w:val="225" w:hRule="atLeast"/>
        </w:trPr>
        <w:tc>
          <w:tcPr>
            <w:tcW w:w="0" w:type="auto"/>
            <w:vMerge/>
            <w:tcBorders>
              <w:top w:val="nil"/>
              <w:bottom w:val="single" w:color="000000" w:sz="8"/>
              <w:right w:val="single" w:color="000000" w:sz="8"/>
            </w:tcBorders>
          </w:tcPr>
          <w:p/>
        </w:tc>
        <w:tc>
          <w:tcPr>
            <w:tcW w:w="52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Between 0.075 and fewer than 1.0 oocysts/L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Bin 2</w:t>
            </w:r>
          </w:p>
        </w:tc>
      </w:tr>
      <w:tr>
        <w:trPr>
          <w:trHeight w:val="225" w:hRule="atLeast"/>
        </w:trPr>
        <w:tc>
          <w:tcPr>
            <w:tcW w:w="0" w:type="auto"/>
            <w:vMerge/>
            <w:tcBorders>
              <w:top w:val="nil"/>
              <w:bottom w:val="single" w:color="000000" w:sz="8"/>
              <w:right w:val="single" w:color="000000" w:sz="8"/>
            </w:tcBorders>
          </w:tcPr>
          <w:p/>
        </w:tc>
        <w:tc>
          <w:tcPr>
            <w:tcW w:w="52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Between 1.0 and fewer than 3.0 oocysts/L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Bin 3</w:t>
            </w:r>
          </w:p>
        </w:tc>
      </w:tr>
      <w:tr>
        <w:trPr>
          <w:trHeight w:val="225" w:hRule="atLeast"/>
        </w:trPr>
        <w:tc>
          <w:tcPr>
            <w:tcW w:w="0" w:type="auto"/>
            <w:vMerge/>
            <w:tcBorders>
              <w:top w:val="nil"/>
              <w:bottom w:val="single" w:color="000000" w:sz="8"/>
              <w:right w:val="single" w:color="000000" w:sz="8"/>
            </w:tcBorders>
          </w:tcPr>
          <w:p/>
        </w:tc>
        <w:tc>
          <w:tcPr>
            <w:tcW w:w="52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 oocysts/L or greater</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Bin 4</w:t>
            </w:r>
          </w:p>
        </w:tc>
      </w:tr>
      <w:tr>
        <w:trPr>
          <w:trHeight w:val="585" w:hRule="atLeast"/>
        </w:trPr>
        <w:tc>
          <w:tcPr>
            <w:tcW w:w="43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Systems serving fewer than 10,000 and not required to monitor for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pursuant to </w:t>
            </w:r>
            <w:hyperlink r:id="rId539">
              <w:r>
                <w:rPr>
                  <w:rStyle w:val="Hyperlink"/>
                  <w:rFonts w:ascii="Times New Roman" w:hAnsi="Times New Roman"/>
                  <w:b w:val="false"/>
                  <w:i w:val="false"/>
                  <w:color w:val="000000"/>
                  <w:sz w:val="16"/>
                </w:rPr>
                <w:t>43.11(3)</w:t>
              </w:r>
              <w:r>
                <w:rPr>
                  <w:rFonts w:ascii="Times New Roman" w:hAnsi="Times New Roman"/>
                  <w:b w:val="false"/>
                  <w:i/>
                  <w:color w:val="000000"/>
                  <w:sz w:val="16"/>
                </w:rPr>
                <w:t>“b”</w:t>
              </w:r>
              <w:r>
                <w:rPr>
                  <w:rFonts w:ascii="Times New Roman" w:hAnsi="Times New Roman"/>
                  <w:b w:val="false"/>
                  <w:i w:val="false"/>
                  <w:color w:val="000000"/>
                  <w:sz w:val="16"/>
                </w:rPr>
                <w:t>(2)</w:t>
              </w:r>
            </w:hyperlink>
            <w:r>
              <w:rPr>
                <w:rFonts w:ascii="Times New Roman" w:hAnsi="Times New Roman"/>
                <w:b w:val="false"/>
                <w:i w:val="false"/>
                <w:color w:val="000000"/>
                <w:sz w:val="16"/>
              </w:rPr>
              <w:t>“1”</w:t>
            </w:r>
          </w:p>
        </w:tc>
        <w:tc>
          <w:tcPr>
            <w:tcW w:w="52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Not applicable</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Bin 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monitoring round. Following completion of the second round of source water monitoring, a system must recalculate its bin concentration and determine its new bin classification, using the same protocols outlined in </w:t>
      </w:r>
      <w:hyperlink r:id="rId540">
        <w:r>
          <w:rPr>
            <w:rStyle w:val="Hyperlink"/>
            <w:rFonts w:ascii="Times New Roman" w:hAnsi="Times New Roman"/>
            <w:b w:val="false"/>
            <w:i w:val="false"/>
            <w:color w:val="000000"/>
            <w:sz w:val="22"/>
          </w:rPr>
          <w:t>43.11(5)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bin classification to the department. </w:t>
      </w:r>
      <w:r>
        <w:rPr>
          <w:rFonts w:ascii="Times New Roman" w:hAnsi="Times New Roman"/>
          <w:b w:val="false"/>
          <w:i w:val="false"/>
          <w:color w:val="000000"/>
          <w:sz w:val="22"/>
        </w:rPr>
        <w:t>Within six months of the end of the sampling period, the system must report its bin classification to the department for approval. The report must also include a summary of the source water monitoring data and the calculation procedure used to determine the bin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violation. </w:t>
      </w:r>
      <w:r>
        <w:rPr>
          <w:rFonts w:ascii="Times New Roman" w:hAnsi="Times New Roman"/>
          <w:b w:val="false"/>
          <w:i w:val="false"/>
          <w:color w:val="000000"/>
          <w:sz w:val="22"/>
        </w:rPr>
        <w:t xml:space="preserve">Failure to comply with </w:t>
      </w:r>
      <w:hyperlink r:id="rId541">
        <w:r>
          <w:rPr>
            <w:rStyle w:val="Hyperlink"/>
            <w:rFonts w:ascii="Times New Roman" w:hAnsi="Times New Roman"/>
            <w:b w:val="false"/>
            <w:i w:val="false"/>
            <w:color w:val="000000"/>
            <w:sz w:val="22"/>
          </w:rPr>
          <w:t>43.11(5)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is a violation of the treatment technique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43.11(6)</w:t>
      </w:r>
      <w:r>
        <w:rPr>
          <w:rFonts w:ascii="Times New Roman" w:hAnsi="Times New Roman"/>
          <w:b w:val="false"/>
          <w:i w:val="false"/>
          <w:color w:val="000000"/>
          <w:sz w:val="22"/>
        </w:rPr>
        <w:t> </w:t>
      </w:r>
      <w:r>
        <w:rPr>
          <w:rFonts w:ascii="Times New Roman" w:hAnsi="Times New Roman"/>
          <w:b w:val="false"/>
          <w:i/>
          <w:color w:val="000000"/>
          <w:sz w:val="22"/>
        </w:rPr>
        <w:t xml:space="preserve">Additional Cryptosporidium treatment requirements. </w:t>
      </w:r>
      <w:r>
        <w:rPr>
          <w:rFonts w:ascii="Times New Roman" w:hAnsi="Times New Roman"/>
          <w:b w:val="false"/>
          <w:i w:val="false"/>
          <w:color w:val="000000"/>
          <w:sz w:val="22"/>
        </w:rPr>
        <w:t xml:space="preserve">A system must provide the level of additional treatment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specified in Table 4 based on its bin classification determined in </w:t>
      </w:r>
      <w:hyperlink r:id="rId542">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and according to the schedule in </w:t>
      </w:r>
      <w:hyperlink r:id="rId543">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additional Cryptosporidium treatment requirements. </w:t>
      </w:r>
      <w:r>
        <w:rPr>
          <w:rFonts w:ascii="Times New Roman" w:hAnsi="Times New Roman"/>
          <w:b w:val="false"/>
          <w:i w:val="false"/>
          <w:color w:val="000000"/>
          <w:sz w:val="22"/>
        </w:rPr>
        <w:t xml:space="preserve">Using Table 4, a system must determine any additional treatment requirements based upon its bin classification. The Bin 1 classification does not require any additional treatment. Bins 2 through 4 require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w:t>
      </w:r>
    </w:p>
    <w:p>
      <w:pPr>
        <w:spacing w:before="60" w:after="0"/>
        <w:ind w:left="120"/>
        <w:jc w:val="center"/>
      </w:pPr>
      <w:r>
        <w:rPr>
          <w:rFonts w:ascii="Times New Roman" w:hAnsi="Times New Roman"/>
          <w:b w:val="false"/>
          <w:i w:val="false"/>
          <w:color w:val="000000"/>
          <w:sz w:val="22"/>
        </w:rPr>
        <w:t xml:space="preserve">Table 4: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Requirements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2400"/>
        <w:gridCol w:w="2400"/>
        <w:gridCol w:w="2400"/>
        <w:gridCol w:w="2400"/>
      </w:tblGrid>
      <w:tr>
        <w:trPr>
          <w:trHeight w:val="225" w:hRule="atLeast"/>
        </w:trPr>
        <w:tc>
          <w:tcPr>
            <w:tcW w:w="192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Bin Classification</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Treatment Used by the System for Compliance with </w:t>
            </w:r>
            <w:hyperlink r:id="rId544">
              <w:r>
                <w:rPr>
                  <w:rStyle w:val="Hyperlink"/>
                  <w:rFonts w:ascii="Times New Roman" w:hAnsi="Times New Roman"/>
                  <w:b w:val="false"/>
                  <w:i w:val="false"/>
                  <w:color w:val="000000"/>
                  <w:sz w:val="16"/>
                </w:rPr>
                <w:t>43.5</w:t>
              </w:r>
            </w:hyperlink>
            <w:r>
              <w:rPr>
                <w:rFonts w:ascii="Times New Roman" w:hAnsi="Times New Roman"/>
                <w:b w:val="false"/>
                <w:i w:val="false"/>
                <w:color w:val="000000"/>
                <w:sz w:val="16"/>
              </w:rPr>
              <w:t xml:space="preserve">, </w:t>
            </w:r>
            <w:hyperlink r:id="rId545">
              <w:r>
                <w:rPr>
                  <w:rStyle w:val="Hyperlink"/>
                  <w:rFonts w:ascii="Times New Roman" w:hAnsi="Times New Roman"/>
                  <w:b w:val="false"/>
                  <w:i w:val="false"/>
                  <w:color w:val="000000"/>
                  <w:sz w:val="16"/>
                </w:rPr>
                <w:t>43.9</w:t>
              </w:r>
            </w:hyperlink>
            <w:r>
              <w:rPr>
                <w:rFonts w:ascii="Times New Roman" w:hAnsi="Times New Roman"/>
                <w:b w:val="false"/>
                <w:i w:val="false"/>
                <w:color w:val="000000"/>
                <w:sz w:val="16"/>
              </w:rPr>
              <w:t xml:space="preserve">, and </w:t>
            </w:r>
            <w:hyperlink r:id="rId546">
              <w:r>
                <w:rPr>
                  <w:rStyle w:val="Hyperlink"/>
                  <w:rFonts w:ascii="Times New Roman" w:hAnsi="Times New Roman"/>
                  <w:b w:val="false"/>
                  <w:i w:val="false"/>
                  <w:color w:val="000000"/>
                  <w:sz w:val="16"/>
                </w:rPr>
                <w:t>43.10</w:t>
              </w:r>
            </w:hyperlink>
          </w:p>
        </w:tc>
      </w:tr>
      <w:tr>
        <w:trPr>
          <w:trHeight w:val="600" w:hRule="atLeast"/>
        </w:trPr>
        <w:tc>
          <w:tcPr>
            <w:tcW w:w="0" w:type="auto"/>
            <w:vMerge/>
            <w:tcBorders>
              <w:top w:val="nil"/>
              <w:bottom w:val="single" w:color="000000" w:sz="8"/>
              <w:right w:val="single" w:color="000000" w:sz="8"/>
            </w:tcBorders>
          </w:tcPr>
          <w:p/>
        </w:tc>
        <w:tc>
          <w:tcPr>
            <w:tcW w:w="2400"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Conventional filtration (including softening)</w:t>
            </w:r>
          </w:p>
        </w:tc>
        <w:tc>
          <w:tcPr>
            <w:tcW w:w="2400"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Direct filtration</w:t>
            </w:r>
          </w:p>
        </w:tc>
        <w:tc>
          <w:tcPr>
            <w:tcW w:w="2400"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Slow sand or diatomaceous earth filtration</w:t>
            </w:r>
          </w:p>
        </w:tc>
        <w:tc>
          <w:tcPr>
            <w:tcW w:w="2400" w:type="dxa"/>
            <w:tcBorders>
              <w:bottom w:val="doub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filtration technologies</w:t>
            </w:r>
          </w:p>
        </w:tc>
      </w:tr>
      <w:tr>
        <w:trPr>
          <w:trHeight w:val="24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 1</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additional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additional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additional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additional treatment</w:t>
            </w:r>
          </w:p>
        </w:tc>
      </w:tr>
      <w:tr>
        <w:trPr>
          <w:trHeight w:val="25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 2</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4.0-log</w:t>
            </w:r>
            <w:r>
              <w:rPr>
                <w:rFonts w:ascii="Times New Roman" w:hAnsi="Times New Roman"/>
                <w:b w:val="false"/>
                <w:i w:val="false"/>
                <w:color w:val="000000"/>
                <w:sz w:val="18"/>
                <w:vertAlign w:val="superscript"/>
              </w:rPr>
              <w:t>1</w:t>
            </w:r>
          </w:p>
        </w:tc>
      </w:tr>
      <w:tr>
        <w:trPr>
          <w:trHeight w:val="25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 3</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5.0-log</w:t>
            </w:r>
            <w:r>
              <w:rPr>
                <w:rFonts w:ascii="Times New Roman" w:hAnsi="Times New Roman"/>
                <w:b w:val="false"/>
                <w:i w:val="false"/>
                <w:color w:val="000000"/>
                <w:sz w:val="18"/>
                <w:vertAlign w:val="superscript"/>
              </w:rPr>
              <w:t>1</w:t>
            </w:r>
          </w:p>
        </w:tc>
      </w:tr>
      <w:tr>
        <w:trPr>
          <w:trHeight w:val="25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 4</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5.5-log</w:t>
            </w:r>
            <w:r>
              <w:rPr>
                <w:rFonts w:ascii="Times New Roman" w:hAnsi="Times New Roman"/>
                <w:b w:val="false"/>
                <w:i w:val="false"/>
                <w:color w:val="000000"/>
                <w:sz w:val="18"/>
                <w:vertAlign w:val="superscript"/>
              </w:rPr>
              <w:t>1</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The total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removal and inactivation must be at least this value,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requirements for Bins 2 through 4. </w:t>
      </w:r>
      <w:r>
        <w:rPr>
          <w:rFonts w:ascii="Times New Roman" w:hAnsi="Times New Roman"/>
          <w:b w:val="false"/>
          <w:i w:val="false"/>
          <w:color w:val="000000"/>
          <w:sz w:val="22"/>
        </w:rPr>
        <w:t xml:space="preserve">A system that is classified as Bin 2, 3, or 4 must use one or more of the treatment and management options listed in </w:t>
      </w:r>
      <w:hyperlink r:id="rId547">
        <w:r>
          <w:rPr>
            <w:rStyle w:val="Hyperlink"/>
            <w:rFonts w:ascii="Times New Roman" w:hAnsi="Times New Roman"/>
            <w:b w:val="false"/>
            <w:i w:val="false"/>
            <w:color w:val="000000"/>
            <w:sz w:val="22"/>
          </w:rPr>
          <w:t>43.11(8)</w:t>
        </w:r>
      </w:hyperlink>
      <w:r>
        <w:rPr>
          <w:rFonts w:ascii="Times New Roman" w:hAnsi="Times New Roman"/>
          <w:b w:val="false"/>
          <w:i w:val="false"/>
          <w:color w:val="000000"/>
          <w:sz w:val="22"/>
        </w:rPr>
        <w:t xml:space="preserve"> to comply with the required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Systems classified as Bins 3 and 4 must achieve at least 1-log of the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required by using either one or a combination of the following: bag filters, bank filtration, cartridge filters, chlorine dioxide, membranes, ozone, or UV, as listed in </w:t>
      </w:r>
      <w:hyperlink r:id="rId548">
        <w:r>
          <w:rPr>
            <w:rStyle w:val="Hyperlink"/>
            <w:rFonts w:ascii="Times New Roman" w:hAnsi="Times New Roman"/>
            <w:b w:val="false"/>
            <w:i w:val="false"/>
            <w:color w:val="000000"/>
            <w:sz w:val="22"/>
          </w:rPr>
          <w:t>43.11(9)</w:t>
        </w:r>
      </w:hyperlink>
      <w:r>
        <w:rPr>
          <w:rFonts w:ascii="Times New Roman" w:hAnsi="Times New Roman"/>
          <w:b w:val="false"/>
          <w:i w:val="false"/>
          <w:color w:val="000000"/>
          <w:sz w:val="22"/>
        </w:rPr>
        <w:t xml:space="preserve"> through </w:t>
      </w:r>
      <w:hyperlink r:id="rId549">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violation. </w:t>
      </w:r>
      <w:r>
        <w:rPr>
          <w:rFonts w:ascii="Times New Roman" w:hAnsi="Times New Roman"/>
          <w:b w:val="false"/>
          <w:i w:val="false"/>
          <w:color w:val="000000"/>
          <w:sz w:val="22"/>
        </w:rPr>
        <w:t xml:space="preserve">Failure by a system in any month to achieve treatment credit by meeting criteria in </w:t>
      </w:r>
      <w:hyperlink r:id="rId550">
        <w:r>
          <w:rPr>
            <w:rStyle w:val="Hyperlink"/>
            <w:rFonts w:ascii="Times New Roman" w:hAnsi="Times New Roman"/>
            <w:b w:val="false"/>
            <w:i w:val="false"/>
            <w:color w:val="000000"/>
            <w:sz w:val="22"/>
          </w:rPr>
          <w:t>43.11(9)</w:t>
        </w:r>
      </w:hyperlink>
      <w:r>
        <w:rPr>
          <w:rFonts w:ascii="Times New Roman" w:hAnsi="Times New Roman"/>
          <w:b w:val="false"/>
          <w:i w:val="false"/>
          <w:color w:val="000000"/>
          <w:sz w:val="22"/>
        </w:rPr>
        <w:t xml:space="preserve"> through </w:t>
      </w:r>
      <w:hyperlink r:id="rId551">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that is at least equal to the level of treatment required in </w:t>
      </w:r>
      <w:hyperlink r:id="rId552">
        <w:r>
          <w:rPr>
            <w:rStyle w:val="Hyperlink"/>
            <w:rFonts w:ascii="Times New Roman" w:hAnsi="Times New Roman"/>
            <w:b w:val="false"/>
            <w:i w:val="false"/>
            <w:color w:val="000000"/>
            <w:sz w:val="22"/>
          </w:rPr>
          <w:t>43.11(6)</w:t>
        </w:r>
        <w:r>
          <w:rPr>
            <w:rFonts w:ascii="Times New Roman" w:hAnsi="Times New Roman"/>
            <w:b w:val="false"/>
            <w:i/>
            <w:color w:val="000000"/>
            <w:sz w:val="22"/>
          </w:rPr>
          <w:t>“a”</w:t>
        </w:r>
      </w:hyperlink>
      <w:r>
        <w:rPr>
          <w:rFonts w:ascii="Times New Roman" w:hAnsi="Times New Roman"/>
          <w:b w:val="false"/>
          <w:i w:val="false"/>
          <w:color w:val="000000"/>
          <w:sz w:val="22"/>
        </w:rPr>
        <w:t xml:space="preserve"> is a violation of the treatment technique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Significant changes to the watershed. </w:t>
      </w:r>
      <w:r>
        <w:rPr>
          <w:rFonts w:ascii="Times New Roman" w:hAnsi="Times New Roman"/>
          <w:b w:val="false"/>
          <w:i w:val="false"/>
          <w:color w:val="000000"/>
          <w:sz w:val="22"/>
        </w:rPr>
        <w:t xml:space="preserve">If, after the system’s completion of source water monitoring (either round), the department determines during a sanitary survey or an equivalent source water assessment that significant changes occurred in the system’s watershed that could lead to increased contamination of the source water by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the system must take actions specified by the department to address the contamination. These actions may include additional source water monitoring and implementing microbial toolbox options listed in </w:t>
      </w:r>
      <w:hyperlink r:id="rId553">
        <w:r>
          <w:rPr>
            <w:rStyle w:val="Hyperlink"/>
            <w:rFonts w:ascii="Times New Roman" w:hAnsi="Times New Roman"/>
            <w:b w:val="false"/>
            <w:i w:val="false"/>
            <w:color w:val="000000"/>
            <w:sz w:val="22"/>
          </w:rPr>
          <w:t>43.11(8)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43.11(7)</w:t>
      </w:r>
      <w:r>
        <w:rPr>
          <w:rFonts w:ascii="Times New Roman" w:hAnsi="Times New Roman"/>
          <w:b w:val="false"/>
          <w:i w:val="false"/>
          <w:color w:val="000000"/>
          <w:sz w:val="22"/>
        </w:rPr>
        <w:t> </w:t>
      </w:r>
      <w:r>
        <w:rPr>
          <w:rFonts w:ascii="Times New Roman" w:hAnsi="Times New Roman"/>
          <w:b w:val="false"/>
          <w:i/>
          <w:color w:val="000000"/>
          <w:sz w:val="22"/>
        </w:rPr>
        <w:t xml:space="preserve">Schedule for compliance with Cryptosporidium treatment requirements. </w:t>
      </w:r>
      <w:r>
        <w:rPr>
          <w:rFonts w:ascii="Times New Roman" w:hAnsi="Times New Roman"/>
          <w:b w:val="false"/>
          <w:i w:val="false"/>
          <w:color w:val="000000"/>
          <w:sz w:val="22"/>
        </w:rPr>
        <w:t xml:space="preserve">Following the initial bin classification under </w:t>
      </w:r>
      <w:hyperlink r:id="rId554">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systems must provide the level of treatment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required in </w:t>
      </w:r>
      <w:hyperlink r:id="rId555">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xml:space="preserve">, according to the schedule in Table 5. If the bin classification of a system changes following the second round of source water monitoring, the system must provide the level of treatment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required in </w:t>
      </w:r>
      <w:hyperlink r:id="rId556">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on a schedule approved by the department.</w:t>
      </w:r>
    </w:p>
    <w:p>
      <w:pPr>
        <w:spacing w:before="60" w:after="0"/>
        <w:ind w:left="120"/>
        <w:jc w:val="center"/>
      </w:pPr>
      <w:r>
        <w:rPr>
          <w:rFonts w:ascii="Times New Roman" w:hAnsi="Times New Roman"/>
          <w:b w:val="false"/>
          <w:i w:val="false"/>
          <w:color w:val="000000"/>
          <w:sz w:val="22"/>
        </w:rPr>
        <w:t xml:space="preserve">Table 5: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Compliance Dates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4800"/>
        <w:gridCol w:w="4800"/>
      </w:tblGrid>
      <w:tr>
        <w:trPr>
          <w:trHeight w:val="450" w:hRule="atLeast"/>
        </w:trPr>
        <w:tc>
          <w:tcPr>
            <w:tcW w:w="192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Schedule</w:t>
            </w:r>
          </w:p>
        </w:tc>
        <w:tc>
          <w:tcPr>
            <w:tcW w:w="480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Population Served by System</w:t>
            </w:r>
          </w:p>
        </w:tc>
        <w:tc>
          <w:tcPr>
            <w:tcW w:w="480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Compliance Date for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treatment requirements</w:t>
            </w:r>
            <w:r>
              <w:rPr>
                <w:rFonts w:ascii="Times New Roman" w:hAnsi="Times New Roman"/>
                <w:b w:val="false"/>
                <w:i w:val="false"/>
                <w:color w:val="000000"/>
                <w:sz w:val="18"/>
                <w:vertAlign w:val="superscript"/>
              </w:rPr>
              <w:t>1</w:t>
            </w:r>
          </w:p>
        </w:tc>
      </w:tr>
      <w:tr>
        <w:trPr>
          <w:trHeight w:val="24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At least 100,000 people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April 1, 2012</w:t>
            </w:r>
          </w:p>
        </w:tc>
      </w:tr>
      <w:tr>
        <w:trPr>
          <w:trHeight w:val="22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From 50,000 to 99,999 people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October 1, 2012</w:t>
            </w:r>
          </w:p>
        </w:tc>
      </w:tr>
      <w:tr>
        <w:trPr>
          <w:trHeight w:val="22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From 10,000 to 49,999 people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October 1, 2013</w:t>
            </w:r>
          </w:p>
        </w:tc>
      </w:tr>
      <w:tr>
        <w:trPr>
          <w:trHeight w:val="22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4</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Fewer than 10,000 people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October 1, 2014</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 department may allow up to an additional two years for compliance with the treatment requirement if the system must make capital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43.11(8)</w:t>
      </w:r>
      <w:r>
        <w:rPr>
          <w:rFonts w:ascii="Times New Roman" w:hAnsi="Times New Roman"/>
          <w:b w:val="false"/>
          <w:i w:val="false"/>
          <w:color w:val="000000"/>
          <w:sz w:val="22"/>
        </w:rPr>
        <w:t> </w:t>
      </w:r>
      <w:r>
        <w:rPr>
          <w:rFonts w:ascii="Times New Roman" w:hAnsi="Times New Roman"/>
          <w:b w:val="false"/>
          <w:i/>
          <w:color w:val="000000"/>
          <w:sz w:val="22"/>
        </w:rPr>
        <w:t xml:space="preserve">Microbial toolbox options for meeting Cryptosporidium treatment requirements. </w:t>
      </w:r>
      <w:r>
        <w:rPr>
          <w:rFonts w:ascii="Times New Roman" w:hAnsi="Times New Roman"/>
          <w:b w:val="false"/>
          <w:i w:val="false"/>
          <w:color w:val="000000"/>
          <w:sz w:val="22"/>
        </w:rPr>
        <w:t xml:space="preserve">Systems receive the treatment credits listed in Table 6 by meeting the conditions for microbial toolbox options described in </w:t>
      </w:r>
      <w:hyperlink r:id="rId557">
        <w:r>
          <w:rPr>
            <w:rStyle w:val="Hyperlink"/>
            <w:rFonts w:ascii="Times New Roman" w:hAnsi="Times New Roman"/>
            <w:b w:val="false"/>
            <w:i w:val="false"/>
            <w:color w:val="000000"/>
            <w:sz w:val="22"/>
          </w:rPr>
          <w:t>43.11(9)</w:t>
        </w:r>
      </w:hyperlink>
      <w:r>
        <w:rPr>
          <w:rFonts w:ascii="Times New Roman" w:hAnsi="Times New Roman"/>
          <w:b w:val="false"/>
          <w:i w:val="false"/>
          <w:color w:val="000000"/>
          <w:sz w:val="22"/>
        </w:rPr>
        <w:t xml:space="preserve"> through </w:t>
      </w:r>
      <w:hyperlink r:id="rId558">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Systems apply these treatment credits to meet the treatment requirements in </w:t>
      </w:r>
      <w:hyperlink r:id="rId559">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Table 6 summarizes options in the microbial toolbox.</w:t>
      </w:r>
    </w:p>
    <w:p>
      <w:pPr>
        <w:spacing w:before="60" w:after="0"/>
        <w:ind w:left="120"/>
        <w:jc w:val="center"/>
      </w:pPr>
      <w:r>
        <w:rPr>
          <w:rFonts w:ascii="Times New Roman" w:hAnsi="Times New Roman"/>
          <w:b w:val="false"/>
          <w:i w:val="false"/>
          <w:color w:val="000000"/>
          <w:sz w:val="22"/>
        </w:rPr>
        <w:t>Table 6: Microbial Toolbox Summary Table: Options, Treatment Credits, and Criteria</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800"/>
        <w:gridCol w:w="1920"/>
        <w:gridCol w:w="4800"/>
      </w:tblGrid>
      <w:tr>
        <w:trPr>
          <w:trHeight w:val="420" w:hRule="atLeast"/>
        </w:trPr>
        <w:tc>
          <w:tcPr>
            <w:tcW w:w="480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Toolbox Option</w:t>
            </w:r>
          </w:p>
        </w:tc>
        <w:tc>
          <w:tcPr>
            <w:tcW w:w="192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Specific Criteria Rule</w:t>
            </w:r>
          </w:p>
        </w:tc>
        <w:tc>
          <w:tcPr>
            <w:tcW w:w="480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color w:val="000000"/>
                <w:sz w:val="16"/>
              </w:rPr>
              <w:t>Cryptosporidium</w:t>
            </w:r>
            <w:r>
              <w:rPr>
                <w:rFonts w:ascii="Times New Roman" w:hAnsi="Times New Roman"/>
                <w:b w:val="false"/>
                <w:i w:val="false"/>
                <w:color w:val="000000"/>
                <w:sz w:val="16"/>
              </w:rPr>
              <w:t xml:space="preserve"> treatment credit with design and implementation criteria</w:t>
            </w:r>
          </w:p>
        </w:tc>
      </w:tr>
      <w:tr>
        <w:trPr>
          <w:trHeight w:val="240"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Source Protection and Management Toolbox Options</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Watershed control program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0">
              <w:r>
                <w:rPr>
                  <w:rStyle w:val="Hyperlink"/>
                  <w:rFonts w:ascii="Times New Roman" w:hAnsi="Times New Roman"/>
                  <w:b w:val="false"/>
                  <w:i w:val="false"/>
                  <w:color w:val="000000"/>
                  <w:sz w:val="16"/>
                </w:rPr>
                <w:t>43.11(9)</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0.5-log credit for department-approved program comprising required elements, annual program status report to department, and regular watershed survey. </w:t>
            </w:r>
          </w:p>
        </w:tc>
      </w:tr>
      <w:tr>
        <w:trPr>
          <w:trHeight w:val="76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Alternative source/intake management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1">
              <w:r>
                <w:rPr>
                  <w:rStyle w:val="Hyperlink"/>
                  <w:rFonts w:ascii="Times New Roman" w:hAnsi="Times New Roman"/>
                  <w:b w:val="false"/>
                  <w:i w:val="false"/>
                  <w:color w:val="000000"/>
                  <w:sz w:val="16"/>
                </w:rPr>
                <w:t>43.11(9)</w:t>
              </w:r>
              <w:r>
                <w:rPr>
                  <w:rFonts w:ascii="Times New Roman" w:hAnsi="Times New Roman"/>
                  <w:b w:val="false"/>
                  <w:i/>
                  <w:color w:val="000000"/>
                  <w:sz w:val="16"/>
                </w:rPr>
                <w:t>“b”</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No prescribed credit. Systems may conduct simultaneous monitoring for treatment bin classification at alternative intake locations or under alternative intake management strategies. </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Prefiltration Toolbox Options</w:t>
            </w:r>
          </w:p>
        </w:tc>
      </w:tr>
      <w:tr>
        <w:trPr>
          <w:trHeight w:val="129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Presedimentation basin with coagulation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2">
              <w:r>
                <w:rPr>
                  <w:rStyle w:val="Hyperlink"/>
                  <w:rFonts w:ascii="Times New Roman" w:hAnsi="Times New Roman"/>
                  <w:b w:val="false"/>
                  <w:i w:val="false"/>
                  <w:color w:val="000000"/>
                  <w:sz w:val="16"/>
                </w:rPr>
                <w:t>43.11(10)</w:t>
              </w:r>
              <w:r>
                <w:rPr>
                  <w:rFonts w:ascii="Times New Roman" w:hAnsi="Times New Roman"/>
                  <w:b w:val="false"/>
                  <w:i/>
                  <w:color w:val="000000"/>
                  <w:sz w:val="16"/>
                </w:rPr>
                <w:t>“a”</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0.5-log credit during any month that presedimentation basins achieve a monthly mean reduction of 0.5-log or greater in turbidity or alternative department-approved performance criteria. To be eligible, basins must be operated continuously with coagulant addition and all plant flow must pass through the basins. </w:t>
            </w:r>
          </w:p>
        </w:tc>
      </w:tr>
      <w:tr>
        <w:trPr>
          <w:trHeight w:val="9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Two-stage lime softening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3">
              <w:r>
                <w:rPr>
                  <w:rStyle w:val="Hyperlink"/>
                  <w:rFonts w:ascii="Times New Roman" w:hAnsi="Times New Roman"/>
                  <w:b w:val="false"/>
                  <w:i w:val="false"/>
                  <w:color w:val="000000"/>
                  <w:sz w:val="16"/>
                </w:rPr>
                <w:t>43.11(10)</w:t>
              </w:r>
              <w:r>
                <w:rPr>
                  <w:rFonts w:ascii="Times New Roman" w:hAnsi="Times New Roman"/>
                  <w:b w:val="false"/>
                  <w:i/>
                  <w:color w:val="000000"/>
                  <w:sz w:val="16"/>
                </w:rPr>
                <w:t>“b”</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0.5-log credit for two-stage softening where chemical addition and hardness precipitation occur in both stages. All plant flow must pass through both stages. Single-stage softening is credited as equivalent to conventional treatment. </w:t>
            </w:r>
          </w:p>
        </w:tc>
      </w:tr>
      <w:tr>
        <w:trPr>
          <w:trHeight w:val="147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Bank filtration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4">
              <w:r>
                <w:rPr>
                  <w:rStyle w:val="Hyperlink"/>
                  <w:rFonts w:ascii="Times New Roman" w:hAnsi="Times New Roman"/>
                  <w:b w:val="false"/>
                  <w:i w:val="false"/>
                  <w:color w:val="000000"/>
                  <w:sz w:val="16"/>
                </w:rPr>
                <w:t>43.11(10)</w:t>
              </w:r>
              <w:r>
                <w:rPr>
                  <w:rFonts w:ascii="Times New Roman" w:hAnsi="Times New Roman"/>
                  <w:b w:val="false"/>
                  <w:i/>
                  <w:color w:val="000000"/>
                  <w:sz w:val="16"/>
                </w:rPr>
                <w:t>“c”</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0.5-log credit for 25-foot setback; 1.0-log credit for 50-foot setback; aquifer must be unconsolidated sand containing at least 10 percent fines; average turbidity in wells must be less than 1 NTU. A system using a well followed by filtration when conducting source water monitoring must sample the well to determine bin classification and is not eligible for additional credit. </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Treatment Performance Toolbox Options</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Combined filter performance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5">
              <w:r>
                <w:rPr>
                  <w:rStyle w:val="Hyperlink"/>
                  <w:rFonts w:ascii="Times New Roman" w:hAnsi="Times New Roman"/>
                  <w:b w:val="false"/>
                  <w:i w:val="false"/>
                  <w:color w:val="000000"/>
                  <w:sz w:val="16"/>
                </w:rPr>
                <w:t>43.11(11)</w:t>
              </w:r>
              <w:r>
                <w:rPr>
                  <w:rFonts w:ascii="Times New Roman" w:hAnsi="Times New Roman"/>
                  <w:b w:val="false"/>
                  <w:i/>
                  <w:color w:val="000000"/>
                  <w:sz w:val="16"/>
                </w:rPr>
                <w:t>“a”</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0.5-log credit for combined filter effluent turbidity less than or equal to 0.15 NTU in at least 95 percent of measurements each month. </w:t>
            </w:r>
          </w:p>
        </w:tc>
      </w:tr>
      <w:tr>
        <w:trPr>
          <w:trHeight w:val="112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Individual filter performance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6">
              <w:r>
                <w:rPr>
                  <w:rStyle w:val="Hyperlink"/>
                  <w:rFonts w:ascii="Times New Roman" w:hAnsi="Times New Roman"/>
                  <w:b w:val="false"/>
                  <w:i w:val="false"/>
                  <w:color w:val="000000"/>
                  <w:sz w:val="16"/>
                </w:rPr>
                <w:t>43.11(11)</w:t>
              </w:r>
              <w:r>
                <w:rPr>
                  <w:rFonts w:ascii="Times New Roman" w:hAnsi="Times New Roman"/>
                  <w:b w:val="false"/>
                  <w:i/>
                  <w:color w:val="000000"/>
                  <w:sz w:val="16"/>
                </w:rPr>
                <w:t>“b”</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0.5-log credit (in addition to the 0.5-log combined filter performance credit) if individual filter effluent turbidity is less than or equal to 0.15 NTU in at least 95 percent of samples each month in each filter and is never greater than 0.3 NTU in two consecutive measurements in any filter.</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Demonstration of performance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7">
              <w:r>
                <w:rPr>
                  <w:rStyle w:val="Hyperlink"/>
                  <w:rFonts w:ascii="Times New Roman" w:hAnsi="Times New Roman"/>
                  <w:b w:val="false"/>
                  <w:i w:val="false"/>
                  <w:color w:val="000000"/>
                  <w:sz w:val="16"/>
                </w:rPr>
                <w:t>43.11(11)</w:t>
              </w:r>
              <w:r>
                <w:rPr>
                  <w:rFonts w:ascii="Times New Roman" w:hAnsi="Times New Roman"/>
                  <w:b w:val="false"/>
                  <w:i/>
                  <w:color w:val="000000"/>
                  <w:sz w:val="16"/>
                </w:rPr>
                <w:t>“c”</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Credit awarded to unit process or treatment train based on a demonstration to the department with a department-approved protocol. </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Additional Filtration Toolbox Options</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Bag or cartridge filters (individual filters)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8">
              <w:r>
                <w:rPr>
                  <w:rStyle w:val="Hyperlink"/>
                  <w:rFonts w:ascii="Times New Roman" w:hAnsi="Times New Roman"/>
                  <w:b w:val="false"/>
                  <w:i w:val="false"/>
                  <w:color w:val="000000"/>
                  <w:sz w:val="16"/>
                </w:rPr>
                <w:t>43.11(12)</w:t>
              </w:r>
              <w:r>
                <w:rPr>
                  <w:rFonts w:ascii="Times New Roman" w:hAnsi="Times New Roman"/>
                  <w:b w:val="false"/>
                  <w:i/>
                  <w:color w:val="000000"/>
                  <w:sz w:val="16"/>
                </w:rPr>
                <w:t>“a”</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Up to 2-log credit based on the removal efficiency demonstrated during challenge testing with a 1.0-log factor of safety. </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Bag or cartridge filters (in series)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69">
              <w:r>
                <w:rPr>
                  <w:rStyle w:val="Hyperlink"/>
                  <w:rFonts w:ascii="Times New Roman" w:hAnsi="Times New Roman"/>
                  <w:b w:val="false"/>
                  <w:i w:val="false"/>
                  <w:color w:val="000000"/>
                  <w:sz w:val="16"/>
                </w:rPr>
                <w:t>43.11(12)</w:t>
              </w:r>
              <w:r>
                <w:rPr>
                  <w:rFonts w:ascii="Times New Roman" w:hAnsi="Times New Roman"/>
                  <w:b w:val="false"/>
                  <w:i/>
                  <w:color w:val="000000"/>
                  <w:sz w:val="16"/>
                </w:rPr>
                <w:t>“a”</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Up to 2.5-log credit based on the removal efficiency demonstrated during challenge testing with a 0.5-log factor of safety. </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Membrane filtration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70">
              <w:r>
                <w:rPr>
                  <w:rStyle w:val="Hyperlink"/>
                  <w:rFonts w:ascii="Times New Roman" w:hAnsi="Times New Roman"/>
                  <w:b w:val="false"/>
                  <w:i w:val="false"/>
                  <w:color w:val="000000"/>
                  <w:sz w:val="16"/>
                </w:rPr>
                <w:t>43.11(12)</w:t>
              </w:r>
              <w:r>
                <w:rPr>
                  <w:rFonts w:ascii="Times New Roman" w:hAnsi="Times New Roman"/>
                  <w:b w:val="false"/>
                  <w:i/>
                  <w:color w:val="000000"/>
                  <w:sz w:val="16"/>
                </w:rPr>
                <w:t>“b”</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Log credit equivalent to removal efficiency demonstrated in challenge test for device if supported by direct integrity testing. </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Second-stage filtration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71">
              <w:r>
                <w:rPr>
                  <w:rStyle w:val="Hyperlink"/>
                  <w:rFonts w:ascii="Times New Roman" w:hAnsi="Times New Roman"/>
                  <w:b w:val="false"/>
                  <w:i w:val="false"/>
                  <w:color w:val="000000"/>
                  <w:sz w:val="16"/>
                </w:rPr>
                <w:t>43.11(12)</w:t>
              </w:r>
              <w:r>
                <w:rPr>
                  <w:rFonts w:ascii="Times New Roman" w:hAnsi="Times New Roman"/>
                  <w:b w:val="false"/>
                  <w:i/>
                  <w:color w:val="000000"/>
                  <w:sz w:val="16"/>
                </w:rPr>
                <w:t>“c”</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0.5-log credit for second separate granular media filtration stage if treatment train includes coagulation prior to first filter. </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Slow sand filtration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72">
              <w:r>
                <w:rPr>
                  <w:rStyle w:val="Hyperlink"/>
                  <w:rFonts w:ascii="Times New Roman" w:hAnsi="Times New Roman"/>
                  <w:b w:val="false"/>
                  <w:i w:val="false"/>
                  <w:color w:val="000000"/>
                  <w:sz w:val="16"/>
                </w:rPr>
                <w:t>43.11(12)</w:t>
              </w:r>
              <w:r>
                <w:rPr>
                  <w:rFonts w:ascii="Times New Roman" w:hAnsi="Times New Roman"/>
                  <w:b w:val="false"/>
                  <w:i/>
                  <w:color w:val="000000"/>
                  <w:sz w:val="16"/>
                </w:rPr>
                <w:t>“d”</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2.5-log credit as a secondary filtration step; 3.0-log credit as a primary filtration process. No prior chlorination for either option. </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Inactivation Toolbox Options</w:t>
            </w:r>
          </w:p>
        </w:tc>
      </w:tr>
      <w:tr>
        <w:trPr>
          <w:trHeight w:val="40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Chlorine dioxide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73">
              <w:r>
                <w:rPr>
                  <w:rStyle w:val="Hyperlink"/>
                  <w:rFonts w:ascii="Times New Roman" w:hAnsi="Times New Roman"/>
                  <w:b w:val="false"/>
                  <w:i w:val="false"/>
                  <w:color w:val="000000"/>
                  <w:sz w:val="16"/>
                </w:rPr>
                <w:t>43.11(13)</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Log credit based on measured CT in relation to CT table. </w:t>
            </w:r>
          </w:p>
        </w:tc>
      </w:tr>
      <w:tr>
        <w:trPr>
          <w:trHeight w:val="40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Ozone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74">
              <w:r>
                <w:rPr>
                  <w:rStyle w:val="Hyperlink"/>
                  <w:rFonts w:ascii="Times New Roman" w:hAnsi="Times New Roman"/>
                  <w:b w:val="false"/>
                  <w:i w:val="false"/>
                  <w:color w:val="000000"/>
                  <w:sz w:val="16"/>
                </w:rPr>
                <w:t>43.11(13)</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Log credit based on measured CT in relation to CT table. </w:t>
            </w:r>
          </w:p>
        </w:tc>
      </w:tr>
      <w:tr>
        <w:trPr>
          <w:trHeight w:val="76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Ultraviolet light (UV)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575">
              <w:r>
                <w:rPr>
                  <w:rStyle w:val="Hyperlink"/>
                  <w:rFonts w:ascii="Times New Roman" w:hAnsi="Times New Roman"/>
                  <w:b w:val="false"/>
                  <w:i w:val="false"/>
                  <w:color w:val="000000"/>
                  <w:sz w:val="16"/>
                </w:rPr>
                <w:t>43.11(13)</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Log credit based on validated UV dose in relation to UV dose table; reactor validation testing required to establish UV dose and associated operating conditions.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43.11(9)</w:t>
      </w:r>
      <w:r>
        <w:rPr>
          <w:rFonts w:ascii="Times New Roman" w:hAnsi="Times New Roman"/>
          <w:b w:val="false"/>
          <w:i w:val="false"/>
          <w:color w:val="000000"/>
          <w:sz w:val="22"/>
        </w:rPr>
        <w:t> </w:t>
      </w:r>
      <w:r>
        <w:rPr>
          <w:rFonts w:ascii="Times New Roman" w:hAnsi="Times New Roman"/>
          <w:b w:val="false"/>
          <w:i/>
          <w:color w:val="000000"/>
          <w:sz w:val="22"/>
        </w:rPr>
        <w:t xml:space="preserve">Source toolbox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Watershed control program. </w:t>
      </w:r>
      <w:r>
        <w:rPr>
          <w:rFonts w:ascii="Times New Roman" w:hAnsi="Times New Roman"/>
          <w:b w:val="false"/>
          <w:i w:val="false"/>
          <w:color w:val="000000"/>
          <w:sz w:val="22"/>
        </w:rPr>
        <w:t xml:space="preserve">Systems receive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implementing a watershed control program that meets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Systems that intend to apply for the watershed control program credit must notify the department of this intent no later than two years prior to the treatment compliance date in </w:t>
      </w:r>
      <w:hyperlink r:id="rId576">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 xml:space="preserve"> applicable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watershed control plan. Systems must submit to the department a proposed watershed control plan no later than one year before the applicable treatment compliance date in </w:t>
      </w:r>
      <w:hyperlink r:id="rId577">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 The department must approve the watershed control plan for the system to receive watershed control program treatment credit. The watershed control plan must include the following elements: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Identification of an “area of influence” outside of which the likelihood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or fecal contamination affecting the treatment plant intake is not significant. This is the area to be evaluated in future watershed surveys under </w:t>
      </w:r>
      <w:hyperlink r:id="rId578">
        <w:r>
          <w:rPr>
            <w:rStyle w:val="Hyperlink"/>
            <w:rFonts w:ascii="Times New Roman" w:hAnsi="Times New Roman"/>
            <w:b w:val="false"/>
            <w:i w:val="false"/>
            <w:color w:val="000000"/>
            <w:sz w:val="22"/>
          </w:rPr>
          <w:t>43.11(9)</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Identification of both potential and actual sources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contamination and an assessment of the relative impact of these sources on the system’s source water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analysis of the effectiveness and feasibility of control measures that could reduce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loading from sources of contamination to the system’s source water.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statement of goals and specific actions the system will undertake to reduce source water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levels. The plan must explain how the actions are expected to contribute to specific goals, identify watershed partners and their roles, identify resource requirements and commitments, and include a schedule for plan implementation with deadlines for completing specific actions identified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watershed control programs. Systems with watershed control programs that were in place on January 5, 2006, are eligible to seek this credit. The systems’ watershed control plans must meet the criteria in </w:t>
      </w:r>
      <w:hyperlink r:id="rId579">
        <w:r>
          <w:rPr>
            <w:rStyle w:val="Hyperlink"/>
            <w:rFonts w:ascii="Times New Roman" w:hAnsi="Times New Roman"/>
            <w:b w:val="false"/>
            <w:i w:val="false"/>
            <w:color w:val="000000"/>
            <w:sz w:val="22"/>
          </w:rPr>
          <w:t>43.11(9)</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must specify ongoing and future actions that will reduce source water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 response to submitted plan. If the department does not respond to a system regarding approval of a watershed control plan submitted under this subrule and the system meets the other requirements of this subrule, the watershed control program will be considered approved and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will be awarded unless and until the department subsequently withdraws such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System requirements to maintain 0.5-log credit. Systems must complete the following actions to maintain the 0.5-log credit.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Submit an annual watershed control program status report to the department. The annual watershed control program status report must describe the system’s implementation of the approved plan and assess the adequacy of the plan to meet its goals. The plan must explain how the system is addressing any shortcomings in plan implementation, including those previously identified by the department or as a result of the watershed survey conducted under </w:t>
      </w:r>
      <w:hyperlink r:id="rId580">
        <w:r>
          <w:rPr>
            <w:rStyle w:val="Hyperlink"/>
            <w:rFonts w:ascii="Times New Roman" w:hAnsi="Times New Roman"/>
            <w:b w:val="false"/>
            <w:i w:val="false"/>
            <w:color w:val="000000"/>
            <w:sz w:val="22"/>
          </w:rPr>
          <w:t>43.11(9)</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“2.” It must also describe any significant changes that have occurred in the watershed since the last watershed sanitary survey. If a system determines during implementation that making a significant change to its approved watershed control program is necessary, the system must notify the department prior to making any such changes. If any change is likely to reduce the level of source water protection, the system must also list in its notification the actions the system will take to mitigate this effect.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Undergo a watershed sanitary survey every three years for community water systems and every five years for noncommunity water systems and submit the survey report to the department. The survey must be conducted according to department guidelines and by persons acceptable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watershed sanitary survey must meet the following criteria: encompass the region identified in the department-approved watershed control plan as the area of influence; assess the implementation of actions to reduce source water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levels; and identify any significant new sources of </w:t>
      </w:r>
      <w:r>
        <w:rPr>
          <w:rFonts w:ascii="Times New Roman" w:hAnsi="Times New Roman"/>
          <w:b w:val="false"/>
          <w:i/>
          <w:color w:val="000000"/>
          <w:sz w:val="22"/>
        </w:rPr>
        <w:t>Cryptosporidium.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department determines that significant changes may have occurred in the watershed since the previous watershed sanitary survey, systems must undergo another watershed sanitary survey by the date specified by the department, which may be earlier than the regular schedule of a three- or five-year frequency.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system must make the watershed control plan, annual status reports, and watershed sanitary survey reports available to the public upon request. These documents must be in a plain language style and include criteria by which to evaluate the success of the program in achieving plan goals. The department may approve systems to withhold portions of an annual status report, watershed control plan, and watershed sanitary survey from the public, based on water supply security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Withdrawal of watershed control program treatment credit. If the department determines that a system is not carrying out the approved watershed control plan, the department may withdraw the watershed control program treatment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Alternative source. </w:t>
      </w:r>
      <w:r>
        <w:rPr>
          <w:rFonts w:ascii="Times New Roman" w:hAnsi="Times New Roman"/>
          <w:b w:val="false"/>
          <w:i w:val="false"/>
          <w:color w:val="000000"/>
          <w:sz w:val="22"/>
        </w:rPr>
        <w:t xml:space="preserve">A system may conduct source water monitoring that reflects a different intake location (either in the same source or for an alternate source) or a different procedure for the timing or level of withdrawal from the source (alternative source monitoring). If the department approves, a system may determine its bin classification under </w:t>
      </w:r>
      <w:hyperlink r:id="rId581">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based on alternative source monitoring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conducting alternative source monitoring must also monitor their current plan intake concurrently, as described in </w:t>
      </w:r>
      <w:hyperlink r:id="rId582">
        <w:r>
          <w:rPr>
            <w:rStyle w:val="Hyperlink"/>
            <w:rFonts w:ascii="Times New Roman" w:hAnsi="Times New Roman"/>
            <w:b w:val="false"/>
            <w:i w:val="false"/>
            <w:color w:val="000000"/>
            <w:sz w:val="22"/>
          </w:rPr>
          <w:t>43.11(3)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source monitoring must meet the requirements for source monitoring to determine bin classification, as described in </w:t>
      </w:r>
      <w:hyperlink r:id="rId583">
        <w:r>
          <w:rPr>
            <w:rStyle w:val="Hyperlink"/>
            <w:rFonts w:ascii="Times New Roman" w:hAnsi="Times New Roman"/>
            <w:b w:val="false"/>
            <w:i w:val="false"/>
            <w:color w:val="000000"/>
            <w:sz w:val="22"/>
          </w:rPr>
          <w:t>43.11(3)</w:t>
        </w:r>
      </w:hyperlink>
      <w:r>
        <w:rPr>
          <w:rFonts w:ascii="Times New Roman" w:hAnsi="Times New Roman"/>
          <w:b w:val="false"/>
          <w:i w:val="false"/>
          <w:color w:val="000000"/>
          <w:sz w:val="22"/>
        </w:rPr>
        <w:t>. Systems must report to the department the alternative source monitoring results and provide supporting information documenting the operating conditions under which the samples were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system determines its bin classification under </w:t>
      </w:r>
      <w:hyperlink r:id="rId584">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using alternative source monitoring results that reflect a different intake location or a different procedure for managing the timing or level of withdrawal from the source, the system must relocate the intake or permanently adopt the withdrawal procedure, as applicable, no later than the applicable treatment compliance date in </w:t>
      </w:r>
      <w:hyperlink r:id="rId585">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43.11(10)</w:t>
      </w:r>
      <w:r>
        <w:rPr>
          <w:rFonts w:ascii="Times New Roman" w:hAnsi="Times New Roman"/>
          <w:b w:val="false"/>
          <w:i w:val="false"/>
          <w:color w:val="000000"/>
          <w:sz w:val="22"/>
        </w:rPr>
        <w:t> </w:t>
      </w:r>
      <w:r>
        <w:rPr>
          <w:rFonts w:ascii="Times New Roman" w:hAnsi="Times New Roman"/>
          <w:b w:val="false"/>
          <w:i/>
          <w:color w:val="000000"/>
          <w:sz w:val="22"/>
        </w:rPr>
        <w:t xml:space="preserve">Prefiltration treatment toolbox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Presedimentation. </w:t>
      </w:r>
      <w:r>
        <w:rPr>
          <w:rFonts w:ascii="Times New Roman" w:hAnsi="Times New Roman"/>
          <w:b w:val="false"/>
          <w:i w:val="false"/>
          <w:color w:val="000000"/>
          <w:sz w:val="22"/>
        </w:rPr>
        <w:t xml:space="preserve">Systems receive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a presedimentation basin during any month the process meets the criteria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presedimentation basin must be in continuous operation and must treat the entire plant flow taken from a surface water or influenced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must continuously add a coagulant to the presedimentation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presedimentation basin must achieve either of the following performance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Demonstrates at least 0.5-log mean reduction of influent turbidity. This reduction must be determined using daily turbidity measurements in the presedimentation process influent and effluent and must be calculated as follows: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(monthly mean of daily influent turbidity)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(monthly mean of daily effluent turbidity).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Complies with department-approved performance criteria that demonstrate at least 0.5-log mean removal of micron-sized particulate material through the presedimentation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Two-stage lime softening. </w:t>
      </w:r>
      <w:r>
        <w:rPr>
          <w:rFonts w:ascii="Times New Roman" w:hAnsi="Times New Roman"/>
          <w:b w:val="false"/>
          <w:i w:val="false"/>
          <w:color w:val="000000"/>
          <w:sz w:val="22"/>
        </w:rPr>
        <w:t xml:space="preserve">Systems receive an additional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a two-stage lime softening plant if chemical addition and hardness precipitation occur in two separate and sequential softening stages prior to filtration. Both softening stages must treat the entire plant flow taken from a surface water or influenced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Bank filtration. </w:t>
      </w:r>
      <w:r>
        <w:rPr>
          <w:rFonts w:ascii="Times New Roman" w:hAnsi="Times New Roman"/>
          <w:b w:val="false"/>
          <w:i w:val="false"/>
          <w:color w:val="000000"/>
          <w:sz w:val="22"/>
        </w:rPr>
        <w:t xml:space="preserve">Systems receive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bank filtration that serves as pretreatment to a filtration plant by meeting the criteria in this paragraph. Systems using bank filtration when they begin source water monitoring under </w:t>
      </w:r>
      <w:hyperlink r:id="rId586">
        <w:r>
          <w:rPr>
            <w:rStyle w:val="Hyperlink"/>
            <w:rFonts w:ascii="Times New Roman" w:hAnsi="Times New Roman"/>
            <w:b w:val="false"/>
            <w:i w:val="false"/>
            <w:color w:val="000000"/>
            <w:sz w:val="22"/>
          </w:rPr>
          <w:t>43.11(3)</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collect samples as described in </w:t>
      </w:r>
      <w:hyperlink r:id="rId587">
        <w:r>
          <w:rPr>
            <w:rStyle w:val="Hyperlink"/>
            <w:rFonts w:ascii="Times New Roman" w:hAnsi="Times New Roman"/>
            <w:b w:val="false"/>
            <w:i w:val="false"/>
            <w:color w:val="000000"/>
            <w:sz w:val="22"/>
          </w:rPr>
          <w:t>43.11(3)</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are not eligible for this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credit. Wells with a groundwater flow path of at least 25 feet receive 0.5-log treatment credit; wells with a groundwater flow path of at least 50 feet receive 1.0-log treatment credit. The groundwater flow path must be determined as specified in </w:t>
      </w:r>
      <w:hyperlink r:id="rId588">
        <w:r>
          <w:rPr>
            <w:rStyle w:val="Hyperlink"/>
            <w:rFonts w:ascii="Times New Roman" w:hAnsi="Times New Roman"/>
            <w:b w:val="false"/>
            <w:i w:val="false"/>
            <w:color w:val="000000"/>
            <w:sz w:val="22"/>
          </w:rPr>
          <w:t>43.11(10)</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Granular aquifers only. Only wells in granular aquifers are eligible for treatment credit. Granular aquifers are those comprised of sand, clay, silt, rock fragments, pebbles or larger particles, and minor cement. A system must characterize the aquifer at the well site to determine aquifer properties. Systems must extract a core from the aquifer and demonstrate that in at least 90 percent of the core length, grains less than 1.0 mm in diameter constitute at least 10 percent of the core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Horizontal and vertical wells only. Only horizontal and vertical wells are eligible for treatment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Measurement of groundwater flow path. For vertical wells, the groundwater flow path is the measured distance from the edge of the surface water body under high flow conditions (determined by the 100-year floodplain elevation boundary or by the floodway, as defined in Federal Emergency Management Agency flood hazard maps) to the well screen. For horizontal wells, the groundwater flow path is the measured distance from the bed of the river under normal flow conditions to the closest horizontal well lateral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Turbidity monitoring at the wellhead. Systems must monitor each wellhead for turbidity at least once every four hours while the bank filtration process is in operation. If monthly average turbidity levels, based on daily maximum values in the well, exceed 1 NTU, the system must report this result to the department and conduct an assessment within 30 days to determine the cause of the high turbidity levels in the well. If the department determines that microbial removal has been compromised, the department may revoke treatment credit until the system implements corrective actions approved by the department to remediate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Springs and infiltration galleries. This treatment credit is not eligible for springs and infiltration galleries. Springs and infiltration galleries are eligible for credit through demonstration of performance study under 43.11(11)</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Bank filtration demonstration of performance. The department may approve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bank filtration based on a demonstration of performance study that meets the criteria in this subparagraph. This treatment credit may be greater than 1.0-log and may be awarded to bank filtration that does not meet the criteria in 43.11(10)</w:t>
      </w:r>
      <w:r>
        <w:rPr>
          <w:rFonts w:ascii="Times New Roman" w:hAnsi="Times New Roman"/>
          <w:b w:val="false"/>
          <w:i/>
          <w:color w:val="000000"/>
          <w:sz w:val="22"/>
        </w:rPr>
        <w:t>“c”</w:t>
      </w:r>
      <w:r>
        <w:rPr>
          <w:rFonts w:ascii="Times New Roman" w:hAnsi="Times New Roman"/>
          <w:b w:val="false"/>
          <w:i w:val="false"/>
          <w:color w:val="000000"/>
          <w:sz w:val="22"/>
        </w:rPr>
        <w:t>(1) to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study must follow a protocol approved by the department and must involve the collection of data on the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or a surrogate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and related hydrogeologic and water quality parameters during the full range of operating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study must include sampling both from the production well(s) and from monitoring wells that are screened and located along the shortest flow path between the surface water source and the production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43.11(11)</w:t>
      </w:r>
      <w:r>
        <w:rPr>
          <w:rFonts w:ascii="Times New Roman" w:hAnsi="Times New Roman"/>
          <w:b w:val="false"/>
          <w:i w:val="false"/>
          <w:color w:val="000000"/>
          <w:sz w:val="22"/>
        </w:rPr>
        <w:t> </w:t>
      </w:r>
      <w:r>
        <w:rPr>
          <w:rFonts w:ascii="Times New Roman" w:hAnsi="Times New Roman"/>
          <w:b w:val="false"/>
          <w:i/>
          <w:color w:val="000000"/>
          <w:sz w:val="22"/>
        </w:rPr>
        <w:t xml:space="preserve">Treatment performance toolbox components. </w:t>
      </w:r>
      <w:r>
        <w:rPr>
          <w:rFonts w:ascii="Times New Roman" w:hAnsi="Times New Roman"/>
          <w:b w:val="false"/>
          <w:i w:val="false"/>
          <w:color w:val="000000"/>
          <w:sz w:val="22"/>
        </w:rPr>
        <w:t>This option pertains to physical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Combined filter performance. </w:t>
      </w:r>
      <w:r>
        <w:rPr>
          <w:rFonts w:ascii="Times New Roman" w:hAnsi="Times New Roman"/>
          <w:b w:val="false"/>
          <w:i w:val="false"/>
          <w:color w:val="000000"/>
          <w:sz w:val="22"/>
        </w:rPr>
        <w:t xml:space="preserve">Systems using conventional filtration treatment or direct filtration treatment receive an additional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during any month the system meets the criteria in this paragraph. Combined filter effluent (CFE) turbidity must be less than or equal to 0.15 NTU in at least 95 percent of the measurements. Turbidity must be measured as described in </w:t>
      </w:r>
      <w:hyperlink r:id="rId589">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xml:space="preserve"> and, if applicable, </w:t>
      </w:r>
      <w:hyperlink r:id="rId590">
        <w:r>
          <w:rPr>
            <w:rStyle w:val="Hyperlink"/>
            <w:rFonts w:ascii="Times New Roman" w:hAnsi="Times New Roman"/>
            <w:b w:val="false"/>
            <w:i w:val="false"/>
            <w:color w:val="000000"/>
            <w:sz w:val="22"/>
          </w:rPr>
          <w:t>43.10(4)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performance. </w:t>
      </w:r>
      <w:r>
        <w:rPr>
          <w:rFonts w:ascii="Times New Roman" w:hAnsi="Times New Roman"/>
          <w:b w:val="false"/>
          <w:i w:val="false"/>
          <w:color w:val="000000"/>
          <w:sz w:val="22"/>
        </w:rPr>
        <w:t xml:space="preserve">Systems using conventional filtration treatment or direct filtration treatment receive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during any month the system meets the criteria in this paragraph, which can be in addition to the CFE 0.5-log credit from </w:t>
      </w:r>
      <w:hyperlink r:id="rId591">
        <w:r>
          <w:rPr>
            <w:rStyle w:val="Hyperlink"/>
            <w:rFonts w:ascii="Times New Roman" w:hAnsi="Times New Roman"/>
            <w:b w:val="false"/>
            <w:i w:val="false"/>
            <w:color w:val="000000"/>
            <w:sz w:val="22"/>
          </w:rPr>
          <w:t>43.11(11)</w:t>
        </w:r>
        <w:r>
          <w:rPr>
            <w:rFonts w:ascii="Times New Roman" w:hAnsi="Times New Roman"/>
            <w:b w:val="false"/>
            <w:i/>
            <w:color w:val="000000"/>
            <w:sz w:val="22"/>
          </w:rPr>
          <w:t>“a.”</w:t>
        </w:r>
      </w:hyperlink>
      <w:r>
        <w:rPr>
          <w:rFonts w:ascii="Times New Roman" w:hAnsi="Times New Roman"/>
          <w:b w:val="false"/>
          <w:i w:val="false"/>
          <w:color w:val="000000"/>
          <w:sz w:val="22"/>
        </w:rPr>
        <w:t xml:space="preserve"> Compliance with these criteria must be based on individual filter turbidity monitoring as described in </w:t>
      </w:r>
      <w:hyperlink r:id="rId592">
        <w:r>
          <w:rPr>
            <w:rStyle w:val="Hyperlink"/>
            <w:rFonts w:ascii="Times New Roman" w:hAnsi="Times New Roman"/>
            <w:b w:val="false"/>
            <w:i w:val="false"/>
            <w:color w:val="000000"/>
            <w:sz w:val="22"/>
          </w:rPr>
          <w:t>43.9(4)</w:t>
        </w:r>
      </w:hyperlink>
      <w:r>
        <w:rPr>
          <w:rFonts w:ascii="Times New Roman" w:hAnsi="Times New Roman"/>
          <w:b w:val="false"/>
          <w:i w:val="false"/>
          <w:color w:val="000000"/>
          <w:sz w:val="22"/>
        </w:rPr>
        <w:t xml:space="preserve"> or </w:t>
      </w:r>
      <w:hyperlink r:id="rId593">
        <w:r>
          <w:rPr>
            <w:rStyle w:val="Hyperlink"/>
            <w:rFonts w:ascii="Times New Roman" w:hAnsi="Times New Roman"/>
            <w:b w:val="false"/>
            <w:i w:val="false"/>
            <w:color w:val="000000"/>
            <w:sz w:val="22"/>
          </w:rPr>
          <w:t>43.10(5)</w:t>
        </w:r>
      </w:hyperlink>
      <w:r>
        <w:rPr>
          <w:rFonts w:ascii="Times New Roman" w:hAnsi="Times New Roman"/>
          <w:b w:val="false"/>
          <w:i w:val="false"/>
          <w:color w:val="000000"/>
          <w:sz w:val="22"/>
        </w:rPr>
        <w: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filtered water turbidity for each individual filter must be less than or equal to 0.15 NTU in at least 95 percent of the measurements recorded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individual filter may have a measured turbidity greater than 0.3 NTU in two consecutive measurements taken 15 minutes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that has received treatment credit for individual filter performance and fails to meet the requirements of </w:t>
      </w:r>
      <w:hyperlink r:id="rId594">
        <w:r>
          <w:rPr>
            <w:rStyle w:val="Hyperlink"/>
            <w:rFonts w:ascii="Times New Roman" w:hAnsi="Times New Roman"/>
            <w:b w:val="false"/>
            <w:i w:val="false"/>
            <w:color w:val="000000"/>
            <w:sz w:val="22"/>
          </w:rPr>
          <w:t>43.11(11)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 during any month shall not receive a treatment technique violation under </w:t>
      </w:r>
      <w:hyperlink r:id="rId595">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xml:space="preserve"> if the department determines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failure was due to unusual and short-term circumstances that could not reasonably be prevented through optimizing the treatment plant design, operation, and maintenance.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system has experienced no more than two such failures in any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performance. </w:t>
      </w:r>
      <w:r>
        <w:rPr>
          <w:rFonts w:ascii="Times New Roman" w:hAnsi="Times New Roman"/>
          <w:b w:val="false"/>
          <w:i w:val="false"/>
          <w:color w:val="000000"/>
          <w:sz w:val="22"/>
        </w:rPr>
        <w:t xml:space="preserve">The department may approve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drinking water treatment processes based on a demonstration of performance study that meets the criteria in this paragraph. This treatment credit may be greater than or less than the prescribed treatment credits in </w:t>
      </w:r>
      <w:hyperlink r:id="rId596">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xml:space="preserve"> or </w:t>
      </w:r>
      <w:hyperlink r:id="rId597">
        <w:r>
          <w:rPr>
            <w:rStyle w:val="Hyperlink"/>
            <w:rFonts w:ascii="Times New Roman" w:hAnsi="Times New Roman"/>
            <w:b w:val="false"/>
            <w:i w:val="false"/>
            <w:color w:val="000000"/>
            <w:sz w:val="22"/>
          </w:rPr>
          <w:t>43.11(10)</w:t>
        </w:r>
      </w:hyperlink>
      <w:r>
        <w:rPr>
          <w:rFonts w:ascii="Times New Roman" w:hAnsi="Times New Roman"/>
          <w:b w:val="false"/>
          <w:i w:val="false"/>
          <w:color w:val="000000"/>
          <w:sz w:val="22"/>
        </w:rPr>
        <w:t xml:space="preserve"> through </w:t>
      </w:r>
      <w:hyperlink r:id="rId598">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and may be awarded to treatment processes that do not meet the criteria for the prescribed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cannot receive the prescribed treatment credit for any toolbox option in </w:t>
      </w:r>
      <w:hyperlink r:id="rId599">
        <w:r>
          <w:rPr>
            <w:rStyle w:val="Hyperlink"/>
            <w:rFonts w:ascii="Times New Roman" w:hAnsi="Times New Roman"/>
            <w:b w:val="false"/>
            <w:i w:val="false"/>
            <w:color w:val="000000"/>
            <w:sz w:val="22"/>
          </w:rPr>
          <w:t>43.11(10)</w:t>
        </w:r>
      </w:hyperlink>
      <w:r>
        <w:rPr>
          <w:rFonts w:ascii="Times New Roman" w:hAnsi="Times New Roman"/>
          <w:b w:val="false"/>
          <w:i w:val="false"/>
          <w:color w:val="000000"/>
          <w:sz w:val="22"/>
        </w:rPr>
        <w:t xml:space="preserve"> through </w:t>
      </w:r>
      <w:hyperlink r:id="rId600">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if that toolbox option is included in a demonstration of performance study for which treatment credit is awarded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demonstration of performance study must follow a department-approved protocol and must demonstrate the level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reduction the treatment process will achieve under the full range of expected operating conditions for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Approval by the department must be in writing and may include monitoring and treatment performance criteria that the system must demonstrate and report on an ongoing basis to remain eligible for the treatment credit. The department may designate such criteria where necessary to verify that the conditions under which the demonstration of performance credit was approved are maintained during routine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43.11(12)</w:t>
      </w:r>
      <w:r>
        <w:rPr>
          <w:rFonts w:ascii="Times New Roman" w:hAnsi="Times New Roman"/>
          <w:b w:val="false"/>
          <w:i w:val="false"/>
          <w:color w:val="000000"/>
          <w:sz w:val="22"/>
        </w:rPr>
        <w:t> </w:t>
      </w:r>
      <w:r>
        <w:rPr>
          <w:rFonts w:ascii="Times New Roman" w:hAnsi="Times New Roman"/>
          <w:b w:val="false"/>
          <w:i/>
          <w:color w:val="000000"/>
          <w:sz w:val="22"/>
        </w:rPr>
        <w:t xml:space="preserve">Additional filtration toolbox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Bag and cartridge filters. </w:t>
      </w:r>
      <w:r>
        <w:rPr>
          <w:rFonts w:ascii="Times New Roman" w:hAnsi="Times New Roman"/>
          <w:b w:val="false"/>
          <w:i w:val="false"/>
          <w:color w:val="000000"/>
          <w:sz w:val="22"/>
        </w:rPr>
        <w:t xml:space="preserve">By meeting the criteria in this paragraph, systems receive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of up to 2.0-log for the use of individual bag or cartridge filters and up to 2.5-log for the use of bag or cartridge filters operated in series. To be eligible for this credit, systems must report the results of challenge testing that meets the requirements of </w:t>
      </w:r>
      <w:hyperlink r:id="rId601">
        <w:r>
          <w:rPr>
            <w:rStyle w:val="Hyperlink"/>
            <w:rFonts w:ascii="Times New Roman" w:hAnsi="Times New Roman"/>
            <w:b w:val="false"/>
            <w:i w:val="false"/>
            <w:color w:val="000000"/>
            <w:sz w:val="22"/>
          </w:rPr>
          <w:t>43.11(12)</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through </w:t>
      </w:r>
      <w:hyperlink r:id="rId602">
        <w:r>
          <w:rPr>
            <w:rStyle w:val="Hyperlink"/>
            <w:rFonts w:ascii="Times New Roman" w:hAnsi="Times New Roman"/>
            <w:b w:val="false"/>
            <w:i w:val="false"/>
            <w:color w:val="000000"/>
            <w:sz w:val="22"/>
          </w:rPr>
          <w:t>43.11(12)</w:t>
        </w:r>
        <w:r>
          <w:rPr>
            <w:rFonts w:ascii="Times New Roman" w:hAnsi="Times New Roman"/>
            <w:b w:val="false"/>
            <w:i/>
            <w:color w:val="000000"/>
            <w:sz w:val="22"/>
          </w:rPr>
          <w:t>“a”</w:t>
        </w:r>
        <w:r>
          <w:rPr>
            <w:rFonts w:ascii="Times New Roman" w:hAnsi="Times New Roman"/>
            <w:b w:val="false"/>
            <w:i w:val="false"/>
            <w:color w:val="000000"/>
            <w:sz w:val="22"/>
          </w:rPr>
          <w:t>(9)</w:t>
        </w:r>
      </w:hyperlink>
      <w:r>
        <w:rPr>
          <w:rFonts w:ascii="Times New Roman" w:hAnsi="Times New Roman"/>
          <w:b w:val="false"/>
          <w:i w:val="false"/>
          <w:color w:val="000000"/>
          <w:sz w:val="22"/>
        </w:rPr>
        <w:t xml:space="preserve"> to the department. The filters must treat the entire plant flow taken from a surface water or influenced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awarded for use of bag or cartridge filters must be based on the removal efficiency demonstrated during challenge testing that is conducted in accordance with the criteria in </w:t>
      </w:r>
      <w:hyperlink r:id="rId603">
        <w:r>
          <w:rPr>
            <w:rStyle w:val="Hyperlink"/>
            <w:rFonts w:ascii="Times New Roman" w:hAnsi="Times New Roman"/>
            <w:b w:val="false"/>
            <w:i w:val="false"/>
            <w:color w:val="000000"/>
            <w:sz w:val="22"/>
          </w:rPr>
          <w:t>43.11(12)</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through </w:t>
      </w:r>
      <w:hyperlink r:id="rId604">
        <w:r>
          <w:rPr>
            <w:rStyle w:val="Hyperlink"/>
            <w:rFonts w:ascii="Times New Roman" w:hAnsi="Times New Roman"/>
            <w:b w:val="false"/>
            <w:i w:val="false"/>
            <w:color w:val="000000"/>
            <w:sz w:val="22"/>
          </w:rPr>
          <w:t>43.11(12)</w:t>
        </w:r>
        <w:r>
          <w:rPr>
            <w:rFonts w:ascii="Times New Roman" w:hAnsi="Times New Roman"/>
            <w:b w:val="false"/>
            <w:i/>
            <w:color w:val="000000"/>
            <w:sz w:val="22"/>
          </w:rPr>
          <w:t>“a”</w:t>
        </w:r>
        <w:r>
          <w:rPr>
            <w:rFonts w:ascii="Times New Roman" w:hAnsi="Times New Roman"/>
            <w:b w:val="false"/>
            <w:i w:val="false"/>
            <w:color w:val="000000"/>
            <w:sz w:val="22"/>
          </w:rPr>
          <w:t>(9)</w:t>
        </w:r>
      </w:hyperlink>
      <w:r>
        <w:rPr>
          <w:rFonts w:ascii="Times New Roman" w:hAnsi="Times New Roman"/>
          <w:b w:val="false"/>
          <w:i w:val="false"/>
          <w:color w:val="000000"/>
          <w:sz w:val="22"/>
        </w:rPr>
        <w:t>. A safety factor equal to 1-log for individual bag or cartridge filters and 0.5-log for bag or cartridge filters in series must be applied to challenge testing results to determine removal credit. Systems may use results from challenge testing conducted prior to January 5, 2006, if the prior testing was consistent with the criteria specified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Challenge testing must be performed on full-scale bag or cartridge filters, and the associated filter housing or pressure vessel, that are identical in material and construction to the filters and housings the system will use for removal of </w:t>
      </w:r>
      <w:r>
        <w:rPr>
          <w:rFonts w:ascii="Times New Roman" w:hAnsi="Times New Roman"/>
          <w:b w:val="false"/>
          <w:i/>
          <w:color w:val="000000"/>
          <w:sz w:val="22"/>
        </w:rPr>
        <w:t>Cryptosporidium</w:t>
      </w:r>
      <w:r>
        <w:rPr>
          <w:rFonts w:ascii="Times New Roman" w:hAnsi="Times New Roman"/>
          <w:b w:val="false"/>
          <w:i w:val="false"/>
          <w:color w:val="000000"/>
          <w:sz w:val="22"/>
        </w:rPr>
        <w:t>. Bag or cartridge filters must be challenge tested in the same configuration that the system will use, either as individual filters or as a series configuration of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Challenge testing must be conducted using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or a surrogate that is removed no more efficiently than </w:t>
      </w:r>
      <w:r>
        <w:rPr>
          <w:rFonts w:ascii="Times New Roman" w:hAnsi="Times New Roman"/>
          <w:b w:val="false"/>
          <w:i/>
          <w:color w:val="000000"/>
          <w:sz w:val="22"/>
        </w:rPr>
        <w:t>Cryptosporidium</w:t>
      </w:r>
      <w:r>
        <w:rPr>
          <w:rFonts w:ascii="Times New Roman" w:hAnsi="Times New Roman"/>
          <w:b w:val="false"/>
          <w:i w:val="false"/>
          <w:color w:val="000000"/>
          <w:sz w:val="22"/>
        </w:rPr>
        <w:t>. The microorganism or surrogate used during challenge testing is referred to as the challenge particulate. The concentration of the challenge particulate must be determined using a method capable of discretely quantifying the specific microorganisms or surrogate used in the test; gross measurements such as turbidity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maximum feed water concentration that can be used during a challenge test must be based on the detection limit of the challenge particulate in the filtrate (i.e., filtrate detection limit) and must be calculated using this equation:</w:t>
      </w:r>
    </w:p>
    <w:p>
      <w:pPr>
        <w:spacing w:before="0" w:after="0"/>
        <w:ind w:left="120"/>
        <w:jc w:val="both"/>
      </w:pPr>
      <w:r>
        <w:rPr>
          <w:rFonts w:ascii="Times New Roman" w:hAnsi="Times New Roman"/>
          <w:b w:val="false"/>
          <w:i w:val="false"/>
          <w:color w:val="000000"/>
          <w:sz w:val="22"/>
        </w:rPr>
        <w:t>Maximum Feed Water Concentration = 10,000 × Filtrate Detection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Challenge testing must be conducted at the maximum design flow rate for the filter as specified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filter evaluated must be tested for a duration sufficient to reach 100 percent of the terminal pressure drop, which thereby establishes the maximum pressure drop under which the filter may be used to comply with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Removal efficiency of a filter must be determined from the results of the challenge test and expressed in terms of log removal values using the following equation:</w:t>
      </w:r>
    </w:p>
    <w:p>
      <w:pPr>
        <w:spacing w:before="0" w:after="0"/>
        <w:ind w:left="120"/>
        <w:jc w:val="both"/>
      </w:pPr>
      <w:r>
        <w:rPr>
          <w:rFonts w:ascii="Times New Roman" w:hAnsi="Times New Roman"/>
          <w:b w:val="false"/>
          <w:i w:val="false"/>
          <w:color w:val="000000"/>
          <w:sz w:val="22"/>
        </w:rPr>
        <w:t>LRV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LRV = log removal value demonstrated during challenge test;</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xml:space="preserve"> = the feed concentration measured during the challenge test; and</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 the filtrate concentration measured during the challenge test.</w:t>
      </w:r>
    </w:p>
    <w:p>
      <w:pPr>
        <w:spacing w:before="0" w:after="0"/>
        <w:ind w:left="120"/>
        <w:jc w:val="both"/>
      </w:pPr>
      <w:r>
        <w:rPr>
          <w:rFonts w:ascii="Times New Roman" w:hAnsi="Times New Roman"/>
          <w:b w:val="false"/>
          <w:i w:val="false"/>
          <w:color w:val="000000"/>
          <w:sz w:val="22"/>
        </w:rPr>
        <w:t>Equivalent units must be used for the feed and filtrate concentrations. If the challenge particulate is not detected in the filtrate, the term 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must be set equal to the detection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filter tested must be challenged with the challenge particulate during three periods over the filtration cycle: within two hours of start-up of a new filter; when the pressure drop is between 45 and 55 percent of the terminal pressure drop; and at the end of the cycle after the pressure drop has reached 100 percent of the terminal pressure drop. An LRV must be calculated for each of these challenge periods for each filter tested. The LRV for the filter (LRV</w:t>
      </w:r>
      <w:r>
        <w:rPr>
          <w:rFonts w:ascii="Times New Roman" w:hAnsi="Times New Roman"/>
          <w:b w:val="false"/>
          <w:i w:val="false"/>
          <w:color w:val="000000"/>
          <w:sz w:val="18"/>
          <w:vertAlign w:val="subscript"/>
        </w:rPr>
        <w:t>filter</w:t>
      </w:r>
      <w:r>
        <w:rPr>
          <w:rFonts w:ascii="Times New Roman" w:hAnsi="Times New Roman"/>
          <w:b w:val="false"/>
          <w:i w:val="false"/>
          <w:color w:val="000000"/>
          <w:sz w:val="22"/>
        </w:rPr>
        <w:t>) must be assigned the value of the minimum LRV observed during the three challenge periods for that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fewer than 20 filters are tested, the overall removal efficiency for the filter product line must be set equal to the lowest LRV</w:t>
      </w:r>
      <w:r>
        <w:rPr>
          <w:rFonts w:ascii="Times New Roman" w:hAnsi="Times New Roman"/>
          <w:b w:val="false"/>
          <w:i w:val="false"/>
          <w:color w:val="000000"/>
          <w:sz w:val="18"/>
          <w:vertAlign w:val="subscript"/>
        </w:rPr>
        <w:t>filter</w:t>
      </w:r>
      <w:r>
        <w:rPr>
          <w:rFonts w:ascii="Times New Roman" w:hAnsi="Times New Roman"/>
          <w:b w:val="false"/>
          <w:i w:val="false"/>
          <w:color w:val="000000"/>
          <w:sz w:val="22"/>
        </w:rPr>
        <w:t xml:space="preserve"> among the filters tested. If 20 or more filters are tested, the overall removal efficiency for the filter product line must be set equal to the tenth percentile of the set of LRV</w:t>
      </w:r>
      <w:r>
        <w:rPr>
          <w:rFonts w:ascii="Times New Roman" w:hAnsi="Times New Roman"/>
          <w:b w:val="false"/>
          <w:i w:val="false"/>
          <w:color w:val="000000"/>
          <w:sz w:val="18"/>
          <w:vertAlign w:val="subscript"/>
        </w:rPr>
        <w:t xml:space="preserve">filter </w:t>
      </w:r>
      <w:r>
        <w:rPr>
          <w:rFonts w:ascii="Times New Roman" w:hAnsi="Times New Roman"/>
          <w:b w:val="false"/>
          <w:i w:val="false"/>
          <w:color w:val="000000"/>
          <w:sz w:val="22"/>
        </w:rPr>
        <w:t>values for the various filters tested. The percentile is defined by [i/(n+1)] where “i” is the rank of “n” individual data points ordered lowest to highest. If necessary, the tenth percentile may be calculated using linear interpolation.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 previously tested filter is modified in a manner that could change the removal efficiency of the filter product line, challenge testing to demonstrate the removal efficiency of the modified filter must be conducted and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Membrane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receive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using membrane filtration that meets the criteria of this paragraph. Systems using membrane cartridge filters that meet the definition of membrane filtration in </w:t>
      </w:r>
      <w:hyperlink r:id="rId605">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are eligible for this credit. The level of treatment credit a system receives is equal to the lower of the values determined under the following two paragraphs: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removal efficiency demonstrated during challenge testing conducted under the criteria in </w:t>
      </w:r>
      <w:hyperlink r:id="rId606">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maximum removal efficiency that can be verified through direct integrity testing used with the membrane filtration process under the conditions in </w:t>
      </w:r>
      <w:hyperlink r:id="rId607">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Challenge testing. The membrane used by the system must undergo challenge testing to evaluate removal efficiency, and the system must report the results of challenge testing to the department. Challenge testing must be conducted according to the criteria listed in this subparagraph. Systems may use data from challenge testing conducted prior to January 5, 2006, if the prior testing was consistent with the criteria listed in this subparagraph.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Challenge testing must be conducted on either a full-scale membrane module, identical in material and construction to the membrane modules used in the system’s treatment facility, or a smaller-scale membrane module, identical in material and similar in construction to the full-scale module. A module is defined as the smallest component of a membrane unit in which a specific membrane surface area is housed in a device with a filtrate outlet structure.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Challenge testing must be conducted using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 or a surrogate that is removed no more efficiently than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 The organisms or surrogate used during challenge testing is referred to as the challenge particulate. The concentration of the challenge particulate, in both the feed and filtrate water, must be determined using a method capable of discretely quantifying the specific challenge particulate used in the test; gross measurements such as turbidity shall not be used.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maximum feed water concentration that can be used during a challenge test is based on the detection limit of the challenge particulate in the filtrate and must be determined according to the following equation:</w:t>
      </w:r>
    </w:p>
    <w:p>
      <w:pPr>
        <w:spacing w:before="0" w:after="0"/>
        <w:ind w:left="120"/>
        <w:jc w:val="both"/>
      </w:pPr>
      <w:r>
        <w:rPr>
          <w:rFonts w:ascii="Times New Roman" w:hAnsi="Times New Roman"/>
          <w:b w:val="false"/>
          <w:i w:val="false"/>
          <w:color w:val="000000"/>
          <w:sz w:val="22"/>
        </w:rPr>
        <w:t>Maximum Feed Water Concentration = 3,160,000 × Filtrate Detection Limit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Challenge testing must be conducted under representative hydraulic conditions at the maximum design flux and maximum design process recovery specified by the manufacturer for the membrane module. Flux is defined as the throughput of a pressure-driven membrane process expressed as flow per unit of membrane area. Recovery is defined as the volumetric percent of feed water that is converted to filtrate over the course of an operating cycle uninterrupted by events such as chemical cleaning or a solids removal process (i.e., backwashing).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Removal efficiency of a membrane module must be calculated from the challenge test results and expressed as a log removal value according to the following equation:</w:t>
      </w:r>
    </w:p>
    <w:p>
      <w:pPr>
        <w:spacing w:before="0" w:after="0"/>
        <w:ind w:left="120"/>
        <w:jc w:val="both"/>
      </w:pPr>
      <w:r>
        <w:rPr>
          <w:rFonts w:ascii="Times New Roman" w:hAnsi="Times New Roman"/>
          <w:b w:val="false"/>
          <w:i w:val="false"/>
          <w:color w:val="000000"/>
          <w:sz w:val="22"/>
        </w:rPr>
        <w:t>LRV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LRV = log removal value demonstrated during challenge test;</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xml:space="preserve"> = the feed concentration measured during the challenge test; and</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 the filtrate concentration measured during the challenge test.</w:t>
      </w:r>
    </w:p>
    <w:p>
      <w:pPr>
        <w:spacing w:before="0" w:after="0"/>
        <w:ind w:left="120"/>
        <w:jc w:val="both"/>
      </w:pPr>
      <w:r>
        <w:rPr>
          <w:rFonts w:ascii="Times New Roman" w:hAnsi="Times New Roman"/>
          <w:b w:val="false"/>
          <w:i w:val="false"/>
          <w:color w:val="000000"/>
          <w:sz w:val="22"/>
        </w:rPr>
        <w:t>Equivalent units must be used for the feed and filtrate concentrations. If the challenge particulate is not detected in the filtrate, the term 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must be set equal to the detection limit for the purpose of calculating the LRV. An LRV must be calculated for each membrane module evaluated during the challenge test.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removal efficiency of a membrane filtration process demonstrated during challenge testing must be expressed as a log removal value (LRV</w:t>
      </w:r>
      <w:r>
        <w:rPr>
          <w:rFonts w:ascii="Times New Roman" w:hAnsi="Times New Roman"/>
          <w:b w:val="false"/>
          <w:i w:val="false"/>
          <w:color w:val="000000"/>
          <w:sz w:val="18"/>
          <w:vertAlign w:val="subscript"/>
        </w:rPr>
        <w:t>C-Test</w:t>
      </w:r>
      <w:r>
        <w:rPr>
          <w:rFonts w:ascii="Times New Roman" w:hAnsi="Times New Roman"/>
          <w:b w:val="false"/>
          <w:i w:val="false"/>
          <w:color w:val="000000"/>
          <w:sz w:val="22"/>
        </w:rPr>
        <w:t>). If fewer than 20 modules are tested, then LRV</w:t>
      </w:r>
      <w:r>
        <w:rPr>
          <w:rFonts w:ascii="Times New Roman" w:hAnsi="Times New Roman"/>
          <w:b w:val="false"/>
          <w:i w:val="false"/>
          <w:color w:val="000000"/>
          <w:sz w:val="18"/>
          <w:vertAlign w:val="subscript"/>
        </w:rPr>
        <w:t>C-Test</w:t>
      </w:r>
      <w:r>
        <w:rPr>
          <w:rFonts w:ascii="Times New Roman" w:hAnsi="Times New Roman"/>
          <w:b w:val="false"/>
          <w:i w:val="false"/>
          <w:color w:val="000000"/>
          <w:sz w:val="22"/>
        </w:rPr>
        <w:t xml:space="preserve"> is equal to the lowest of the representative LRVs among the modules tested. If 20 or more modules are tested, then LRV</w:t>
      </w:r>
      <w:r>
        <w:rPr>
          <w:rFonts w:ascii="Times New Roman" w:hAnsi="Times New Roman"/>
          <w:b w:val="false"/>
          <w:i w:val="false"/>
          <w:color w:val="000000"/>
          <w:sz w:val="18"/>
          <w:vertAlign w:val="subscript"/>
        </w:rPr>
        <w:t xml:space="preserve">C-Test </w:t>
      </w:r>
      <w:r>
        <w:rPr>
          <w:rFonts w:ascii="Times New Roman" w:hAnsi="Times New Roman"/>
          <w:b w:val="false"/>
          <w:i w:val="false"/>
          <w:color w:val="000000"/>
          <w:sz w:val="22"/>
        </w:rPr>
        <w:t>is equal to the tenth percentile of the representative LRVs among the modules tested. The percentile is defined by [i/(n+1)] where “i” is the rank of “n” individual data points ordered lowest to highest. If necessary, the tenth percentile may be calculated using linear interpolation.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challenge test must establish a quality control release value (QCRV) for a nondestructive performance test that demonstrates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removal capability of the membrane filtration module. In order to verify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removal capability, this performance test must be applied to each production membrane module that was not directly challenge tested but was used by the system. Production modules that do not meet the established QCRV are not eligible for the treatment credit demonstrated during the challenge test.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If a previously tested membrane is modified in a manner that could change the removal efficiency of the membrane or the applicability of the nondestructive performance test and associated QCRV, additional challenge testing to demonstrate the removal efficiency of the modified membrane must be conducted and submitted to the department, along with determination of a new QCRV.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 integrity testing. Systems must conduct direct integrity testing in a manner that demonstrates a removal efficiency equal to or greater than the removal credit awarded for the membrane filtration process and meets the requirements described in this subparagraph. A direct integrity test is defined as a physical test applied to a membrane unit in order to identify and isolate integrity breaches (i.e., one or more leaks that could result in contamination of the filtrate).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direct integrity test must be independently applied to each membrane unit in service. A membrane unit is defined as a group of membrane modules that share common valving that allows the unit to be isolated from the rest of the system for the purpose of integrity testing or other maintenance.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direct integrity method must have a resolution of 3 micrometers or less, where resolution is defined as the size of the smallest integrity breach that contributes to a response from the direct integrity test.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direct integrity test must have a sensitivity sufficient to verify the log treatment credit awarded by the department for the membrane filtration process, where sensitivity is defined as the maximum log removal value that can be reliably verified by a direct integrity test. Sensitivity must be determined using the approach in either of the following paragraphs as applicable to the type of direct integrity test the system uses.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direct integrity tests using applied pressure or vacuum, the direct integrity test sensitivity must be calculated according to the following equation:</w:t>
      </w:r>
    </w:p>
    <w:p>
      <w:pPr>
        <w:spacing w:before="0" w:after="0"/>
        <w:ind w:left="120"/>
        <w:jc w:val="both"/>
      </w:pPr>
      <w:r>
        <w:rPr>
          <w:rFonts w:ascii="Times New Roman" w:hAnsi="Times New Roman"/>
          <w:b w:val="false"/>
          <w:i w:val="false"/>
          <w:color w:val="000000"/>
          <w:sz w:val="22"/>
        </w:rPr>
        <w:t>LRV</w:t>
      </w:r>
      <w:r>
        <w:rPr>
          <w:rFonts w:ascii="Times New Roman" w:hAnsi="Times New Roman"/>
          <w:b w:val="false"/>
          <w:i w:val="false"/>
          <w:color w:val="000000"/>
          <w:sz w:val="18"/>
          <w:vertAlign w:val="subscript"/>
        </w:rPr>
        <w:t>DIT</w:t>
      </w:r>
      <w:r>
        <w:rPr>
          <w:rFonts w:ascii="Times New Roman" w:hAnsi="Times New Roman"/>
          <w:b w:val="false"/>
          <w:i w:val="false"/>
          <w:color w:val="000000"/>
          <w:sz w:val="22"/>
        </w:rPr>
        <w:t xml:space="preserve">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[Q</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/(VCF × Q</w:t>
      </w:r>
      <w:r>
        <w:rPr>
          <w:rFonts w:ascii="Times New Roman" w:hAnsi="Times New Roman"/>
          <w:b w:val="false"/>
          <w:i w:val="false"/>
          <w:color w:val="000000"/>
          <w:sz w:val="18"/>
          <w:vertAlign w:val="subscript"/>
        </w:rPr>
        <w:t>breach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LRV</w:t>
      </w:r>
      <w:r>
        <w:rPr>
          <w:rFonts w:ascii="Times New Roman" w:hAnsi="Times New Roman"/>
          <w:b w:val="false"/>
          <w:i w:val="false"/>
          <w:color w:val="000000"/>
          <w:sz w:val="18"/>
          <w:vertAlign w:val="subscript"/>
        </w:rPr>
        <w:t>DIT</w:t>
      </w:r>
      <w:r>
        <w:rPr>
          <w:rFonts w:ascii="Times New Roman" w:hAnsi="Times New Roman"/>
          <w:b w:val="false"/>
          <w:i w:val="false"/>
          <w:color w:val="000000"/>
          <w:sz w:val="22"/>
        </w:rPr>
        <w:t xml:space="preserve"> = the sensitivity of the direct integrity test;</w:t>
      </w:r>
    </w:p>
    <w:p>
      <w:pPr>
        <w:spacing w:before="0" w:after="0"/>
        <w:ind w:left="120"/>
        <w:jc w:val="both"/>
      </w:pPr>
      <w:r>
        <w:rPr>
          <w:rFonts w:ascii="Times New Roman" w:hAnsi="Times New Roman"/>
          <w:b w:val="false"/>
          <w:i w:val="false"/>
          <w:color w:val="000000"/>
          <w:sz w:val="22"/>
        </w:rPr>
        <w:t>Q</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 total design filtrate flow from the membrane unit;</w:t>
      </w:r>
    </w:p>
    <w:p>
      <w:pPr>
        <w:spacing w:before="0" w:after="0"/>
        <w:ind w:left="120"/>
        <w:jc w:val="both"/>
      </w:pPr>
      <w:r>
        <w:rPr>
          <w:rFonts w:ascii="Times New Roman" w:hAnsi="Times New Roman"/>
          <w:b w:val="false"/>
          <w:i w:val="false"/>
          <w:color w:val="000000"/>
          <w:sz w:val="22"/>
        </w:rPr>
        <w:t>Q</w:t>
      </w:r>
      <w:r>
        <w:rPr>
          <w:rFonts w:ascii="Times New Roman" w:hAnsi="Times New Roman"/>
          <w:b w:val="false"/>
          <w:i w:val="false"/>
          <w:color w:val="000000"/>
          <w:sz w:val="18"/>
          <w:vertAlign w:val="subscript"/>
        </w:rPr>
        <w:t>breach</w:t>
      </w:r>
      <w:r>
        <w:rPr>
          <w:rFonts w:ascii="Times New Roman" w:hAnsi="Times New Roman"/>
          <w:b w:val="false"/>
          <w:i w:val="false"/>
          <w:color w:val="000000"/>
          <w:sz w:val="22"/>
        </w:rPr>
        <w:t xml:space="preserve"> = flow of water from an integrity breach associated with the smallest integrity test response that can be reliably measured; and</w:t>
      </w:r>
    </w:p>
    <w:p>
      <w:pPr>
        <w:spacing w:before="0" w:after="0"/>
        <w:ind w:left="120"/>
        <w:jc w:val="both"/>
      </w:pPr>
      <w:r>
        <w:rPr>
          <w:rFonts w:ascii="Times New Roman" w:hAnsi="Times New Roman"/>
          <w:b w:val="false"/>
          <w:i w:val="false"/>
          <w:color w:val="000000"/>
          <w:sz w:val="22"/>
        </w:rPr>
        <w:t>VCF = volumetric concentration factor, which is the ratio of the suspended solids concentration on the high-pressure side of the membrane relative to that in the feed 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direct integrity tests using a particulate or molecular marker, the direct integrity test sensitivity must be calculated according to the following equation:</w:t>
      </w:r>
    </w:p>
    <w:p>
      <w:pPr>
        <w:spacing w:before="0" w:after="0"/>
        <w:ind w:left="120"/>
        <w:jc w:val="both"/>
      </w:pPr>
      <w:r>
        <w:rPr>
          <w:rFonts w:ascii="Times New Roman" w:hAnsi="Times New Roman"/>
          <w:b w:val="false"/>
          <w:i w:val="false"/>
          <w:color w:val="000000"/>
          <w:sz w:val="22"/>
        </w:rPr>
        <w:t>LRV</w:t>
      </w:r>
      <w:r>
        <w:rPr>
          <w:rFonts w:ascii="Times New Roman" w:hAnsi="Times New Roman"/>
          <w:b w:val="false"/>
          <w:i w:val="false"/>
          <w:color w:val="000000"/>
          <w:sz w:val="18"/>
          <w:vertAlign w:val="subscript"/>
        </w:rPr>
        <w:t>DIT</w:t>
      </w:r>
      <w:r>
        <w:rPr>
          <w:rFonts w:ascii="Times New Roman" w:hAnsi="Times New Roman"/>
          <w:b w:val="false"/>
          <w:i w:val="false"/>
          <w:color w:val="000000"/>
          <w:sz w:val="22"/>
        </w:rPr>
        <w:t xml:space="preserve">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LRV</w:t>
      </w:r>
      <w:r>
        <w:rPr>
          <w:rFonts w:ascii="Times New Roman" w:hAnsi="Times New Roman"/>
          <w:b w:val="false"/>
          <w:i w:val="false"/>
          <w:color w:val="000000"/>
          <w:sz w:val="18"/>
          <w:vertAlign w:val="subscript"/>
        </w:rPr>
        <w:t>DIT</w:t>
      </w:r>
      <w:r>
        <w:rPr>
          <w:rFonts w:ascii="Times New Roman" w:hAnsi="Times New Roman"/>
          <w:b w:val="false"/>
          <w:i w:val="false"/>
          <w:color w:val="000000"/>
          <w:sz w:val="22"/>
        </w:rPr>
        <w:t xml:space="preserve"> = the sensitivity of the direct integrity test;</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xml:space="preserve"> = the typical feed concentration of the marker used in the test; and</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 the filtrate concentration of the marker from an integral membrane unit.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Systems must establish a control limit within the sensitivity limits of the direct integrity test that is indicative of an integral membrane unit capable of meeting the removal credit awarded by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If the result of a direct integrity test exceeds the control limit established under </w:t>
      </w:r>
      <w:hyperlink r:id="rId608">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“4,” the system must remove the membrane unit from service. Systems must conduct a direct integrity test to verify any repairs and may return the membrane unit to service only if the direct integrity test is within the established control limit.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Systems must conduct direct integrity testing on each membrane unit at a frequency of not less than once each day that the membrane unit is in operation. The department may approve less frequent testing, based on demonstrated process reliability, the use of multiple barriers effective for </w:t>
      </w:r>
      <w:r>
        <w:rPr>
          <w:rFonts w:ascii="Times New Roman" w:hAnsi="Times New Roman"/>
          <w:b w:val="false"/>
          <w:i/>
          <w:color w:val="000000"/>
          <w:sz w:val="22"/>
        </w:rPr>
        <w:t>Cryptosporidium</w:t>
      </w:r>
      <w:r>
        <w:rPr>
          <w:rFonts w:ascii="Times New Roman" w:hAnsi="Times New Roman"/>
          <w:b w:val="false"/>
          <w:i w:val="false"/>
          <w:color w:val="000000"/>
          <w:sz w:val="22"/>
        </w:rPr>
        <w:t>, or reliable process safeguards.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Indirect integrity monitoring. Systems must conduct continuous indirect integrity monitoring on each membrane unit according to the following criteria. Indirect integrity monitoring is defined as monitoring some aspect of filtrate water quality that is indicative of the removal of particulate matter. A system that implements continuous direct integrity testing of membrane units in accordance with the criteria in </w:t>
      </w:r>
      <w:hyperlink r:id="rId609">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is not subject to the requirements for continuous indirect integrity monitoring. Systems must submit a monthly report to the department summarizing all continuous indirect integrity monitoring results triggering direct integrity testing and the corrective action that was taken in each case.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Unless the department approves an alternative parameter, continuous indirect integrity monitoring must include continuous filtrate turbidity monitoring.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Continuous monitoring must be conducted at a frequency of no less than once every 15 minutes.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Continuous monitoring must be separately conducted on each membrane unit.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indirect integrity monitoring includes turbidity and if the filtrate turbidity readings are above 0.15 NTU for a period greater than 15 minutes (i.e., two consecutive 15-minute readings above 0.15 NTU), direct integrity testing must immediately be performed on the associated membrane unit as specified in </w:t>
      </w:r>
      <w:hyperlink r:id="rId610">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“1” through </w:t>
      </w:r>
      <w:hyperlink r:id="rId611">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If indirect integrity monitoring includes a department-approved alternative parameter and if the alternative parameter exceeds a department-approved control limit for a period greater than 15 minutes, direct integrity testing must immediately be performed on the associated membrane units as specified in </w:t>
      </w:r>
      <w:hyperlink r:id="rId612">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“1” through </w:t>
      </w:r>
      <w:hyperlink r:id="rId613">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Second-stage filtration. </w:t>
      </w:r>
      <w:r>
        <w:rPr>
          <w:rFonts w:ascii="Times New Roman" w:hAnsi="Times New Roman"/>
          <w:b w:val="false"/>
          <w:i w:val="false"/>
          <w:color w:val="000000"/>
          <w:sz w:val="22"/>
        </w:rPr>
        <w:t xml:space="preserve">Systems receive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using a separate second stage of filtration that consists of sand, dual media, GAC, or other fine-grain media following granular media filtration if the department approves. To be eligible for this credit, the first stage of filtration must be preceded by a coagulation step and both filtration stages must treat the entire plant flow taken from a surface water or influenced groundwater source. A cap, such as GAC, on a single stage of filtration is not eligible for this credit. The department must approve the treatment credit based on an assessment of the design characteristics of the filtration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Slow sand filtration (as secondary filter). </w:t>
      </w:r>
      <w:r>
        <w:rPr>
          <w:rFonts w:ascii="Times New Roman" w:hAnsi="Times New Roman"/>
          <w:b w:val="false"/>
          <w:i w:val="false"/>
          <w:color w:val="000000"/>
          <w:sz w:val="22"/>
        </w:rPr>
        <w:t xml:space="preserve">Systems are eligible to receive 2.5-log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using a slow sand filtration process that follows a separate stage of filtration if both filtration stages treat entire plant flow taken from a surface water or influenced groundwater source and no disinfectant residual is present in the influent water to the slow sand filtration process. The department must base its approval of the treatment credit on an assessment of the design characteristics of the filtration process. This does not apply to treatment credit awarded for slow sand filtration used as a primary filtration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43.11(13)</w:t>
      </w:r>
      <w:r>
        <w:rPr>
          <w:rFonts w:ascii="Times New Roman" w:hAnsi="Times New Roman"/>
          <w:b w:val="false"/>
          <w:i w:val="false"/>
          <w:color w:val="000000"/>
          <w:sz w:val="22"/>
        </w:rPr>
        <w:t> </w:t>
      </w:r>
      <w:r>
        <w:rPr>
          <w:rFonts w:ascii="Times New Roman" w:hAnsi="Times New Roman"/>
          <w:b w:val="false"/>
          <w:i/>
          <w:color w:val="000000"/>
          <w:sz w:val="22"/>
        </w:rPr>
        <w:t xml:space="preserve">Inactivation toolbox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CT values.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CT is the product of the disinfectant contact time (T, in minutes) and disinfectant concentration (C, in milligrams per liter). Systems with treatment credit for chlorine dioxide or ozone under </w:t>
      </w:r>
      <w:hyperlink r:id="rId614">
        <w:r>
          <w:rPr>
            <w:rStyle w:val="Hyperlink"/>
            <w:rFonts w:ascii="Times New Roman" w:hAnsi="Times New Roman"/>
            <w:b w:val="false"/>
            <w:i w:val="false"/>
            <w:color w:val="000000"/>
            <w:sz w:val="22"/>
          </w:rPr>
          <w:t>43.11(13)</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must calculate CT at least once each day, with both C and T measured during peak hourly flow as specified in </w:t>
      </w:r>
      <w:hyperlink r:id="rId615">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with several disinfection segments in sequence may calculate CT for each segment, where a disinfection segment is defined as a treatment unit process with a measureable disinfectant residual level and a liquid volume. Under this approach, systems must add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CT values in each segment to determine the total CT for the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CT values for chlorine dioxide and ozone.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 described in </w:t>
      </w:r>
      <w:hyperlink r:id="rId616">
        <w:r>
          <w:rPr>
            <w:rStyle w:val="Hyperlink"/>
            <w:rFonts w:ascii="Times New Roman" w:hAnsi="Times New Roman"/>
            <w:b w:val="false"/>
            <w:i w:val="false"/>
            <w:color w:val="000000"/>
            <w:sz w:val="22"/>
          </w:rPr>
          <w:t>43.11(13)</w:t>
        </w:r>
        <w:r>
          <w:rPr>
            <w:rFonts w:ascii="Times New Roman" w:hAnsi="Times New Roman"/>
            <w:b w:val="false"/>
            <w:i/>
            <w:color w:val="000000"/>
            <w:sz w:val="22"/>
          </w:rPr>
          <w:t>“a,”</w:t>
        </w:r>
      </w:hyperlink>
      <w:r>
        <w:rPr>
          <w:rFonts w:ascii="Times New Roman" w:hAnsi="Times New Roman"/>
          <w:b w:val="false"/>
          <w:i w:val="false"/>
          <w:color w:val="000000"/>
          <w:sz w:val="22"/>
        </w:rPr>
        <w:t xml:space="preserve"> systems receive the </w:t>
      </w:r>
      <w:r>
        <w:rPr>
          <w:rFonts w:ascii="Times New Roman" w:hAnsi="Times New Roman"/>
          <w:b w:val="false"/>
          <w:i/>
          <w:color w:val="000000"/>
          <w:sz w:val="22"/>
        </w:rPr>
        <w:t xml:space="preserve">Cryptosporidium </w:t>
      </w:r>
      <w:r>
        <w:rPr>
          <w:rFonts w:ascii="Times New Roman" w:hAnsi="Times New Roman"/>
          <w:b w:val="false"/>
          <w:i w:val="false"/>
          <w:color w:val="000000"/>
          <w:sz w:val="22"/>
        </w:rPr>
        <w:t>treatment credit listed in Table 1 of Appendix B by meeting the corresponding chlorine dioxide CT value for the applicable 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described in </w:t>
      </w:r>
      <w:hyperlink r:id="rId617">
        <w:r>
          <w:rPr>
            <w:rStyle w:val="Hyperlink"/>
            <w:rFonts w:ascii="Times New Roman" w:hAnsi="Times New Roman"/>
            <w:b w:val="false"/>
            <w:i w:val="false"/>
            <w:color w:val="000000"/>
            <w:sz w:val="22"/>
          </w:rPr>
          <w:t>43.11(13)</w:t>
        </w:r>
        <w:r>
          <w:rPr>
            <w:rFonts w:ascii="Times New Roman" w:hAnsi="Times New Roman"/>
            <w:b w:val="false"/>
            <w:i/>
            <w:color w:val="000000"/>
            <w:sz w:val="22"/>
          </w:rPr>
          <w:t>“a,”</w:t>
        </w:r>
      </w:hyperlink>
      <w:r>
        <w:rPr>
          <w:rFonts w:ascii="Times New Roman" w:hAnsi="Times New Roman"/>
          <w:b w:val="false"/>
          <w:i w:val="false"/>
          <w:color w:val="000000"/>
          <w:sz w:val="22"/>
        </w:rPr>
        <w:t xml:space="preserve"> systems receive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listed in Table 2 of Appendix B by meeting the corresponding ozone CT value for the applicable 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Site-specific study. </w:t>
      </w:r>
      <w:r>
        <w:rPr>
          <w:rFonts w:ascii="Times New Roman" w:hAnsi="Times New Roman"/>
          <w:b w:val="false"/>
          <w:i w:val="false"/>
          <w:color w:val="000000"/>
          <w:sz w:val="22"/>
        </w:rPr>
        <w:t xml:space="preserve">The department may approve alternative chlorine dioxide or ozone CT values to those listed in </w:t>
      </w:r>
      <w:hyperlink r:id="rId618">
        <w:r>
          <w:rPr>
            <w:rStyle w:val="Hyperlink"/>
            <w:rFonts w:ascii="Times New Roman" w:hAnsi="Times New Roman"/>
            <w:b w:val="false"/>
            <w:i w:val="false"/>
            <w:color w:val="000000"/>
            <w:sz w:val="22"/>
          </w:rPr>
          <w:t>43.11(13)</w:t>
        </w:r>
        <w:r>
          <w:rPr>
            <w:rFonts w:ascii="Times New Roman" w:hAnsi="Times New Roman"/>
            <w:b w:val="false"/>
            <w:i/>
            <w:color w:val="000000"/>
            <w:sz w:val="22"/>
          </w:rPr>
          <w:t>“b”</w:t>
        </w:r>
      </w:hyperlink>
      <w:r>
        <w:rPr>
          <w:rFonts w:ascii="Times New Roman" w:hAnsi="Times New Roman"/>
          <w:b w:val="false"/>
          <w:i w:val="false"/>
          <w:color w:val="000000"/>
          <w:sz w:val="22"/>
        </w:rPr>
        <w:t xml:space="preserve"> on a site-specific basis. The department must base its approval on a site-specific study conducted by the system. The study must follow a department-approved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Ultraviolet light. </w:t>
      </w:r>
      <w:r>
        <w:rPr>
          <w:rFonts w:ascii="Times New Roman" w:hAnsi="Times New Roman"/>
          <w:b w:val="false"/>
          <w:i w:val="false"/>
          <w:color w:val="000000"/>
          <w:sz w:val="22"/>
        </w:rPr>
        <w:t xml:space="preserve">Systems receive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w:t>
      </w:r>
      <w:r>
        <w:rPr>
          <w:rFonts w:ascii="Times New Roman" w:hAnsi="Times New Roman"/>
          <w:b w:val="false"/>
          <w:i/>
          <w:color w:val="000000"/>
          <w:sz w:val="22"/>
        </w:rPr>
        <w:t>Giardia lamblia</w:t>
      </w:r>
      <w:r>
        <w:rPr>
          <w:rFonts w:ascii="Times New Roman" w:hAnsi="Times New Roman"/>
          <w:b w:val="false"/>
          <w:i w:val="false"/>
          <w:color w:val="000000"/>
          <w:sz w:val="22"/>
        </w:rPr>
        <w:t>, and virus treatment credits for ultraviolet (UV) light reactors by achieving the corresponding UV dose values shown in Table 3 of Appendix B. Systems must use the following procedures to validate and monitor UV reactors in order to demonstrate that the reactors are achieving a particular UV dose value for treatment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Reactor validation testing. Systems must use UV reactors that have undergone validation testing to determine the operating conditions under which the reactor delivers the required UV dose (i.e., validated operating conditions). These operating conditions must include flow rate, UV intensity as measured by a UV sensor, and UV lamp status.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determining validated operating conditions, systems must account for the following factors: UV absorbance of the water; lamp fouling and aging; measurement uncertainty of on-line sensors; UV dose distributions arising from the velocity profiles through the reactor; failure of UV lamps or other critical system components; and inlet and outlet piping or channel configurations of the UV reactor.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Validation testing must include the following: full-scale testing of a reactor that conforms uniformly to the UV reactors used by the system and inactivation of a test microorganism whose dose response characteristics have been quantified with a low-pressure mercury vapor lamp.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may approve an alternative approach to validation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Reactor monitoring.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Systems must monitor their UV reactors to determine if the reactors are operating within validated conditions, as determined under </w:t>
      </w:r>
      <w:hyperlink r:id="rId619">
        <w:r>
          <w:rPr>
            <w:rStyle w:val="Hyperlink"/>
            <w:rFonts w:ascii="Times New Roman" w:hAnsi="Times New Roman"/>
            <w:b w:val="false"/>
            <w:i w:val="false"/>
            <w:color w:val="000000"/>
            <w:sz w:val="22"/>
          </w:rPr>
          <w:t>43.11(13)</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This monitoring must include UV sensor, flow rate, lamp status, and other parameters the department designates based on UV reactor operation. Systems must verify the calibration of UV sensors and must recalibrate sensors in accordance with a protocol approved by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To receive treatment credit for UV light, systems must treat at least 95 percent of the water delivered to the public during each month by UV reactors operating within validated conditions for the required UV dose. Systems must demonstrate compliance with this condition by the monitoring required under </w:t>
      </w:r>
      <w:hyperlink r:id="rId620">
        <w:r>
          <w:rPr>
            <w:rStyle w:val="Hyperlink"/>
            <w:rFonts w:ascii="Times New Roman" w:hAnsi="Times New Roman"/>
            <w:b w:val="false"/>
            <w:i w:val="false"/>
            <w:color w:val="000000"/>
            <w:sz w:val="22"/>
          </w:rPr>
          <w:t>43.11(13)</w:t>
        </w:r>
        <w:r>
          <w:rPr>
            <w:rFonts w:ascii="Times New Roman" w:hAnsi="Times New Roman"/>
            <w:b w:val="false"/>
            <w:i/>
            <w:color w:val="000000"/>
            <w:sz w:val="22"/>
          </w:rPr>
          <w:t>“d”</w:t>
        </w:r>
        <w:r>
          <w:rPr>
            <w:rFonts w:ascii="Times New Roman" w:hAnsi="Times New Roman"/>
            <w:b w:val="false"/>
            <w:i w:val="false"/>
            <w:color w:val="000000"/>
            <w:sz w:val="22"/>
          </w:rPr>
          <w:t>(2)“1.”</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Sampling schedules and monitoring results. </w:t>
      </w:r>
      <w:r>
        <w:rPr>
          <w:rFonts w:ascii="Times New Roman" w:hAnsi="Times New Roman"/>
          <w:b w:val="false"/>
          <w:i w:val="false"/>
          <w:color w:val="000000"/>
          <w:sz w:val="22"/>
        </w:rPr>
        <w:t xml:space="preserve">Systems must report source water sampling schedules and monitoring results under </w:t>
      </w:r>
      <w:hyperlink r:id="rId621">
        <w:r>
          <w:rPr>
            <w:rStyle w:val="Hyperlink"/>
            <w:rFonts w:ascii="Times New Roman" w:hAnsi="Times New Roman"/>
            <w:b w:val="false"/>
            <w:i w:val="false"/>
            <w:color w:val="000000"/>
            <w:sz w:val="22"/>
          </w:rPr>
          <w:t>43.11(3)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622">
        <w:r>
          <w:rPr>
            <w:rStyle w:val="Hyperlink"/>
            <w:rFonts w:ascii="Times New Roman" w:hAnsi="Times New Roman"/>
            <w:b w:val="false"/>
            <w:i w:val="false"/>
            <w:color w:val="000000"/>
            <w:sz w:val="22"/>
          </w:rPr>
          <w:t>43.11(3)</w:t>
        </w:r>
        <w:r>
          <w:rPr>
            <w:rFonts w:ascii="Times New Roman" w:hAnsi="Times New Roman"/>
            <w:b w:val="false"/>
            <w:i/>
            <w:color w:val="000000"/>
            <w:sz w:val="22"/>
          </w:rPr>
          <w:t>“e,”</w:t>
        </w:r>
      </w:hyperlink>
      <w:r>
        <w:rPr>
          <w:rFonts w:ascii="Times New Roman" w:hAnsi="Times New Roman"/>
          <w:b w:val="false"/>
          <w:i w:val="false"/>
          <w:color w:val="000000"/>
          <w:sz w:val="22"/>
        </w:rPr>
        <w:t xml:space="preserve"> unless the systems notify the department that they will not conduct source water monitoring due to meeting the criteria of 5.5-log treatment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under </w:t>
      </w:r>
      <w:hyperlink r:id="rId623">
        <w:r>
          <w:rPr>
            <w:rStyle w:val="Hyperlink"/>
            <w:rFonts w:ascii="Times New Roman" w:hAnsi="Times New Roman"/>
            <w:b w:val="false"/>
            <w:i w:val="false"/>
            <w:color w:val="000000"/>
            <w:sz w:val="22"/>
          </w:rPr>
          <w:t>43.11(3)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Cryptosporidium bin classification. </w:t>
      </w:r>
      <w:r>
        <w:rPr>
          <w:rFonts w:ascii="Times New Roman" w:hAnsi="Times New Roman"/>
          <w:b w:val="false"/>
          <w:i w:val="false"/>
          <w:color w:val="000000"/>
          <w:sz w:val="22"/>
        </w:rPr>
        <w:t xml:space="preserve">Systems must report their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bin classification determined under </w:t>
      </w:r>
      <w:hyperlink r:id="rId624">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profiles and benchmarks. </w:t>
      </w:r>
      <w:r>
        <w:rPr>
          <w:rFonts w:ascii="Times New Roman" w:hAnsi="Times New Roman"/>
          <w:b w:val="false"/>
          <w:i w:val="false"/>
          <w:color w:val="000000"/>
          <w:sz w:val="22"/>
        </w:rPr>
        <w:t xml:space="preserve">Systems must report disinfection profiles and benchmarks to the department as described in </w:t>
      </w:r>
      <w:hyperlink r:id="rId625">
        <w:r>
          <w:rPr>
            <w:rStyle w:val="Hyperlink"/>
            <w:rFonts w:ascii="Times New Roman" w:hAnsi="Times New Roman"/>
            <w:b w:val="false"/>
            <w:i w:val="false"/>
            <w:color w:val="000000"/>
            <w:sz w:val="22"/>
          </w:rPr>
          <w:t>43.11(4)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626">
        <w:r>
          <w:rPr>
            <w:rStyle w:val="Hyperlink"/>
            <w:rFonts w:ascii="Times New Roman" w:hAnsi="Times New Roman"/>
            <w:b w:val="false"/>
            <w:i w:val="false"/>
            <w:color w:val="000000"/>
            <w:sz w:val="22"/>
          </w:rPr>
          <w:t>43.11(4)</w:t>
        </w:r>
        <w:r>
          <w:rPr>
            <w:rFonts w:ascii="Times New Roman" w:hAnsi="Times New Roman"/>
            <w:b w:val="false"/>
            <w:i/>
            <w:color w:val="000000"/>
            <w:sz w:val="22"/>
          </w:rPr>
          <w:t>“b”</w:t>
        </w:r>
      </w:hyperlink>
      <w:r>
        <w:rPr>
          <w:rFonts w:ascii="Times New Roman" w:hAnsi="Times New Roman"/>
          <w:b w:val="false"/>
          <w:i w:val="false"/>
          <w:color w:val="000000"/>
          <w:sz w:val="22"/>
        </w:rPr>
        <w:t xml:space="preserve"> prior to making a significant change in disinfection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Microbial toolbox options. </w:t>
      </w:r>
      <w:r>
        <w:rPr>
          <w:rFonts w:ascii="Times New Roman" w:hAnsi="Times New Roman"/>
          <w:b w:val="false"/>
          <w:i w:val="false"/>
          <w:color w:val="000000"/>
          <w:sz w:val="22"/>
        </w:rPr>
        <w:t xml:space="preserve">Systems must report to the department in accordance with Table 7 for any microbial toolbox options used to comply with treatment requirements under </w:t>
      </w:r>
      <w:hyperlink r:id="rId627">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val="false"/>
          <w:i w:val="false"/>
          <w:color w:val="000000"/>
          <w:sz w:val="22"/>
        </w:rPr>
        <w:t>Table 7: Microbial Toolbox Reporting Requirements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840"/>
        <w:gridCol w:w="3840"/>
        <w:gridCol w:w="0"/>
      </w:tblGrid>
      <w:tr>
        <w:trPr>
          <w:trHeight w:val="420" w:hRule="atLeast"/>
        </w:trPr>
        <w:tc>
          <w:tcPr>
            <w:tcW w:w="384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Toolbox Option</w:t>
            </w:r>
          </w:p>
        </w:tc>
        <w:tc>
          <w:tcPr>
            <w:tcW w:w="384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Systems must submit this information</w:t>
            </w:r>
          </w:p>
        </w:tc>
        <w:tc>
          <w:tcPr>
            <w:tcW w:w="384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Information must be submitted</w:t>
            </w:r>
            <w:r>
              <w:br/>
            </w:r>
            <w:r>
              <w:rPr>
                <w:rFonts w:ascii="Times New Roman" w:hAnsi="Times New Roman"/>
                <w:b w:val="false"/>
                <w:i w:val="false"/>
                <w:color w:val="000000"/>
                <w:sz w:val="16"/>
              </w:rPr>
              <w:t>on this schedule</w:t>
            </w:r>
          </w:p>
        </w:tc>
      </w:tr>
      <w:tr>
        <w:trPr>
          <w:trHeight w:val="600" w:hRule="atLeast"/>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Watershed control program</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Notice of intention to develop a new or continue an existing watershed control program</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No later than two years before the applicable treatment compliance date in </w:t>
            </w:r>
            <w:hyperlink r:id="rId628">
              <w:r>
                <w:rPr>
                  <w:rStyle w:val="Hyperlink"/>
                  <w:rFonts w:ascii="Times New Roman" w:hAnsi="Times New Roman"/>
                  <w:b w:val="false"/>
                  <w:i w:val="false"/>
                  <w:color w:val="000000"/>
                  <w:sz w:val="16"/>
                </w:rPr>
                <w:t>43.11(7)</w:t>
              </w:r>
            </w:hyperlink>
          </w:p>
        </w:tc>
      </w:tr>
      <w:tr>
        <w:trPr>
          <w:trHeight w:val="58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Watershed control plan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No later than one year before the applicable treatment compliance date in </w:t>
            </w:r>
            <w:hyperlink r:id="rId629">
              <w:r>
                <w:rPr>
                  <w:rStyle w:val="Hyperlink"/>
                  <w:rFonts w:ascii="Times New Roman" w:hAnsi="Times New Roman"/>
                  <w:b w:val="false"/>
                  <w:i w:val="false"/>
                  <w:color w:val="000000"/>
                  <w:sz w:val="16"/>
                </w:rPr>
                <w:t>43.11(7)</w:t>
              </w:r>
            </w:hyperlink>
          </w:p>
        </w:tc>
      </w:tr>
      <w:tr>
        <w:trPr>
          <w:trHeight w:val="58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Annual watershed control program status report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Every 12 months, beginning one year after the applicable treatment compliance date in </w:t>
            </w:r>
            <w:hyperlink r:id="rId630">
              <w:r>
                <w:rPr>
                  <w:rStyle w:val="Hyperlink"/>
                  <w:rFonts w:ascii="Times New Roman" w:hAnsi="Times New Roman"/>
                  <w:b w:val="false"/>
                  <w:i w:val="false"/>
                  <w:color w:val="000000"/>
                  <w:sz w:val="16"/>
                </w:rPr>
                <w:t>43.11(7)</w:t>
              </w:r>
            </w:hyperlink>
          </w:p>
        </w:tc>
      </w:tr>
      <w:tr>
        <w:trPr>
          <w:trHeight w:val="1470"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Watershed sanitary survey report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 For community water systems, every three years beginning three years after the applicable treatment compliance date in </w:t>
            </w:r>
            <w:hyperlink r:id="rId631">
              <w:r>
                <w:rPr>
                  <w:rStyle w:val="Hyperlink"/>
                  <w:rFonts w:ascii="Times New Roman" w:hAnsi="Times New Roman"/>
                  <w:b w:val="false"/>
                  <w:i w:val="false"/>
                  <w:color w:val="000000"/>
                  <w:sz w:val="16"/>
                </w:rPr>
                <w:t>43.11(7)</w:t>
              </w:r>
            </w:hyperlink>
            <w:r>
              <w:br/>
            </w:r>
            <w:r>
              <w:rPr>
                <w:rFonts w:ascii="Times New Roman" w:hAnsi="Times New Roman"/>
                <w:b w:val="false"/>
                <w:i w:val="false"/>
                <w:color w:val="000000"/>
                <w:sz w:val="16"/>
              </w:rPr>
              <w:t xml:space="preserve"> - For noncommunity water systems, every five years beginning five years after the applicable treatment compliance date in </w:t>
            </w:r>
            <w:hyperlink r:id="rId632">
              <w:r>
                <w:rPr>
                  <w:rStyle w:val="Hyperlink"/>
                  <w:rFonts w:ascii="Times New Roman" w:hAnsi="Times New Roman"/>
                  <w:b w:val="false"/>
                  <w:i w:val="false"/>
                  <w:color w:val="000000"/>
                  <w:sz w:val="16"/>
                </w:rPr>
                <w:t>43.11(7)</w:t>
              </w:r>
            </w:hyperlink>
          </w:p>
        </w:tc>
      </w:tr>
      <w:tr>
        <w:trPr>
          <w:trHeight w:val="58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Alternative source/intake</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management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Verification that system has relocated the intake or adopted the intake withdrawal procedure reflected in monitoring results</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No later than the applicable treatment compliance date in </w:t>
            </w:r>
            <w:hyperlink r:id="rId633">
              <w:r>
                <w:rPr>
                  <w:rStyle w:val="Hyperlink"/>
                  <w:rFonts w:ascii="Times New Roman" w:hAnsi="Times New Roman"/>
                  <w:b w:val="false"/>
                  <w:i w:val="false"/>
                  <w:color w:val="000000"/>
                  <w:sz w:val="16"/>
                </w:rPr>
                <w:t>43.11(7)</w:t>
              </w:r>
            </w:hyperlink>
          </w:p>
        </w:tc>
      </w:tr>
      <w:tr>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Presedimentation</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of the following:</w:t>
            </w:r>
            <w:r>
              <w:br/>
            </w:r>
            <w:r>
              <w:rPr>
                <w:rFonts w:ascii="Times New Roman" w:hAnsi="Times New Roman"/>
                <w:b w:val="false"/>
                <w:i w:val="false"/>
                <w:color w:val="000000"/>
                <w:sz w:val="16"/>
              </w:rPr>
              <w:t xml:space="preserve"> - Continuous basin operation</w:t>
            </w:r>
            <w:r>
              <w:br/>
            </w:r>
            <w:r>
              <w:rPr>
                <w:rFonts w:ascii="Times New Roman" w:hAnsi="Times New Roman"/>
                <w:b w:val="false"/>
                <w:i w:val="false"/>
                <w:color w:val="000000"/>
                <w:sz w:val="16"/>
              </w:rPr>
              <w:t xml:space="preserve"> - Treatment of 100 percent of the flow</w:t>
            </w:r>
            <w:r>
              <w:br/>
            </w:r>
            <w:r>
              <w:rPr>
                <w:rFonts w:ascii="Times New Roman" w:hAnsi="Times New Roman"/>
                <w:b w:val="false"/>
                <w:i w:val="false"/>
                <w:color w:val="000000"/>
                <w:sz w:val="16"/>
              </w:rPr>
              <w:t xml:space="preserve"> - Continuous addition of a coagulant</w:t>
            </w:r>
            <w:r>
              <w:br/>
            </w:r>
            <w:r>
              <w:rPr>
                <w:rFonts w:ascii="Times New Roman" w:hAnsi="Times New Roman"/>
                <w:b w:val="false"/>
                <w:i w:val="false"/>
                <w:color w:val="000000"/>
                <w:sz w:val="16"/>
              </w:rPr>
              <w:t xml:space="preserve"> - At least 0.5-log mean reduction of influent turbidity or compliance with alternative department-approved performance criteria</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Monthly reporting within 10 days following the month in which the monitoring was conducted, beginning on the applicable treatment compliance date in </w:t>
            </w:r>
            <w:hyperlink r:id="rId634">
              <w:r>
                <w:rPr>
                  <w:rStyle w:val="Hyperlink"/>
                  <w:rFonts w:ascii="Times New Roman" w:hAnsi="Times New Roman"/>
                  <w:b w:val="false"/>
                  <w:i w:val="false"/>
                  <w:color w:val="000000"/>
                  <w:sz w:val="16"/>
                </w:rPr>
                <w:t>43.11(7)</w:t>
              </w:r>
            </w:hyperlink>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8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Two-stage lime softening</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of the following:</w:t>
            </w:r>
            <w:r>
              <w:br/>
            </w:r>
            <w:r>
              <w:rPr>
                <w:rFonts w:ascii="Times New Roman" w:hAnsi="Times New Roman"/>
                <w:b w:val="false"/>
                <w:i w:val="false"/>
                <w:color w:val="000000"/>
                <w:sz w:val="16"/>
              </w:rPr>
              <w:t xml:space="preserve"> - Chemical addition and hardness precipitation occurred in two separate and sequential softening stages prior to filtration</w:t>
            </w:r>
            <w:r>
              <w:br/>
            </w:r>
            <w:r>
              <w:rPr>
                <w:rFonts w:ascii="Times New Roman" w:hAnsi="Times New Roman"/>
                <w:b w:val="false"/>
                <w:i w:val="false"/>
                <w:color w:val="000000"/>
                <w:sz w:val="16"/>
              </w:rPr>
              <w:t xml:space="preserve"> - Both stages treated 100 percent of plant flow</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Monthly reporting within 10 days following the month in which the monitoring was conducted, beginning on the applicable treatment compliance date in </w:t>
            </w:r>
            <w:hyperlink r:id="rId635">
              <w:r>
                <w:rPr>
                  <w:rStyle w:val="Hyperlink"/>
                  <w:rFonts w:ascii="Times New Roman" w:hAnsi="Times New Roman"/>
                  <w:b w:val="false"/>
                  <w:i w:val="false"/>
                  <w:color w:val="000000"/>
                  <w:sz w:val="16"/>
                </w:rPr>
                <w:t>43.11(7)</w:t>
              </w:r>
            </w:hyperlink>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08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Bank filtration</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Initial demonstration of the following:</w:t>
            </w:r>
            <w:r>
              <w:br/>
            </w:r>
            <w:r>
              <w:rPr>
                <w:rFonts w:ascii="Times New Roman" w:hAnsi="Times New Roman"/>
                <w:b w:val="false"/>
                <w:i w:val="false"/>
                <w:color w:val="000000"/>
                <w:sz w:val="16"/>
              </w:rPr>
              <w:t xml:space="preserve"> - Unconsolidated, predominantly sandy aquifer</w:t>
            </w:r>
            <w:r>
              <w:br/>
            </w:r>
            <w:r>
              <w:rPr>
                <w:rFonts w:ascii="Times New Roman" w:hAnsi="Times New Roman"/>
                <w:b w:val="false"/>
                <w:i w:val="false"/>
                <w:color w:val="000000"/>
                <w:sz w:val="16"/>
              </w:rPr>
              <w:t xml:space="preserve"> - Setback distance of at least 25 feet for 0.5-log credit or 50 feet for 1.0-log credit</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No later than the applicable treatment compliance date in </w:t>
            </w:r>
            <w:hyperlink r:id="rId636">
              <w:r>
                <w:rPr>
                  <w:rStyle w:val="Hyperlink"/>
                  <w:rFonts w:ascii="Times New Roman" w:hAnsi="Times New Roman"/>
                  <w:b w:val="false"/>
                  <w:i w:val="false"/>
                  <w:color w:val="000000"/>
                  <w:sz w:val="16"/>
                </w:rPr>
                <w:t>43.11(7)</w:t>
              </w:r>
            </w:hyperlink>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2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6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monthly average of daily maximum turbidity is greater than 1 NTU, then system must report result and submit an assessment of the cause.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Report within 30 days following the month in which the monitoring was conducted, beginning on the applicable treatment compliance date in </w:t>
            </w:r>
            <w:hyperlink r:id="rId637">
              <w:r>
                <w:rPr>
                  <w:rStyle w:val="Hyperlink"/>
                  <w:rFonts w:ascii="Times New Roman" w:hAnsi="Times New Roman"/>
                  <w:b w:val="false"/>
                  <w:i w:val="false"/>
                  <w:color w:val="000000"/>
                  <w:sz w:val="16"/>
                </w:rPr>
                <w:t>43.11(7)</w:t>
              </w:r>
            </w:hyperlink>
          </w:p>
        </w:tc>
      </w:tr>
      <w:tr>
        <w:trPr>
          <w:trHeight w:val="9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Combined filter performance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of combined filter effluent (CFE) turbidity levels less than or equal to 0.15 NTU in at least 95 percent of the 4-hour CFE measurements taken each month</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Monthly reporting within 10 days following the month in which the monitoring was conducted, beginning on the applicable treatment compliance date in </w:t>
            </w:r>
            <w:hyperlink r:id="rId638">
              <w:r>
                <w:rPr>
                  <w:rStyle w:val="Hyperlink"/>
                  <w:rFonts w:ascii="Times New Roman" w:hAnsi="Times New Roman"/>
                  <w:b w:val="false"/>
                  <w:i w:val="false"/>
                  <w:color w:val="000000"/>
                  <w:sz w:val="16"/>
                </w:rPr>
                <w:t>43.11(7)</w:t>
              </w:r>
            </w:hyperlink>
          </w:p>
        </w:tc>
      </w:tr>
      <w:tr>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Individual filter performance</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of the following:</w:t>
            </w:r>
            <w:r>
              <w:br/>
            </w:r>
            <w:r>
              <w:rPr>
                <w:rFonts w:ascii="Times New Roman" w:hAnsi="Times New Roman"/>
                <w:b w:val="false"/>
                <w:i w:val="false"/>
                <w:color w:val="000000"/>
                <w:sz w:val="16"/>
              </w:rPr>
              <w:t xml:space="preserve"> - Individual filter effluent (IFE) turbidity levels less than or equal to 0.15 NTU in at least 95 percent of samples each month in each filter</w:t>
            </w:r>
            <w:r>
              <w:br/>
            </w:r>
            <w:r>
              <w:rPr>
                <w:rFonts w:ascii="Times New Roman" w:hAnsi="Times New Roman"/>
                <w:b w:val="false"/>
                <w:i w:val="false"/>
                <w:color w:val="000000"/>
                <w:sz w:val="16"/>
              </w:rPr>
              <w:t xml:space="preserve"> - No individual filter effluent turbidity levels greater than 0.3 NTU in two consecutive readings 15 minutes apart</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Monthly reporting within 10 days following the month in which the monitoring was conducted, beginning on the applicable treatment compliance date in </w:t>
            </w:r>
            <w:hyperlink r:id="rId639">
              <w:r>
                <w:rPr>
                  <w:rStyle w:val="Hyperlink"/>
                  <w:rFonts w:ascii="Times New Roman" w:hAnsi="Times New Roman"/>
                  <w:b w:val="false"/>
                  <w:i w:val="false"/>
                  <w:color w:val="000000"/>
                  <w:sz w:val="16"/>
                </w:rPr>
                <w:t>43.11(7)</w:t>
              </w:r>
            </w:hyperlink>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2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Demonstration of performance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Results from testing following a department-approved protocol</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No later than the applicable treatment compliance date in </w:t>
            </w:r>
            <w:hyperlink r:id="rId640">
              <w:r>
                <w:rPr>
                  <w:rStyle w:val="Hyperlink"/>
                  <w:rFonts w:ascii="Times New Roman" w:hAnsi="Times New Roman"/>
                  <w:b w:val="false"/>
                  <w:i w:val="false"/>
                  <w:color w:val="000000"/>
                  <w:sz w:val="16"/>
                </w:rPr>
                <w:t>43.11(7)</w:t>
              </w:r>
            </w:hyperlink>
          </w:p>
        </w:tc>
      </w:tr>
      <w:tr>
        <w:trPr>
          <w:trHeight w:val="76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 required by the department, monthly verification of operation within conditions of department approval for demonstration of performance credit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Within 10 days following the month in which the monitoring was conducted, beginning on the applicable treatment compliance date in </w:t>
            </w:r>
            <w:hyperlink r:id="rId641">
              <w:r>
                <w:rPr>
                  <w:rStyle w:val="Hyperlink"/>
                  <w:rFonts w:ascii="Times New Roman" w:hAnsi="Times New Roman"/>
                  <w:b w:val="false"/>
                  <w:i w:val="false"/>
                  <w:color w:val="000000"/>
                  <w:sz w:val="16"/>
                </w:rPr>
                <w:t>43.11(7)</w:t>
              </w:r>
            </w:hyperlink>
          </w:p>
        </w:tc>
      </w:tr>
      <w:tr>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 Bag filters and cartridge filters</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Demonstration that the following criteria are met:</w:t>
            </w:r>
            <w:r>
              <w:br/>
            </w:r>
            <w:r>
              <w:rPr>
                <w:rFonts w:ascii="Times New Roman" w:hAnsi="Times New Roman"/>
                <w:b w:val="false"/>
                <w:i w:val="false"/>
                <w:color w:val="000000"/>
                <w:sz w:val="16"/>
              </w:rPr>
              <w:t xml:space="preserve"> - Process meets the definition of bag or cartridge filtration</w:t>
            </w:r>
            <w:r>
              <w:br/>
            </w:r>
            <w:r>
              <w:rPr>
                <w:rFonts w:ascii="Times New Roman" w:hAnsi="Times New Roman"/>
                <w:b w:val="false"/>
                <w:i w:val="false"/>
                <w:color w:val="000000"/>
                <w:sz w:val="16"/>
              </w:rPr>
              <w:t xml:space="preserve"> - Removal efficiency established through challenge testing that meets criteria in this subpart</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No later than the applicable treatment compliance date in </w:t>
            </w:r>
            <w:hyperlink r:id="rId642">
              <w:r>
                <w:rPr>
                  <w:rStyle w:val="Hyperlink"/>
                  <w:rFonts w:ascii="Times New Roman" w:hAnsi="Times New Roman"/>
                  <w:b w:val="false"/>
                  <w:i w:val="false"/>
                  <w:color w:val="000000"/>
                  <w:sz w:val="16"/>
                </w:rPr>
                <w:t>43.11(7)</w:t>
              </w:r>
            </w:hyperlink>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08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6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that 100 percent of plant flow was filtered</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Within 10 days following the month in which the monitoring was conducted, beginning on the applicable treatment compliance date in </w:t>
            </w:r>
            <w:hyperlink r:id="rId643">
              <w:r>
                <w:rPr>
                  <w:rStyle w:val="Hyperlink"/>
                  <w:rFonts w:ascii="Times New Roman" w:hAnsi="Times New Roman"/>
                  <w:b w:val="false"/>
                  <w:i w:val="false"/>
                  <w:color w:val="000000"/>
                  <w:sz w:val="16"/>
                </w:rPr>
                <w:t>43.11(7)</w:t>
              </w:r>
            </w:hyperlink>
          </w:p>
        </w:tc>
      </w:tr>
      <w:tr>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Membrane filtration</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Results of verification testing demonstrating the following:</w:t>
            </w:r>
            <w:r>
              <w:br/>
            </w:r>
            <w:r>
              <w:rPr>
                <w:rFonts w:ascii="Times New Roman" w:hAnsi="Times New Roman"/>
                <w:b w:val="false"/>
                <w:i w:val="false"/>
                <w:color w:val="000000"/>
                <w:sz w:val="16"/>
              </w:rPr>
              <w:t xml:space="preserve"> - Removal efficiency established through challenge testing that meets criteria</w:t>
            </w:r>
            <w:r>
              <w:br/>
            </w:r>
            <w:r>
              <w:rPr>
                <w:rFonts w:ascii="Times New Roman" w:hAnsi="Times New Roman"/>
                <w:b w:val="false"/>
                <w:i w:val="false"/>
                <w:color w:val="000000"/>
                <w:sz w:val="16"/>
              </w:rPr>
              <w:t xml:space="preserve"> - Integrity test method and parameters, including resolution, sensitivity, test frequency, control limits, and associated baseline</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No later than the applicable treatment compliance date in </w:t>
            </w:r>
            <w:hyperlink r:id="rId644">
              <w:r>
                <w:rPr>
                  <w:rStyle w:val="Hyperlink"/>
                  <w:rFonts w:ascii="Times New Roman" w:hAnsi="Times New Roman"/>
                  <w:b w:val="false"/>
                  <w:i w:val="false"/>
                  <w:color w:val="000000"/>
                  <w:sz w:val="16"/>
                </w:rPr>
                <w:t>43.11(7)</w:t>
              </w:r>
            </w:hyperlink>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2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c>
          <w:tcPr>
            <w:tcW w:w="0" w:type="auto"/>
            <w:vMerge/>
            <w:tcBorders>
              <w:top w:val="nil"/>
              <w:bottom w:val="single" w:color="000000" w:sz="8"/>
              <w:right w:val="single" w:color="000000" w:sz="8"/>
            </w:tcBorders>
          </w:tcP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report summarizing the following:</w:t>
            </w:r>
            <w:r>
              <w:br/>
            </w:r>
            <w:r>
              <w:rPr>
                <w:rFonts w:ascii="Times New Roman" w:hAnsi="Times New Roman"/>
                <w:b w:val="false"/>
                <w:i w:val="false"/>
                <w:color w:val="000000"/>
                <w:sz w:val="16"/>
              </w:rPr>
              <w:t xml:space="preserve"> - All direct integrity tests above the control limit</w:t>
            </w:r>
            <w:r>
              <w:br/>
            </w:r>
            <w:r>
              <w:rPr>
                <w:rFonts w:ascii="Times New Roman" w:hAnsi="Times New Roman"/>
                <w:b w:val="false"/>
                <w:i w:val="false"/>
                <w:color w:val="000000"/>
                <w:sz w:val="16"/>
              </w:rPr>
              <w:t xml:space="preserve"> - If applicable, any turbidity or alternative department-approved indirect integrity monitoring results triggering direct integrity testing and the corrective action that was taken</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Within 10 days following the month in which the monitoring was conducted, beginning on the applicable treatment compliance date in </w:t>
            </w:r>
            <w:hyperlink r:id="rId645">
              <w:r>
                <w:rPr>
                  <w:rStyle w:val="Hyperlink"/>
                  <w:rFonts w:ascii="Times New Roman" w:hAnsi="Times New Roman"/>
                  <w:b w:val="false"/>
                  <w:i w:val="false"/>
                  <w:color w:val="000000"/>
                  <w:sz w:val="16"/>
                </w:rPr>
                <w:t>43.11(7)</w:t>
              </w:r>
            </w:hyperlink>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44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Second-stage filtration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that 100 percent of flow was filtered through both stages and that first stage was preceded by coagulation step</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Within 10 days following the month in which the monitoring was conducted, beginning on the applicable treatment compliance date in </w:t>
            </w:r>
            <w:hyperlink r:id="rId646">
              <w:r>
                <w:rPr>
                  <w:rStyle w:val="Hyperlink"/>
                  <w:rFonts w:ascii="Times New Roman" w:hAnsi="Times New Roman"/>
                  <w:b w:val="false"/>
                  <w:i w:val="false"/>
                  <w:color w:val="000000"/>
                  <w:sz w:val="16"/>
                </w:rPr>
                <w:t>43.11(7)</w:t>
              </w:r>
            </w:hyperlink>
          </w:p>
        </w:tc>
      </w:tr>
      <w:tr>
        <w:trPr>
          <w:trHeight w:val="9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12. Slow sand filtration as a </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secondary filter</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that both a slow sand filter and a preceding separate stage of filtration treated 100 percent of the flow from surface or influenced groundwater sources</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Within 10 days following the month in which the monitoring was conducted, beginning on the applicable treatment compliance date in </w:t>
            </w:r>
            <w:hyperlink r:id="rId647">
              <w:r>
                <w:rPr>
                  <w:rStyle w:val="Hyperlink"/>
                  <w:rFonts w:ascii="Times New Roman" w:hAnsi="Times New Roman"/>
                  <w:b w:val="false"/>
                  <w:i w:val="false"/>
                  <w:color w:val="000000"/>
                  <w:sz w:val="16"/>
                </w:rPr>
                <w:t>43.11(7)</w:t>
              </w:r>
            </w:hyperlink>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Chlorine dioxide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Summary of CT values for each day as described in 43.11(13)</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Within 10 days following the month in which the monitoring was conducted, beginning on the applicable treatment compliance date in </w:t>
            </w:r>
            <w:hyperlink r:id="rId648">
              <w:r>
                <w:rPr>
                  <w:rStyle w:val="Hyperlink"/>
                  <w:rFonts w:ascii="Times New Roman" w:hAnsi="Times New Roman"/>
                  <w:b w:val="false"/>
                  <w:i w:val="false"/>
                  <w:color w:val="000000"/>
                  <w:sz w:val="16"/>
                </w:rPr>
                <w:t>43.11(7)</w:t>
              </w:r>
            </w:hyperlink>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Ozone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Summary of CT values for each day as described in 43.11(13)</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Within 10 days following the month in which the monitoring was conducted, beginning on the applicable treatment compliance date in </w:t>
            </w:r>
            <w:hyperlink r:id="rId649">
              <w:r>
                <w:rPr>
                  <w:rStyle w:val="Hyperlink"/>
                  <w:rFonts w:ascii="Times New Roman" w:hAnsi="Times New Roman"/>
                  <w:b w:val="false"/>
                  <w:i w:val="false"/>
                  <w:color w:val="000000"/>
                  <w:sz w:val="16"/>
                </w:rPr>
                <w:t>43.11(7)</w:t>
              </w:r>
            </w:hyperlink>
          </w:p>
        </w:tc>
      </w:tr>
      <w:tr>
        <w:trPr>
          <w:trHeight w:val="585" w:hRule="atLeast"/>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Ultraviolet light (UV)</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Validation test results demonstrating operating conditions that achieve required UV dose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No later than the applicable treatment compliance date in </w:t>
            </w:r>
            <w:hyperlink r:id="rId650">
              <w:r>
                <w:rPr>
                  <w:rStyle w:val="Hyperlink"/>
                  <w:rFonts w:ascii="Times New Roman" w:hAnsi="Times New Roman"/>
                  <w:b w:val="false"/>
                  <w:i w:val="false"/>
                  <w:color w:val="000000"/>
                  <w:sz w:val="16"/>
                </w:rPr>
                <w:t>43.11(7)</w:t>
              </w:r>
            </w:hyperlink>
          </w:p>
        </w:tc>
      </w:tr>
      <w:tr>
        <w:trPr>
          <w:trHeight w:val="115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Monthly report summarizing the percentage of water entering the distribution system that was not treated by UV reactors operating within validated conditions for the required dose as specified in </w:t>
            </w:r>
            <w:hyperlink r:id="rId651">
              <w:r>
                <w:rPr>
                  <w:rStyle w:val="Hyperlink"/>
                  <w:rFonts w:ascii="Times New Roman" w:hAnsi="Times New Roman"/>
                  <w:b w:val="false"/>
                  <w:i w:val="false"/>
                  <w:color w:val="000000"/>
                  <w:sz w:val="16"/>
                </w:rPr>
                <w:t>43.11(13)</w:t>
              </w:r>
              <w:r>
                <w:rPr>
                  <w:rFonts w:ascii="Times New Roman" w:hAnsi="Times New Roman"/>
                  <w:b w:val="false"/>
                  <w:i/>
                  <w:color w:val="000000"/>
                  <w:sz w:val="16"/>
                </w:rPr>
                <w:t>“d”</w:t>
              </w:r>
            </w:hyperlink>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Within 10 days following the month in which the monitoring was conducted, beginning on the applicable treatment compliance date in </w:t>
            </w:r>
            <w:hyperlink r:id="rId652">
              <w:r>
                <w:rPr>
                  <w:rStyle w:val="Hyperlink"/>
                  <w:rFonts w:ascii="Times New Roman" w:hAnsi="Times New Roman"/>
                  <w:b w:val="false"/>
                  <w:i w:val="false"/>
                  <w:color w:val="000000"/>
                  <w:sz w:val="16"/>
                </w:rPr>
                <w:t>43.11(7)</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43.11(15)</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Source water monitoring records. </w:t>
      </w:r>
      <w:r>
        <w:rPr>
          <w:rFonts w:ascii="Times New Roman" w:hAnsi="Times New Roman"/>
          <w:b w:val="false"/>
          <w:i w:val="false"/>
          <w:color w:val="000000"/>
          <w:sz w:val="22"/>
        </w:rPr>
        <w:t xml:space="preserve">Systems must keep results from the initial round of source water monitoring under </w:t>
      </w:r>
      <w:hyperlink r:id="rId653">
        <w:r>
          <w:rPr>
            <w:rStyle w:val="Hyperlink"/>
            <w:rFonts w:ascii="Times New Roman" w:hAnsi="Times New Roman"/>
            <w:b w:val="false"/>
            <w:i w:val="false"/>
            <w:color w:val="000000"/>
            <w:sz w:val="22"/>
          </w:rPr>
          <w:t>43.11(3)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the second round of source water monitoring under </w:t>
      </w:r>
      <w:hyperlink r:id="rId654">
        <w:r>
          <w:rPr>
            <w:rStyle w:val="Hyperlink"/>
            <w:rFonts w:ascii="Times New Roman" w:hAnsi="Times New Roman"/>
            <w:b w:val="false"/>
            <w:i w:val="false"/>
            <w:color w:val="000000"/>
            <w:sz w:val="22"/>
          </w:rPr>
          <w:t>43.11(3)</w:t>
        </w:r>
        <w:r>
          <w:rPr>
            <w:rFonts w:ascii="Times New Roman" w:hAnsi="Times New Roman"/>
            <w:b w:val="false"/>
            <w:i/>
            <w:color w:val="000000"/>
            <w:sz w:val="22"/>
          </w:rPr>
          <w:t>“b”</w:t>
        </w:r>
      </w:hyperlink>
      <w:r>
        <w:rPr>
          <w:rFonts w:ascii="Times New Roman" w:hAnsi="Times New Roman"/>
          <w:b w:val="false"/>
          <w:i w:val="false"/>
          <w:color w:val="000000"/>
          <w:sz w:val="22"/>
        </w:rPr>
        <w:t xml:space="preserve"> until three years after bin classification under </w:t>
      </w:r>
      <w:hyperlink r:id="rId655">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for the particular round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Systems meeting 5.5-log treatment for Cryptosporidium. </w:t>
      </w:r>
      <w:r>
        <w:rPr>
          <w:rFonts w:ascii="Times New Roman" w:hAnsi="Times New Roman"/>
          <w:b w:val="false"/>
          <w:i w:val="false"/>
          <w:color w:val="000000"/>
          <w:sz w:val="22"/>
        </w:rPr>
        <w:t xml:space="preserve">Systems must keep for three years records of any notification to the department that the systems will meet the 5.5-log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requirements and avoid source water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Microbial toolbox treatment monitoring records. </w:t>
      </w:r>
      <w:r>
        <w:rPr>
          <w:rFonts w:ascii="Times New Roman" w:hAnsi="Times New Roman"/>
          <w:b w:val="false"/>
          <w:i w:val="false"/>
          <w:color w:val="000000"/>
          <w:sz w:val="22"/>
        </w:rPr>
        <w:t xml:space="preserve">Systems must keep the results of treatment monitoring associated with microbial toolbox options under </w:t>
      </w:r>
      <w:hyperlink r:id="rId656">
        <w:r>
          <w:rPr>
            <w:rStyle w:val="Hyperlink"/>
            <w:rFonts w:ascii="Times New Roman" w:hAnsi="Times New Roman"/>
            <w:b w:val="false"/>
            <w:i w:val="false"/>
            <w:color w:val="000000"/>
            <w:sz w:val="22"/>
          </w:rPr>
          <w:t>43.11(8)</w:t>
        </w:r>
      </w:hyperlink>
      <w:r>
        <w:rPr>
          <w:rFonts w:ascii="Times New Roman" w:hAnsi="Times New Roman"/>
          <w:b w:val="false"/>
          <w:i w:val="false"/>
          <w:color w:val="000000"/>
          <w:sz w:val="22"/>
        </w:rPr>
        <w:t xml:space="preserve"> through </w:t>
      </w:r>
      <w:hyperlink r:id="rId657">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567—43.12</w:t>
      </w:r>
      <w:r>
        <w:rPr>
          <w:rFonts w:ascii="Times New Roman" w:hAnsi="Times New Roman"/>
          <w:b/>
          <w:i w:val="false"/>
          <w:color w:val="000000"/>
          <w:sz w:val="22"/>
        </w:rPr>
        <w:t xml:space="preserve">(455B) </w:t>
      </w:r>
      <w:r>
        <w:rPr>
          <w:rFonts w:ascii="Times New Roman" w:hAnsi="Times New Roman"/>
          <w:b/>
          <w:i w:val="false"/>
          <w:color w:val="000000"/>
          <w:sz w:val="22"/>
        </w:rPr>
        <w:t xml:space="preserve">Optimization goals.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color w:val="000000"/>
          <w:sz w:val="22"/>
        </w:rPr>
        <w:t xml:space="preserve">Turbidity optimization goals. </w:t>
      </w:r>
      <w:r>
        <w:rPr>
          <w:rFonts w:ascii="Times New Roman" w:hAnsi="Times New Roman"/>
          <w:b w:val="false"/>
          <w:i w:val="false"/>
          <w:color w:val="000000"/>
          <w:sz w:val="22"/>
        </w:rPr>
        <w:t xml:space="preserve">Surface water and IGW systems must meet the requirements listed in </w:t>
      </w:r>
      <w:hyperlink r:id="rId658">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w:t>
      </w:r>
      <w:hyperlink r:id="rId659">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and </w:t>
      </w:r>
      <w:hyperlink r:id="rId660">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 xml:space="preserve">(455B). To encourage operational optimization, the department has adopted the following goals for systems using surface water or influenced groundwater and that wish to pursue the optimization of their existing treatment processes. These goals are voluntary. Data collected for optimization purposes will not be used to determine compliance with the requirements in </w:t>
      </w:r>
      <w:hyperlink r:id="rId661">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w:t>
      </w:r>
      <w:hyperlink r:id="rId662">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w:t>
      </w:r>
      <w:hyperlink r:id="rId663">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 xml:space="preserve">(455B), or </w:t>
      </w:r>
      <w:hyperlink r:id="rId664">
        <w:r>
          <w:rPr>
            <w:rStyle w:val="Hyperlink"/>
            <w:rFonts w:ascii="Times New Roman" w:hAnsi="Times New Roman"/>
            <w:b w:val="false"/>
            <w:i w:val="false"/>
            <w:color w:val="000000"/>
            <w:sz w:val="22"/>
          </w:rPr>
          <w:t>567—43.11</w:t>
        </w:r>
      </w:hyperlink>
      <w:r>
        <w:rPr>
          <w:rFonts w:ascii="Times New Roman" w:hAnsi="Times New Roman"/>
          <w:b w:val="false"/>
          <w:i w:val="false"/>
          <w:color w:val="000000"/>
          <w:sz w:val="22"/>
        </w:rPr>
        <w:t>(455B) unless the optimization data are identical to the compliance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Sedimentation performance goals. </w:t>
      </w:r>
      <w:r>
        <w:rPr>
          <w:rFonts w:ascii="Times New Roman" w:hAnsi="Times New Roman"/>
          <w:b w:val="false"/>
          <w:i w:val="false"/>
          <w:color w:val="000000"/>
          <w:sz w:val="22"/>
        </w:rPr>
        <w:t>The sedimentation performance goals are based upon the average annual raw water turbidity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annual average raw water turbidity is less than or equal to 10 NTU over the course of the calendar year, the turbidity should be less than or equal to 1 NTU in at least 95 percent of measurements based on the maximum daily value of readings taken at least once every four hours from each sedimentation basin while the plant is operating.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annual average raw water turbidity is more than 10 NTU over the course of the calendar year, the turbidity should be less than or equal to 2 NTU in at least 95 percent of measurements based on the maximum daily value of readings taken at least once every four hours from each sedimentation basin while the plant is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performance goals. </w:t>
      </w:r>
      <w:r>
        <w:rPr>
          <w:rFonts w:ascii="Times New Roman" w:hAnsi="Times New Roman"/>
          <w:b w:val="false"/>
          <w:i w:val="false"/>
          <w:color w:val="000000"/>
          <w:sz w:val="22"/>
        </w:rPr>
        <w:t>The individual filter performance goals depend upon the system’s capability of filtering to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systems that have the capability of filtering to waste, the individual filter turbidity should be less than or equal to 0.10 NTU in at least 95 percent of measurements over the course of the calendar year, based on the daily maximum value of readings recorded at least once per minute while the plant is in operation. The maximum individual filter turbidity must not exceed 0.30 NTU at any time. The filter must return to service with a turbidity of 0.10 NTU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systems that do not have the capability of filtering to waste, the individual filter turbidity should be less than or equal to 0.10 NTU in at least 95 percent of measurements over the course of the calendar year, excepting the 15 minutes following the completion of the backwash process, based on the daily maximum value of readings recorded at least once per minute while the plant is in operation. The maximum individual filter turbidity must not exceed 0.30 NTU following backwash and must return to a level at or below 0.10 NTU within 15 minutes of returning the filter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Combined filter performance goal. </w:t>
      </w:r>
      <w:r>
        <w:rPr>
          <w:rFonts w:ascii="Times New Roman" w:hAnsi="Times New Roman"/>
          <w:b w:val="false"/>
          <w:i w:val="false"/>
          <w:color w:val="000000"/>
          <w:sz w:val="22"/>
        </w:rPr>
        <w:t>The combined filter performance goal has two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Combined filter effluent turbidity should be less than or equal to 0.10 NTU in at least 95 percent of measurements over the course of the calendar year, based on daily maximum value of readings recorded at least once per minute while the plant is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maximum individual filter turbidity must not exceed 0.30 NTU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color w:val="000000"/>
          <w:sz w:val="22"/>
        </w:rPr>
        <w:t xml:space="preserve">Disinfection optimization goals.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TABLE A: SEPARATION DISTANCES FROM WELLS</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TABLE B</w:t>
      </w:r>
    </w:p>
    <w:p>
      <w:pPr>
        <w:spacing w:before="0" w:after="0"/>
        <w:ind w:left="120"/>
        <w:jc w:val="center"/>
      </w:pPr>
      <w:r>
        <w:rPr>
          <w:rFonts w:ascii="Times New Roman" w:hAnsi="Times New Roman"/>
          <w:b w:val="false"/>
          <w:i w:val="false"/>
          <w:color w:val="000000"/>
          <w:sz w:val="22"/>
        </w:rPr>
        <w:t>Minimum Self-Monitoring Requirements</w:t>
      </w:r>
    </w:p>
    <w:p>
      <w:pPr>
        <w:spacing w:before="0" w:after="0"/>
        <w:ind w:left="120"/>
        <w:jc w:val="center"/>
      </w:pPr>
      <w:r>
        <w:rPr>
          <w:rFonts w:ascii="Times New Roman" w:hAnsi="Times New Roman"/>
          <w:b w:val="false"/>
          <w:i w:val="false"/>
          <w:color w:val="000000"/>
          <w:sz w:val="22"/>
        </w:rPr>
        <w:t>Public Water Supply Systems</w:t>
      </w:r>
    </w:p>
    <w:p>
      <w:pPr>
        <w:spacing w:before="0" w:after="0"/>
        <w:ind w:left="120"/>
        <w:jc w:val="center"/>
      </w:pPr>
      <w:r>
        <w:rPr>
          <w:rFonts w:ascii="Times New Roman" w:hAnsi="Times New Roman"/>
          <w:b w:val="false"/>
          <w:i w:val="false"/>
          <w:color w:val="000000"/>
          <w:sz w:val="14"/>
        </w:rPr>
        <w:t>[Prior to 12/12/90, appeared in 567—Ch 41, Table D]</w:t>
      </w:r>
    </w:p>
    <w:p>
      <w:pPr>
        <w:spacing w:before="0" w:after="0"/>
        <w:ind w:left="120"/>
        <w:jc w:val="center"/>
      </w:pPr>
      <w:r>
        <w:rPr>
          <w:rFonts w:ascii="Times New Roman" w:hAnsi="Times New Roman"/>
          <w:b w:val="false"/>
          <w:i w:val="false"/>
          <w:color w:val="000000"/>
          <w:sz w:val="22"/>
        </w:rPr>
        <w:t>Rescinded IAB 8/11/99, effective 9/15/99</w:t>
      </w:r>
    </w:p>
    <w:p>
      <w:pPr>
        <w:spacing w:before="0" w:after="0"/>
        <w:ind w:left="120"/>
        <w:jc w:val="center"/>
      </w:pPr>
      <w:r>
        <w:rPr>
          <w:rFonts w:ascii="Times New Roman" w:hAnsi="Times New Roman"/>
          <w:b w:val="false"/>
          <w:i w:val="false"/>
          <w:color w:val="000000"/>
          <w:sz w:val="22"/>
        </w:rPr>
        <w:t>APPENDIX A: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TABLES FOR DISINFECTION PROFILING</w:t>
      </w:r>
    </w:p>
    <w:p>
      <w:pPr>
        <w:spacing w:before="60" w:after="0"/>
        <w:ind w:left="120"/>
        <w:jc w:val="center"/>
      </w:pPr>
      <w:r>
        <w:rPr>
          <w:rFonts w:ascii="Times New Roman" w:hAnsi="Times New Roman"/>
          <w:b w:val="false"/>
          <w:i w:val="false"/>
          <w:color w:val="000000"/>
          <w:sz w:val="22"/>
        </w:rPr>
        <w:t>TABLE 1: CT Values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for 99.9 Percent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by Free Chlorine at 0.5°C or Lower</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02"/>
        <w:gridCol w:w="1284"/>
        <w:gridCol w:w="1285"/>
        <w:gridCol w:w="1284"/>
        <w:gridCol w:w="1284"/>
        <w:gridCol w:w="1283"/>
        <w:gridCol w:w="1284"/>
        <w:gridCol w:w="1284"/>
      </w:tblGrid>
      <w:tr>
        <w:trPr>
          <w:trHeight w:val="285" w:hRule="atLeast"/>
        </w:trPr>
        <w:tc>
          <w:tcPr>
            <w:tcW w:w="22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pH</w:t>
            </w:r>
          </w:p>
        </w:tc>
      </w:tr>
      <w:tr>
        <w:trPr>
          <w:trHeight w:val="300" w:hRule="atLeast"/>
        </w:trPr>
        <w:tc>
          <w:tcPr>
            <w:tcW w:w="220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Chlorine, mg/L</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≤6.0</w:t>
            </w:r>
          </w:p>
        </w:tc>
        <w:tc>
          <w:tcPr>
            <w:tcW w:w="128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84"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≤9.0</w:t>
            </w:r>
          </w:p>
        </w:tc>
      </w:tr>
      <w:tr>
        <w:trPr>
          <w:trHeight w:val="270"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137</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329</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141</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239</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342</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407</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145</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246</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354</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422</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148</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253</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437</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152</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259</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376</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155</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266</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464</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157</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273</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477</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162</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279</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489</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165</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286</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346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417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426</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511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172</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298</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522</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175</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304</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444</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533</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178</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452</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543</w:t>
            </w:r>
          </w:p>
        </w:tc>
      </w:tr>
      <w:tr>
        <w:trPr>
          <w:trHeight w:val="255" w:hRule="atLeast"/>
        </w:trPr>
        <w:tc>
          <w:tcPr>
            <w:tcW w:w="2202" w:type="dxa"/>
            <w:tcBorders>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3.0</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181</w:t>
            </w:r>
          </w:p>
        </w:tc>
        <w:tc>
          <w:tcPr>
            <w:tcW w:w="12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217</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261</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316</w:t>
            </w:r>
          </w:p>
        </w:tc>
        <w:tc>
          <w:tcPr>
            <w:tcW w:w="128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382</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460</w:t>
            </w:r>
          </w:p>
        </w:tc>
        <w:tc>
          <w:tcPr>
            <w:tcW w:w="12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552</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These CT values achieve greater than a 99.99 percent inactivation of viruses. Any CT values between the indicated pH values may be determined by linear interpolation. Any CT values between the indicated temperatures of different tables may be determined by linear interpolation. If no interpolation is used, use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 at the lower temperature and at the higher pH.</w:t>
      </w:r>
    </w:p>
    <w:p>
      <w:pPr>
        <w:spacing w:before="60" w:after="0"/>
        <w:ind w:left="120"/>
        <w:jc w:val="center"/>
      </w:pPr>
      <w:r>
        <w:rPr>
          <w:rFonts w:ascii="Times New Roman" w:hAnsi="Times New Roman"/>
          <w:b w:val="false"/>
          <w:i w:val="false"/>
          <w:color w:val="000000"/>
          <w:sz w:val="22"/>
        </w:rPr>
        <w:t>TABLE 2: CT Values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for 99.9 Percent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by Free Chlorine at 5.0°C</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02"/>
        <w:gridCol w:w="1284"/>
        <w:gridCol w:w="1285"/>
        <w:gridCol w:w="1284"/>
        <w:gridCol w:w="1284"/>
        <w:gridCol w:w="1283"/>
        <w:gridCol w:w="1284"/>
        <w:gridCol w:w="1284"/>
      </w:tblGrid>
      <w:tr>
        <w:trPr>
          <w:trHeight w:val="285" w:hRule="atLeast"/>
        </w:trPr>
        <w:tc>
          <w:tcPr>
            <w:tcW w:w="22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pH</w:t>
            </w:r>
          </w:p>
        </w:tc>
      </w:tr>
      <w:tr>
        <w:trPr>
          <w:trHeight w:val="300" w:hRule="atLeast"/>
        </w:trPr>
        <w:tc>
          <w:tcPr>
            <w:tcW w:w="220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Chlorine, mg/L</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≤6.0</w:t>
            </w:r>
          </w:p>
        </w:tc>
        <w:tc>
          <w:tcPr>
            <w:tcW w:w="128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84"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≤9.0</w:t>
            </w:r>
          </w:p>
        </w:tc>
      </w:tr>
      <w:tr>
        <w:trPr>
          <w:trHeight w:val="270"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97</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166</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236</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279</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171</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244</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103</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175</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252</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179</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312</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183</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274</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329</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111</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192</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281</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337</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114</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196</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345</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116</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294</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353</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118</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204</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209</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306</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368</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213</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312</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375</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124</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318</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382</w:t>
            </w:r>
          </w:p>
        </w:tc>
      </w:tr>
      <w:tr>
        <w:trPr>
          <w:trHeight w:val="255" w:hRule="atLeast"/>
        </w:trPr>
        <w:tc>
          <w:tcPr>
            <w:tcW w:w="2202" w:type="dxa"/>
            <w:tcBorders>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3.0</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126</w:t>
            </w:r>
          </w:p>
        </w:tc>
        <w:tc>
          <w:tcPr>
            <w:tcW w:w="12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151</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182</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221</w:t>
            </w:r>
          </w:p>
        </w:tc>
        <w:tc>
          <w:tcPr>
            <w:tcW w:w="128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268</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324</w:t>
            </w:r>
          </w:p>
        </w:tc>
        <w:tc>
          <w:tcPr>
            <w:tcW w:w="12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389</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These CT values achieve greater than a 99.99 percent inactivation of viruses. Any CT values between the indicated pH values may be determined by linear interpolation. Any CT values between the indicated temperatures of different tables may be determined by linear interpolation. If no interpolation is used, use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 at the lower temperature and at the higher pH.</w:t>
      </w:r>
    </w:p>
    <w:p>
      <w:pPr>
        <w:spacing w:before="60" w:after="0"/>
        <w:ind w:left="120"/>
        <w:jc w:val="center"/>
      </w:pPr>
      <w:r>
        <w:rPr>
          <w:rFonts w:ascii="Times New Roman" w:hAnsi="Times New Roman"/>
          <w:b w:val="false"/>
          <w:i w:val="false"/>
          <w:color w:val="000000"/>
          <w:sz w:val="22"/>
        </w:rPr>
        <w:t>TABLE 3: CT Values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for 99.9 Percent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by Free Chlorine at 10.0°C</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02"/>
        <w:gridCol w:w="1284"/>
        <w:gridCol w:w="1285"/>
        <w:gridCol w:w="1284"/>
        <w:gridCol w:w="1284"/>
        <w:gridCol w:w="1283"/>
        <w:gridCol w:w="1284"/>
        <w:gridCol w:w="1284"/>
      </w:tblGrid>
      <w:tr>
        <w:trPr>
          <w:trHeight w:val="285" w:hRule="atLeast"/>
        </w:trPr>
        <w:tc>
          <w:tcPr>
            <w:tcW w:w="22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pH</w:t>
            </w:r>
          </w:p>
        </w:tc>
      </w:tr>
      <w:tr>
        <w:trPr>
          <w:trHeight w:val="300" w:hRule="atLeast"/>
        </w:trPr>
        <w:tc>
          <w:tcPr>
            <w:tcW w:w="220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Chlorine, mg/L</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≤6.0</w:t>
            </w:r>
          </w:p>
        </w:tc>
        <w:tc>
          <w:tcPr>
            <w:tcW w:w="128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84"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≤9.0</w:t>
            </w:r>
          </w:p>
        </w:tc>
      </w:tr>
      <w:tr>
        <w:trPr>
          <w:trHeight w:val="270"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73</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125</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209</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128</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183</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218</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131</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189</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226</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134</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234</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80</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82</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206</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247</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144</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211</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253</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86</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259</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87</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221</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265</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153</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90</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276</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234</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93</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163</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239</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287</w:t>
            </w:r>
          </w:p>
        </w:tc>
      </w:tr>
      <w:tr>
        <w:trPr>
          <w:trHeight w:val="255" w:hRule="atLeast"/>
        </w:trPr>
        <w:tc>
          <w:tcPr>
            <w:tcW w:w="2202" w:type="dxa"/>
            <w:tcBorders>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3.0</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2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113</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137</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166</w:t>
            </w:r>
          </w:p>
        </w:tc>
        <w:tc>
          <w:tcPr>
            <w:tcW w:w="128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201</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243</w:t>
            </w:r>
          </w:p>
        </w:tc>
        <w:tc>
          <w:tcPr>
            <w:tcW w:w="12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292</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These CT values achieve greater than a 99.99 percent inactivation of viruses. Any CT values between the indicated pH values may be determined by linear interpolation. Any CT values between the indicated temperatures of different tables may be determined by linear interpolation. If no interpolation is used, use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 at the lower temperature and at the higher pH.</w:t>
      </w:r>
    </w:p>
    <w:p>
      <w:pPr>
        <w:spacing w:before="60" w:after="0"/>
        <w:ind w:left="120"/>
        <w:jc w:val="center"/>
      </w:pPr>
      <w:r>
        <w:rPr>
          <w:rFonts w:ascii="Times New Roman" w:hAnsi="Times New Roman"/>
          <w:b w:val="false"/>
          <w:i w:val="false"/>
          <w:color w:val="000000"/>
          <w:sz w:val="22"/>
        </w:rPr>
        <w:t>TABLE 4: CT Values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for 99.9 Percent Inactivation of </w:t>
      </w:r>
      <w:r>
        <w:rPr>
          <w:rFonts w:ascii="Times New Roman" w:hAnsi="Times New Roman"/>
          <w:b w:val="false"/>
          <w:i/>
          <w:color w:val="000000"/>
          <w:sz w:val="22"/>
        </w:rPr>
        <w:t xml:space="preserve">Giardia lamblia </w:t>
      </w:r>
      <w:r>
        <w:rPr>
          <w:rFonts w:ascii="Times New Roman" w:hAnsi="Times New Roman"/>
          <w:b w:val="false"/>
          <w:i w:val="false"/>
          <w:color w:val="000000"/>
          <w:sz w:val="22"/>
        </w:rPr>
        <w:t>Cysts by Free Chlorine at 15.0°C</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02"/>
        <w:gridCol w:w="1284"/>
        <w:gridCol w:w="1285"/>
        <w:gridCol w:w="1284"/>
        <w:gridCol w:w="1284"/>
        <w:gridCol w:w="1283"/>
        <w:gridCol w:w="1284"/>
        <w:gridCol w:w="1284"/>
      </w:tblGrid>
      <w:tr>
        <w:trPr>
          <w:trHeight w:val="285" w:hRule="atLeast"/>
        </w:trPr>
        <w:tc>
          <w:tcPr>
            <w:tcW w:w="22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pH</w:t>
            </w:r>
          </w:p>
        </w:tc>
      </w:tr>
      <w:tr>
        <w:trPr>
          <w:trHeight w:val="300" w:hRule="atLeast"/>
        </w:trPr>
        <w:tc>
          <w:tcPr>
            <w:tcW w:w="220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Chlorine, mg/L</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≤6.0</w:t>
            </w:r>
          </w:p>
        </w:tc>
        <w:tc>
          <w:tcPr>
            <w:tcW w:w="128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84"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≤9.0</w:t>
            </w:r>
          </w:p>
        </w:tc>
      </w:tr>
      <w:tr>
        <w:trPr>
          <w:trHeight w:val="270"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118</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86</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146</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88</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126</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156</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134</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165</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56</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96</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141</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169</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57</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98</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144</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173</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177</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102</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153</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184</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156</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188</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109</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159</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191</w:t>
            </w:r>
          </w:p>
        </w:tc>
      </w:tr>
      <w:tr>
        <w:trPr>
          <w:trHeight w:val="255" w:hRule="atLeast"/>
        </w:trPr>
        <w:tc>
          <w:tcPr>
            <w:tcW w:w="2202" w:type="dxa"/>
            <w:tcBorders>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3.0</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76</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91</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111</w:t>
            </w:r>
          </w:p>
        </w:tc>
        <w:tc>
          <w:tcPr>
            <w:tcW w:w="128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134</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162</w:t>
            </w:r>
          </w:p>
        </w:tc>
        <w:tc>
          <w:tcPr>
            <w:tcW w:w="12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195</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These CT values achieve greater than a 99.99 percent inactivation of viruses. Any CT values between the indicated pH values may be determined by linear interpolation. Any CT values between the indicated temperatures of different tables may be determined by linear interpolation. If no interpolation is used, use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 at the lower temperature and at the higher pH.</w:t>
      </w:r>
    </w:p>
    <w:p>
      <w:pPr>
        <w:spacing w:before="60" w:after="0"/>
        <w:ind w:left="120"/>
        <w:jc w:val="center"/>
      </w:pPr>
      <w:r>
        <w:rPr>
          <w:rFonts w:ascii="Times New Roman" w:hAnsi="Times New Roman"/>
          <w:b w:val="false"/>
          <w:i w:val="false"/>
          <w:color w:val="000000"/>
          <w:sz w:val="22"/>
        </w:rPr>
        <w:t>TABLE 5: CT Values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for 99.9 Percent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by Free Chlorine at 20.0°C</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02"/>
        <w:gridCol w:w="1284"/>
        <w:gridCol w:w="1285"/>
        <w:gridCol w:w="1284"/>
        <w:gridCol w:w="1284"/>
        <w:gridCol w:w="1283"/>
        <w:gridCol w:w="1284"/>
        <w:gridCol w:w="1284"/>
      </w:tblGrid>
      <w:tr>
        <w:trPr>
          <w:trHeight w:val="285" w:hRule="atLeast"/>
        </w:trPr>
        <w:tc>
          <w:tcPr>
            <w:tcW w:w="22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pH</w:t>
            </w:r>
          </w:p>
        </w:tc>
      </w:tr>
      <w:tr>
        <w:trPr>
          <w:trHeight w:val="300" w:hRule="atLeast"/>
        </w:trPr>
        <w:tc>
          <w:tcPr>
            <w:tcW w:w="220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Chlorine, mg/L</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≤6.0</w:t>
            </w:r>
          </w:p>
        </w:tc>
        <w:tc>
          <w:tcPr>
            <w:tcW w:w="128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84"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≤9.0</w:t>
            </w:r>
          </w:p>
        </w:tc>
      </w:tr>
      <w:tr>
        <w:trPr>
          <w:trHeight w:val="270"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64</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109</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66</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113</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98</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117</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41</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103</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123</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72</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126</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108</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129</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132</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113</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135</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138</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141</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81</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119</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143</w:t>
            </w:r>
          </w:p>
        </w:tc>
      </w:tr>
      <w:tr>
        <w:trPr>
          <w:trHeight w:val="255" w:hRule="atLeast"/>
        </w:trPr>
        <w:tc>
          <w:tcPr>
            <w:tcW w:w="2202" w:type="dxa"/>
            <w:tcBorders>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3.0</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c>
          <w:tcPr>
            <w:tcW w:w="12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57</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68</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8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101</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146</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These CT values achieve greater than a 99.99 percent inactivation of viruses. Any CT values between the indicated pH values may be determined by linear interpolation. Any CT values between the indicated temperatures of different tables may be determined by linear interpolation. If no interpolation is used, use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 at the lower temperature and at the higher pH.</w:t>
      </w:r>
    </w:p>
    <w:p>
      <w:pPr>
        <w:spacing w:before="60" w:after="0"/>
        <w:ind w:left="120"/>
        <w:jc w:val="center"/>
      </w:pPr>
      <w:r>
        <w:rPr>
          <w:rFonts w:ascii="Times New Roman" w:hAnsi="Times New Roman"/>
          <w:b w:val="false"/>
          <w:i w:val="false"/>
          <w:color w:val="000000"/>
          <w:sz w:val="22"/>
        </w:rPr>
        <w:t>TABLE 6: CT Values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for 99.9 Percent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w:t>
      </w:r>
    </w:p>
    <w:p>
      <w:pPr>
        <w:spacing w:before="60" w:after="0"/>
        <w:ind w:left="120"/>
        <w:jc w:val="center"/>
      </w:pPr>
      <w:r>
        <w:rPr>
          <w:rFonts w:ascii="Times New Roman" w:hAnsi="Times New Roman"/>
          <w:b w:val="false"/>
          <w:i w:val="false"/>
          <w:color w:val="000000"/>
          <w:sz w:val="22"/>
        </w:rPr>
        <w:t>by Free Chlorine at 25.0°C and Higher</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02"/>
        <w:gridCol w:w="1284"/>
        <w:gridCol w:w="1285"/>
        <w:gridCol w:w="1284"/>
        <w:gridCol w:w="1284"/>
        <w:gridCol w:w="1283"/>
        <w:gridCol w:w="1284"/>
        <w:gridCol w:w="1284"/>
      </w:tblGrid>
      <w:tr>
        <w:trPr>
          <w:trHeight w:val="285" w:hRule="atLeast"/>
        </w:trPr>
        <w:tc>
          <w:tcPr>
            <w:tcW w:w="22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pH</w:t>
            </w:r>
          </w:p>
        </w:tc>
      </w:tr>
      <w:tr>
        <w:trPr>
          <w:trHeight w:val="300" w:hRule="atLeast"/>
        </w:trPr>
        <w:tc>
          <w:tcPr>
            <w:tcW w:w="220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Chlorine, mg/L</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≤6.0</w:t>
            </w:r>
          </w:p>
        </w:tc>
        <w:tc>
          <w:tcPr>
            <w:tcW w:w="128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8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84"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≤9.0</w:t>
            </w:r>
          </w:p>
        </w:tc>
      </w:tr>
      <w:tr>
        <w:trPr>
          <w:trHeight w:val="270"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73</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82</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48</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84</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49</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72</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86</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2.0</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88</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51</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90</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77</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w:t>
            </w:r>
          </w:p>
        </w:tc>
      </w:tr>
      <w:tr>
        <w:trPr>
          <w:trHeight w:val="255" w:hRule="atLeast"/>
        </w:trPr>
        <w:tc>
          <w:tcPr>
            <w:tcW w:w="22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2.8</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66</w:t>
            </w:r>
          </w:p>
        </w:tc>
        <w:tc>
          <w:tcPr>
            <w:tcW w:w="12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80</w:t>
            </w:r>
          </w:p>
        </w:tc>
        <w:tc>
          <w:tcPr>
            <w:tcW w:w="12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96</w:t>
            </w:r>
          </w:p>
        </w:tc>
      </w:tr>
      <w:tr>
        <w:trPr>
          <w:trHeight w:val="255" w:hRule="atLeast"/>
        </w:trPr>
        <w:tc>
          <w:tcPr>
            <w:tcW w:w="2202" w:type="dxa"/>
            <w:tcBorders>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3.0</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w:t>
            </w:r>
          </w:p>
        </w:tc>
        <w:tc>
          <w:tcPr>
            <w:tcW w:w="12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8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67</w:t>
            </w:r>
          </w:p>
        </w:tc>
        <w:tc>
          <w:tcPr>
            <w:tcW w:w="12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81</w:t>
            </w:r>
          </w:p>
        </w:tc>
        <w:tc>
          <w:tcPr>
            <w:tcW w:w="12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97</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These CT values achieve greater than a 99.99 percent inactivation of viruses. Any CT values between the indicated pH values may be determined by linear interpolation. Any CT values between the indicated temperatures of different tables may be determined by linear interpolation. If no interpolation is used, use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 at the lower temperature and at the higher pH.</w:t>
      </w:r>
    </w:p>
    <w:p>
      <w:pPr>
        <w:spacing w:before="60" w:after="0"/>
        <w:ind w:left="120"/>
        <w:jc w:val="center"/>
      </w:pPr>
      <w:r>
        <w:rPr>
          <w:rFonts w:ascii="Times New Roman" w:hAnsi="Times New Roman"/>
          <w:b w:val="false"/>
          <w:i w:val="false"/>
          <w:color w:val="000000"/>
          <w:sz w:val="22"/>
        </w:rPr>
        <w:t>TABLE 7: CT Values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for 99.9 Percent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by Chlorine Dioxide and Ozone</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54"/>
        <w:gridCol w:w="1391"/>
        <w:gridCol w:w="1393"/>
        <w:gridCol w:w="1391"/>
        <w:gridCol w:w="1393"/>
        <w:gridCol w:w="1391"/>
        <w:gridCol w:w="1377"/>
      </w:tblGrid>
      <w:tr>
        <w:trPr>
          <w:trHeight w:val="285" w:hRule="atLeast"/>
        </w:trPr>
        <w:tc>
          <w:tcPr>
            <w:tcW w:w="285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6"/>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Temperature, °C</w:t>
            </w:r>
          </w:p>
        </w:tc>
      </w:tr>
      <w:tr>
        <w:trPr>
          <w:trHeight w:val="300" w:hRule="atLeast"/>
        </w:trPr>
        <w:tc>
          <w:tcPr>
            <w:tcW w:w="285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Disinfectant</w:t>
            </w:r>
          </w:p>
        </w:tc>
        <w:tc>
          <w:tcPr>
            <w:tcW w:w="1391"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&lt;1</w:t>
            </w:r>
          </w:p>
        </w:tc>
        <w:tc>
          <w:tcPr>
            <w:tcW w:w="139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w:t>
            </w:r>
          </w:p>
        </w:tc>
        <w:tc>
          <w:tcPr>
            <w:tcW w:w="1391"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w:t>
            </w:r>
          </w:p>
        </w:tc>
        <w:tc>
          <w:tcPr>
            <w:tcW w:w="139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w:t>
            </w:r>
          </w:p>
        </w:tc>
        <w:tc>
          <w:tcPr>
            <w:tcW w:w="1391"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w:t>
            </w:r>
          </w:p>
        </w:tc>
        <w:tc>
          <w:tcPr>
            <w:tcW w:w="137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w:t>
            </w:r>
          </w:p>
        </w:tc>
      </w:tr>
      <w:tr>
        <w:trPr>
          <w:trHeight w:val="270" w:hRule="atLeast"/>
        </w:trPr>
        <w:tc>
          <w:tcPr>
            <w:tcW w:w="2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 Dioxide</w:t>
            </w:r>
          </w:p>
        </w:tc>
        <w:tc>
          <w:tcPr>
            <w:tcW w:w="13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3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3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w:t>
            </w:r>
          </w:p>
        </w:tc>
        <w:tc>
          <w:tcPr>
            <w:tcW w:w="13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w:t>
            </w:r>
          </w:p>
        </w:tc>
        <w:tc>
          <w:tcPr>
            <w:tcW w:w="13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13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w:t>
            </w:r>
          </w:p>
        </w:tc>
      </w:tr>
      <w:tr>
        <w:trPr>
          <w:trHeight w:val="255" w:hRule="atLeast"/>
        </w:trPr>
        <w:tc>
          <w:tcPr>
            <w:tcW w:w="285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Ozone</w:t>
            </w:r>
          </w:p>
        </w:tc>
        <w:tc>
          <w:tcPr>
            <w:tcW w:w="139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13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w:t>
            </w:r>
          </w:p>
        </w:tc>
        <w:tc>
          <w:tcPr>
            <w:tcW w:w="139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c>
          <w:tcPr>
            <w:tcW w:w="13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0.95</w:t>
            </w:r>
          </w:p>
        </w:tc>
        <w:tc>
          <w:tcPr>
            <w:tcW w:w="139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0.72</w:t>
            </w:r>
          </w:p>
        </w:tc>
        <w:tc>
          <w:tcPr>
            <w:tcW w:w="13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0.48</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These CT values achieve greater than a 99.99 percent inactivation of viruses. Any CT values between the indicated temperatures may be determined by linear interpolation. If no interpolation is used, use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 at the lower temperature for determining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values between indicated temperatures.</w:t>
      </w:r>
    </w:p>
    <w:p>
      <w:pPr>
        <w:spacing w:before="60" w:after="0"/>
        <w:ind w:left="120"/>
        <w:jc w:val="center"/>
      </w:pPr>
      <w:r>
        <w:rPr>
          <w:rFonts w:ascii="Times New Roman" w:hAnsi="Times New Roman"/>
          <w:b w:val="false"/>
          <w:i w:val="false"/>
          <w:color w:val="000000"/>
          <w:sz w:val="22"/>
        </w:rPr>
        <w:t>TABLE 8: CT Values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for 99.9 Percent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by Chloramines</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0"/>
        <w:gridCol w:w="1402"/>
        <w:gridCol w:w="1403"/>
        <w:gridCol w:w="1402"/>
        <w:gridCol w:w="1403"/>
        <w:gridCol w:w="1402"/>
        <w:gridCol w:w="1388"/>
      </w:tblGrid>
      <w:tr>
        <w:trPr>
          <w:trHeight w:val="285" w:hRule="atLeast"/>
        </w:trPr>
        <w:tc>
          <w:tcPr>
            <w:tcW w:w="279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center"/>
            </w:pPr>
            <w:r>
              <w:rPr>
                <w:rFonts w:ascii="Times New Roman" w:hAnsi="Times New Roman"/>
                <w:b w:val="false"/>
                <w:i w:val="false"/>
                <w:color w:val="000000"/>
                <w:sz w:val="21"/>
              </w:rPr>
              <w:t>Disinfectant</w:t>
            </w:r>
          </w:p>
        </w:tc>
        <w:tc>
          <w:tcPr>
            <w:tcW w:w="0" w:type="auto"/>
            <w:gridSpan w:val="6"/>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Temperature, °C</w:t>
            </w:r>
          </w:p>
        </w:tc>
      </w:tr>
      <w:tr>
        <w:trPr>
          <w:trHeight w:val="300" w:hRule="atLeast"/>
        </w:trPr>
        <w:tc>
          <w:tcPr>
            <w:tcW w:w="0" w:type="auto"/>
            <w:vMerge/>
            <w:tcBorders>
              <w:top w:val="nil"/>
              <w:bottom w:val="single" w:color="000000" w:sz="8"/>
              <w:right w:val="single" w:color="000000" w:sz="8"/>
            </w:tcBorders>
          </w:tcPr>
          <w:p/>
        </w:tc>
        <w:tc>
          <w:tcPr>
            <w:tcW w:w="140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&lt;1</w:t>
            </w:r>
          </w:p>
        </w:tc>
        <w:tc>
          <w:tcPr>
            <w:tcW w:w="140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w:t>
            </w:r>
          </w:p>
        </w:tc>
        <w:tc>
          <w:tcPr>
            <w:tcW w:w="140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w:t>
            </w:r>
          </w:p>
        </w:tc>
        <w:tc>
          <w:tcPr>
            <w:tcW w:w="140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w:t>
            </w:r>
          </w:p>
        </w:tc>
        <w:tc>
          <w:tcPr>
            <w:tcW w:w="140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w:t>
            </w:r>
          </w:p>
        </w:tc>
        <w:tc>
          <w:tcPr>
            <w:tcW w:w="1388"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w:t>
            </w:r>
          </w:p>
        </w:tc>
      </w:tr>
      <w:tr>
        <w:trPr>
          <w:trHeight w:val="270" w:hRule="atLeast"/>
        </w:trPr>
        <w:tc>
          <w:tcPr>
            <w:tcW w:w="27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Chloramines</w:t>
            </w:r>
          </w:p>
        </w:tc>
        <w:tc>
          <w:tcPr>
            <w:tcW w:w="14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3800</w:t>
            </w:r>
          </w:p>
        </w:tc>
        <w:tc>
          <w:tcPr>
            <w:tcW w:w="1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2200</w:t>
            </w:r>
          </w:p>
        </w:tc>
        <w:tc>
          <w:tcPr>
            <w:tcW w:w="14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1850</w:t>
            </w:r>
          </w:p>
        </w:tc>
        <w:tc>
          <w:tcPr>
            <w:tcW w:w="1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1500</w:t>
            </w:r>
          </w:p>
        </w:tc>
        <w:tc>
          <w:tcPr>
            <w:tcW w:w="14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1100</w:t>
            </w:r>
          </w:p>
        </w:tc>
        <w:tc>
          <w:tcPr>
            <w:tcW w:w="138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750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These values are for pH values of 6 to 9. These CT values may be assumed to achieve greater than 99.99 percent inactivation of viruses only if chlorine is added and mixed in the water prior to the addition of ammonia. If this condition is not met, the system must demonstrate, based on on-site studies or other information, as approved by the department, that the system is achieving at least 99.99 percent inactivation of viruses. Any CT values between the indicated temperatures may be determined by linear interpolation. If no interpolation is used, use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 at the lower temperature for determining CT</w:t>
      </w:r>
      <w:r>
        <w:rPr>
          <w:rFonts w:ascii="Times New Roman" w:hAnsi="Times New Roman"/>
          <w:b w:val="false"/>
          <w:i w:val="false"/>
          <w:color w:val="000000"/>
          <w:sz w:val="18"/>
          <w:vertAlign w:val="subscript"/>
        </w:rPr>
        <w:t>99.9</w:t>
      </w:r>
      <w:r>
        <w:rPr>
          <w:rFonts w:ascii="Times New Roman" w:hAnsi="Times New Roman"/>
          <w:b w:val="false"/>
          <w:i w:val="false"/>
          <w:color w:val="000000"/>
          <w:sz w:val="16"/>
        </w:rPr>
        <w:t xml:space="preserve"> values between indicated temperatures.</w:t>
      </w:r>
    </w:p>
    <w:p>
      <w:pPr>
        <w:spacing w:before="60" w:after="0"/>
        <w:ind w:left="120"/>
        <w:jc w:val="center"/>
      </w:pPr>
      <w:r>
        <w:rPr>
          <w:rFonts w:ascii="Times New Roman" w:hAnsi="Times New Roman"/>
          <w:b w:val="false"/>
          <w:i w:val="false"/>
          <w:color w:val="000000"/>
          <w:sz w:val="22"/>
        </w:rPr>
        <w:t xml:space="preserve">APPENDIX B: CT TABLES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INACTIVATION</w:t>
      </w:r>
    </w:p>
    <w:p>
      <w:pPr>
        <w:spacing w:before="60" w:after="0"/>
        <w:ind w:left="120"/>
        <w:jc w:val="center"/>
      </w:pPr>
      <w:r>
        <w:rPr>
          <w:rFonts w:ascii="Times New Roman" w:hAnsi="Times New Roman"/>
          <w:b w:val="false"/>
          <w:i w:val="false"/>
          <w:color w:val="000000"/>
          <w:sz w:val="22"/>
        </w:rPr>
        <w:t xml:space="preserve">TABLE 1: CT Values (mg-min/L)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Inactivation by Chlorine Dioxide</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60"/>
        <w:gridCol w:w="960"/>
        <w:gridCol w:w="960"/>
        <w:gridCol w:w="960"/>
        <w:gridCol w:w="960"/>
        <w:gridCol w:w="960"/>
        <w:gridCol w:w="960"/>
        <w:gridCol w:w="960"/>
        <w:gridCol w:w="960"/>
        <w:gridCol w:w="960"/>
        <w:gridCol w:w="960"/>
        <w:gridCol w:w="960"/>
      </w:tblGrid>
      <w:tr>
        <w:trPr>
          <w:trHeight w:val="285" w:hRule="atLeast"/>
        </w:trPr>
        <w:tc>
          <w:tcPr>
            <w:tcW w:w="96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Log Credit</w:t>
            </w:r>
          </w:p>
        </w:tc>
        <w:tc>
          <w:tcPr>
            <w:tcW w:w="0" w:type="auto"/>
            <w:gridSpan w:val="11"/>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Water Temperature, °C</w:t>
            </w:r>
          </w:p>
        </w:tc>
      </w:tr>
      <w:tr>
        <w:trPr>
          <w:trHeight w:val="300" w:hRule="atLeast"/>
        </w:trPr>
        <w:tc>
          <w:tcPr>
            <w:tcW w:w="0" w:type="auto"/>
            <w:vMerge/>
            <w:tcBorders>
              <w:top w:val="nil"/>
              <w:bottom w:val="single" w:color="000000" w:sz="8"/>
              <w:right w:val="single" w:color="000000" w:sz="8"/>
            </w:tcBorders>
          </w:tcP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≤0.5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3</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7</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10</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20</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25</w:t>
            </w:r>
          </w:p>
        </w:tc>
        <w:tc>
          <w:tcPr>
            <w:tcW w:w="960" w:type="dxa"/>
            <w:tcBorders>
              <w:bottom w:val="doub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30</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0.25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140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90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0.5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305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279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256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214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180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138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89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24</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637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511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429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360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277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179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116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49</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956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915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838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767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643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539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268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174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113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73</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1275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1117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1023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858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553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357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232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98</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1594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1396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1278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1072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899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691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447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289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188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122</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1912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1830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1675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1534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1286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1079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830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536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347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226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147</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Systems may use this equation to determine log credit between the indicated values:</w:t>
      </w:r>
    </w:p>
    <w:p>
      <w:pPr>
        <w:spacing w:before="0" w:after="0"/>
        <w:ind w:left="120"/>
        <w:jc w:val="both"/>
      </w:pPr>
      <w:r>
        <w:rPr>
          <w:rFonts w:ascii="Times New Roman" w:hAnsi="Times New Roman"/>
          <w:b w:val="false"/>
          <w:i w:val="false"/>
          <w:color w:val="000000"/>
          <w:sz w:val="16"/>
        </w:rPr>
        <w:t>Log credit = [0.001506 × (1.09116)</w:t>
      </w:r>
      <w:r>
        <w:rPr>
          <w:rFonts w:ascii="Times New Roman" w:hAnsi="Times New Roman"/>
          <w:b w:val="false"/>
          <w:i w:val="false"/>
          <w:color w:val="000000"/>
          <w:sz w:val="18"/>
          <w:vertAlign w:val="superscript"/>
        </w:rPr>
        <w:t>Temp</w:t>
      </w:r>
      <w:r>
        <w:rPr>
          <w:rFonts w:ascii="Times New Roman" w:hAnsi="Times New Roman"/>
          <w:b w:val="false"/>
          <w:i w:val="false"/>
          <w:color w:val="000000"/>
          <w:sz w:val="16"/>
        </w:rPr>
        <w:t>] × CT</w:t>
      </w:r>
    </w:p>
    <w:p>
      <w:pPr>
        <w:spacing w:before="60" w:after="0"/>
        <w:ind w:left="120"/>
        <w:jc w:val="center"/>
      </w:pPr>
      <w:r>
        <w:rPr>
          <w:rFonts w:ascii="Times New Roman" w:hAnsi="Times New Roman"/>
          <w:b w:val="false"/>
          <w:i w:val="false"/>
          <w:color w:val="000000"/>
          <w:sz w:val="22"/>
        </w:rPr>
        <w:t xml:space="preserve">TABLE 2: CT Values (mg-min/L) for </w:t>
      </w:r>
      <w:r>
        <w:rPr>
          <w:rFonts w:ascii="Times New Roman" w:hAnsi="Times New Roman"/>
          <w:b w:val="false"/>
          <w:i/>
          <w:color w:val="000000"/>
          <w:sz w:val="22"/>
        </w:rPr>
        <w:t xml:space="preserve">Cryptosporidium </w:t>
      </w:r>
      <w:r>
        <w:rPr>
          <w:rFonts w:ascii="Times New Roman" w:hAnsi="Times New Roman"/>
          <w:b w:val="false"/>
          <w:i w:val="false"/>
          <w:color w:val="000000"/>
          <w:sz w:val="22"/>
        </w:rPr>
        <w:t>Inactivation by Ozone</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60"/>
        <w:gridCol w:w="960"/>
        <w:gridCol w:w="960"/>
        <w:gridCol w:w="960"/>
        <w:gridCol w:w="960"/>
        <w:gridCol w:w="960"/>
        <w:gridCol w:w="960"/>
        <w:gridCol w:w="960"/>
        <w:gridCol w:w="960"/>
        <w:gridCol w:w="960"/>
        <w:gridCol w:w="960"/>
        <w:gridCol w:w="960"/>
      </w:tblGrid>
      <w:tr>
        <w:trPr>
          <w:trHeight w:val="285" w:hRule="atLeast"/>
        </w:trPr>
        <w:tc>
          <w:tcPr>
            <w:tcW w:w="96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Log Credit</w:t>
            </w:r>
          </w:p>
        </w:tc>
        <w:tc>
          <w:tcPr>
            <w:tcW w:w="0" w:type="auto"/>
            <w:gridSpan w:val="11"/>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Water Temperature, °C</w:t>
            </w:r>
          </w:p>
        </w:tc>
      </w:tr>
      <w:tr>
        <w:trPr>
          <w:trHeight w:val="300" w:hRule="atLeast"/>
        </w:trPr>
        <w:tc>
          <w:tcPr>
            <w:tcW w:w="0" w:type="auto"/>
            <w:vMerge/>
            <w:tcBorders>
              <w:top w:val="nil"/>
              <w:bottom w:val="single" w:color="000000" w:sz="8"/>
              <w:right w:val="single" w:color="000000" w:sz="8"/>
            </w:tcBorders>
          </w:tcP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≤0.5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3</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7</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10</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20</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25</w:t>
            </w:r>
          </w:p>
        </w:tc>
        <w:tc>
          <w:tcPr>
            <w:tcW w:w="960" w:type="dxa"/>
            <w:tcBorders>
              <w:bottom w:val="doub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30</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0.25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0.6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0.39</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0.5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9.5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0.78</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9.9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1.6</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9.3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2.4</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3.1</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9.8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3.9</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63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4.7</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Systems may use this equation to determine log credit between the indicated values:</w:t>
      </w:r>
    </w:p>
    <w:p>
      <w:pPr>
        <w:spacing w:before="0" w:after="0"/>
        <w:ind w:left="120"/>
        <w:jc w:val="both"/>
      </w:pPr>
      <w:r>
        <w:rPr>
          <w:rFonts w:ascii="Times New Roman" w:hAnsi="Times New Roman"/>
          <w:b w:val="false"/>
          <w:i w:val="false"/>
          <w:color w:val="000000"/>
          <w:sz w:val="16"/>
        </w:rPr>
        <w:t>Log credit = [0.0397 × (1.09757)</w:t>
      </w:r>
      <w:r>
        <w:rPr>
          <w:rFonts w:ascii="Times New Roman" w:hAnsi="Times New Roman"/>
          <w:b w:val="false"/>
          <w:i w:val="false"/>
          <w:color w:val="000000"/>
          <w:sz w:val="18"/>
          <w:vertAlign w:val="superscript"/>
        </w:rPr>
        <w:t>Temp</w:t>
      </w:r>
      <w:r>
        <w:rPr>
          <w:rFonts w:ascii="Times New Roman" w:hAnsi="Times New Roman"/>
          <w:b w:val="false"/>
          <w:i w:val="false"/>
          <w:color w:val="000000"/>
          <w:sz w:val="16"/>
        </w:rPr>
        <w:t>] × CT</w:t>
      </w:r>
    </w:p>
    <w:p>
      <w:pPr>
        <w:spacing w:before="60" w:after="0"/>
        <w:ind w:left="120"/>
        <w:jc w:val="center"/>
      </w:pPr>
      <w:r>
        <w:rPr>
          <w:rFonts w:ascii="Times New Roman" w:hAnsi="Times New Roman"/>
          <w:b w:val="false"/>
          <w:i w:val="false"/>
          <w:color w:val="000000"/>
          <w:sz w:val="22"/>
        </w:rPr>
        <w:t xml:space="preserve">TABLE 3: UV Dose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w:t>
      </w:r>
      <w:r>
        <w:rPr>
          <w:rFonts w:ascii="Times New Roman" w:hAnsi="Times New Roman"/>
          <w:b w:val="false"/>
          <w:i/>
          <w:color w:val="000000"/>
          <w:sz w:val="22"/>
        </w:rPr>
        <w:t>Giardia lamblia</w:t>
      </w:r>
      <w:r>
        <w:rPr>
          <w:rFonts w:ascii="Times New Roman" w:hAnsi="Times New Roman"/>
          <w:b w:val="false"/>
          <w:i w:val="false"/>
          <w:color w:val="000000"/>
          <w:sz w:val="22"/>
        </w:rPr>
        <w:t>, and Virus Inactivation Credit</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2880"/>
        <w:gridCol w:w="2880"/>
      </w:tblGrid>
      <w:tr>
        <w:trPr>
          <w:trHeight w:val="585" w:hRule="atLeast"/>
        </w:trPr>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1"/>
              </w:rPr>
              <w:t>Log Credit</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color w:val="000000"/>
                <w:sz w:val="21"/>
              </w:rPr>
              <w:t>Cryptosporidium</w:t>
            </w:r>
          </w:p>
          <w:p>
            <w:pPr>
              <w:spacing w:before="0" w:after="0"/>
              <w:ind w:left="160"/>
              <w:jc w:val="center"/>
            </w:pPr>
            <w:r>
              <w:rPr>
                <w:rFonts w:ascii="Times New Roman" w:hAnsi="Times New Roman"/>
                <w:b w:val="false"/>
                <w:i w:val="false"/>
                <w:color w:val="000000"/>
                <w:sz w:val="21"/>
              </w:rPr>
              <w:t>UV dose (mJ/cm</w:t>
            </w:r>
            <w:r>
              <w:rPr>
                <w:rFonts w:ascii="Times New Roman" w:hAnsi="Times New Roman"/>
                <w:b w:val="false"/>
                <w:i w:val="false"/>
                <w:color w:val="000000"/>
                <w:sz w:val="18"/>
                <w:vertAlign w:val="superscript"/>
              </w:rPr>
              <w:t>2</w:t>
            </w:r>
            <w:r>
              <w:rPr>
                <w:rFonts w:ascii="Times New Roman" w:hAnsi="Times New Roman"/>
                <w:b w:val="false"/>
                <w:i w:val="false"/>
                <w:color w:val="000000"/>
                <w:sz w:val="21"/>
              </w:rPr>
              <w:t>)</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color w:val="000000"/>
                <w:sz w:val="21"/>
              </w:rPr>
              <w:t>Giardia lamblia</w:t>
            </w:r>
          </w:p>
          <w:p>
            <w:pPr>
              <w:spacing w:before="0" w:after="0"/>
              <w:ind w:left="160"/>
              <w:jc w:val="center"/>
            </w:pPr>
            <w:r>
              <w:rPr>
                <w:rFonts w:ascii="Times New Roman" w:hAnsi="Times New Roman"/>
                <w:b w:val="false"/>
                <w:i w:val="false"/>
                <w:color w:val="000000"/>
                <w:sz w:val="21"/>
              </w:rPr>
              <w:t>UV dose (mJ/cm</w:t>
            </w:r>
            <w:r>
              <w:rPr>
                <w:rFonts w:ascii="Times New Roman" w:hAnsi="Times New Roman"/>
                <w:b w:val="false"/>
                <w:i w:val="false"/>
                <w:color w:val="000000"/>
                <w:sz w:val="18"/>
                <w:vertAlign w:val="superscript"/>
              </w:rPr>
              <w:t>2</w:t>
            </w:r>
            <w:r>
              <w:rPr>
                <w:rFonts w:ascii="Times New Roman" w:hAnsi="Times New Roman"/>
                <w:b w:val="false"/>
                <w:i w:val="false"/>
                <w:color w:val="000000"/>
                <w:sz w:val="21"/>
              </w:rPr>
              <w:t>)</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Virus UV dose</w:t>
            </w:r>
          </w:p>
          <w:p>
            <w:pPr>
              <w:spacing w:before="0" w:after="0"/>
              <w:ind w:left="160"/>
              <w:jc w:val="center"/>
            </w:pPr>
            <w:r>
              <w:rPr>
                <w:rFonts w:ascii="Times New Roman" w:hAnsi="Times New Roman"/>
                <w:b w:val="false"/>
                <w:i w:val="false"/>
                <w:color w:val="000000"/>
                <w:sz w:val="21"/>
              </w:rPr>
              <w:t>(mJ/cm</w:t>
            </w:r>
            <w:r>
              <w:rPr>
                <w:rFonts w:ascii="Times New Roman" w:hAnsi="Times New Roman"/>
                <w:b w:val="false"/>
                <w:i w:val="false"/>
                <w:color w:val="000000"/>
                <w:sz w:val="18"/>
                <w:vertAlign w:val="superscript"/>
              </w:rPr>
              <w:t>2</w:t>
            </w:r>
            <w:r>
              <w:rPr>
                <w:rFonts w:ascii="Times New Roman" w:hAnsi="Times New Roman"/>
                <w:b w:val="false"/>
                <w:i w:val="false"/>
                <w:color w:val="000000"/>
                <w:sz w:val="21"/>
              </w:rPr>
              <w:t>)</w:t>
            </w:r>
          </w:p>
        </w:tc>
      </w:tr>
      <w:tr>
        <w:trPr>
          <w:trHeight w:val="27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0.5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1.6</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39</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58</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79</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5.8</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5.2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100</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8.5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7.7</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121</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143</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3.5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163</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4.0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22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186</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 treatment credits listed in Table 3 are for UV light at a wavelength of 254 nm as produced by a low-pressure mercury vapor lamp. To receive treatment credit for other lamp types, systems must demonstrate an equivalent germicidal dose through reactor validation testing. The UV dose values in this table are applicable only to post-filter applications of UV in filtered systems.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60" w:after="0"/>
        <w:ind w:left="120"/>
        <w:jc w:val="center"/>
      </w:pPr>
      <w:r>
        <w:rPr>
          <w:rFonts w:ascii="Times New Roman" w:hAnsi="Times New Roman"/>
          <w:b w:val="false"/>
          <w:i w:val="false"/>
          <w:color w:val="000000"/>
          <w:sz w:val="22"/>
        </w:rPr>
        <w:t>APPENDIX C: CT TABLES FOR VIRUS INACTIVATION UNDER THE GROUNDWATER RULE, 567—41.7(455B)</w:t>
      </w:r>
    </w:p>
    <w:p>
      <w:pPr>
        <w:spacing w:before="0" w:after="0"/>
        <w:ind w:left="120"/>
        <w:jc w:val="left"/>
      </w:pPr>
      <w:r>
        <w:rPr>
          <w:rFonts w:ascii="Times New Roman" w:hAnsi="Times New Roman"/>
          <w:b w:val="false"/>
          <w:i w:val="false"/>
          <w:color w:val="000000"/>
          <w:sz w:val="22"/>
        </w:rPr>
        <w:t> </w:t>
      </w:r>
    </w:p>
    <w:p>
      <w:pPr>
        <w:spacing w:before="60" w:after="0"/>
        <w:ind w:left="120"/>
        <w:jc w:val="center"/>
      </w:pPr>
      <w:r>
        <w:rPr>
          <w:rFonts w:ascii="Times New Roman" w:hAnsi="Times New Roman"/>
          <w:b w:val="false"/>
          <w:i w:val="false"/>
          <w:color w:val="000000"/>
          <w:sz w:val="22"/>
        </w:rPr>
        <w:t>TABLE 1: CT Values (mg-min/L) for Inactivation of Viruses by Free Chlorine, pH 6.0-9.0</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0"/>
        <w:gridCol w:w="1067"/>
        <w:gridCol w:w="1067"/>
        <w:gridCol w:w="1067"/>
        <w:gridCol w:w="1067"/>
        <w:gridCol w:w="1067"/>
        <w:gridCol w:w="1067"/>
        <w:gridCol w:w="1067"/>
        <w:gridCol w:w="1067"/>
        <w:gridCol w:w="1067"/>
      </w:tblGrid>
      <w:tr>
        <w:trPr>
          <w:trHeight w:val="225" w:hRule="atLeast"/>
        </w:trPr>
        <w:tc>
          <w:tcPr>
            <w:tcW w:w="170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9"/>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170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r>
      <w:tr>
        <w:trPr>
          <w:trHeight w:val="240" w:hRule="atLeast"/>
        </w:trPr>
        <w:tc>
          <w:tcPr>
            <w:tcW w:w="17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r>
      <w:tr>
        <w:trPr>
          <w:trHeight w:val="225" w:hRule="atLeast"/>
        </w:trPr>
        <w:tc>
          <w:tcPr>
            <w:tcW w:w="17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r>
      <w:tr>
        <w:trPr>
          <w:trHeight w:val="225" w:hRule="atLeast"/>
        </w:trPr>
        <w:tc>
          <w:tcPr>
            <w:tcW w:w="17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r>
      <w:tr>
        <w:trPr>
          <w:trHeight w:val="255" w:hRule="atLeast"/>
        </w:trPr>
        <w:tc>
          <w:tcPr>
            <w:tcW w:w="0" w:type="auto"/>
            <w:gridSpan w:val="10"/>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CT values provided in the table are modified by linear interpolation between 0.5°C increments.</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06"/>
        <w:gridCol w:w="1173"/>
        <w:gridCol w:w="1173"/>
        <w:gridCol w:w="1173"/>
        <w:gridCol w:w="1173"/>
        <w:gridCol w:w="1173"/>
        <w:gridCol w:w="1173"/>
        <w:gridCol w:w="1173"/>
        <w:gridCol w:w="1172"/>
      </w:tblGrid>
      <w:tr>
        <w:trPr>
          <w:trHeight w:val="225" w:hRule="atLeast"/>
        </w:trPr>
        <w:tc>
          <w:tcPr>
            <w:tcW w:w="180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8"/>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180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17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40" w:hRule="atLeast"/>
        </w:trPr>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1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r>
      <w:tr>
        <w:trPr>
          <w:trHeight w:val="225" w:hRule="atLeast"/>
        </w:trPr>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1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r>
      <w:tr>
        <w:trPr>
          <w:trHeight w:val="225" w:hRule="atLeast"/>
        </w:trPr>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11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r>
      <w:tr>
        <w:trPr>
          <w:trHeight w:val="255" w:hRule="atLeast"/>
        </w:trPr>
        <w:tc>
          <w:tcPr>
            <w:tcW w:w="0" w:type="auto"/>
            <w:gridSpan w:val="9"/>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CT values provided in the table are modified by linear interpolation between 0.5°C increments.</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06"/>
        <w:gridCol w:w="1173"/>
        <w:gridCol w:w="1173"/>
        <w:gridCol w:w="1173"/>
        <w:gridCol w:w="1173"/>
        <w:gridCol w:w="1173"/>
        <w:gridCol w:w="1173"/>
        <w:gridCol w:w="1173"/>
        <w:gridCol w:w="1172"/>
      </w:tblGrid>
      <w:tr>
        <w:trPr>
          <w:trHeight w:val="225" w:hRule="atLeast"/>
        </w:trPr>
        <w:tc>
          <w:tcPr>
            <w:tcW w:w="180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8"/>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180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1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172"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40" w:hRule="atLeast"/>
        </w:trPr>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17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25" w:hRule="atLeast"/>
        </w:trPr>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17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25" w:hRule="atLeast"/>
        </w:trPr>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1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17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55" w:hRule="atLeast"/>
        </w:trPr>
        <w:tc>
          <w:tcPr>
            <w:tcW w:w="0" w:type="auto"/>
            <w:gridSpan w:val="9"/>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CT values provided in the table are modified by linear interpolation between 0.5°C increments.</w:t>
            </w:r>
          </w:p>
        </w:tc>
      </w:tr>
    </w:tbl>
    <w:p>
      <w:pPr>
        <w:spacing w:before="60" w:after="0"/>
        <w:ind w:left="120"/>
        <w:jc w:val="center"/>
      </w:pPr>
      <w:r>
        <w:rPr>
          <w:rFonts w:ascii="Times New Roman" w:hAnsi="Times New Roman"/>
          <w:b w:val="false"/>
          <w:i w:val="false"/>
          <w:color w:val="000000"/>
          <w:sz w:val="22"/>
        </w:rPr>
        <w:t>TABLE 2: CT Values (mg-min/L) for Inactivation of Viruses by Free Chlorine, pH 9.1-10.0</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63"/>
        <w:gridCol w:w="1455"/>
        <w:gridCol w:w="1455"/>
        <w:gridCol w:w="1455"/>
        <w:gridCol w:w="1454"/>
        <w:gridCol w:w="1454"/>
        <w:gridCol w:w="1454"/>
      </w:tblGrid>
      <w:tr>
        <w:trPr>
          <w:trHeight w:val="225" w:hRule="atLeast"/>
        </w:trPr>
        <w:tc>
          <w:tcPr>
            <w:tcW w:w="246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6"/>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246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45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c>
          <w:tcPr>
            <w:tcW w:w="145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45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45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45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45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40" w:hRule="atLeast"/>
        </w:trPr>
        <w:tc>
          <w:tcPr>
            <w:tcW w:w="246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4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4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4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4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4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4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r>
      <w:tr>
        <w:trPr>
          <w:trHeight w:val="225" w:hRule="atLeast"/>
        </w:trPr>
        <w:tc>
          <w:tcPr>
            <w:tcW w:w="246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4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4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4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14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4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4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25" w:hRule="atLeast"/>
        </w:trPr>
        <w:tc>
          <w:tcPr>
            <w:tcW w:w="246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4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4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4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4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4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4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bl>
    <w:p>
      <w:pPr>
        <w:pageBreakBefore/>
        <w:spacing w:before="0" w:after="0"/>
        <w:ind w:left="120"/>
        <w:jc w:val="left"/>
      </w:pPr>
    </w:p>
    <w:p>
      <w:pPr>
        <w:spacing w:before="60" w:after="0"/>
        <w:ind w:left="120"/>
        <w:jc w:val="center"/>
      </w:pPr>
      <w:r>
        <w:rPr>
          <w:rFonts w:ascii="Times New Roman" w:hAnsi="Times New Roman"/>
          <w:b w:val="false"/>
          <w:i w:val="false"/>
          <w:color w:val="000000"/>
          <w:sz w:val="22"/>
        </w:rPr>
        <w:t>TABLE 3: CT Values (mg-min/L) for Inactivation of Viruses by Chlorine Dioxide, pH 6.0-9.0</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08"/>
        <w:gridCol w:w="1067"/>
        <w:gridCol w:w="1067"/>
        <w:gridCol w:w="1067"/>
        <w:gridCol w:w="1067"/>
        <w:gridCol w:w="1067"/>
        <w:gridCol w:w="1067"/>
        <w:gridCol w:w="1067"/>
        <w:gridCol w:w="1067"/>
        <w:gridCol w:w="1067"/>
      </w:tblGrid>
      <w:tr>
        <w:trPr>
          <w:trHeight w:val="225" w:hRule="atLeast"/>
        </w:trPr>
        <w:tc>
          <w:tcPr>
            <w:tcW w:w="22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9"/>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220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r>
      <w:tr>
        <w:trPr>
          <w:trHeight w:val="240" w:hRule="atLeast"/>
        </w:trPr>
        <w:tc>
          <w:tcPr>
            <w:tcW w:w="22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r>
      <w:tr>
        <w:trPr>
          <w:trHeight w:val="225" w:hRule="atLeast"/>
        </w:trPr>
        <w:tc>
          <w:tcPr>
            <w:tcW w:w="22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23.5</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19.2</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17.1</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16.2</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14.5</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13.7</w:t>
            </w:r>
          </w:p>
        </w:tc>
      </w:tr>
      <w:tr>
        <w:trPr>
          <w:trHeight w:val="225" w:hRule="atLeast"/>
        </w:trPr>
        <w:tc>
          <w:tcPr>
            <w:tcW w:w="22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50.1</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45.9</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31.7</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30.1</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26.8</w:t>
            </w:r>
          </w:p>
        </w:tc>
      </w:tr>
      <w:tr>
        <w:trPr>
          <w:trHeight w:val="255" w:hRule="atLeast"/>
        </w:trPr>
        <w:tc>
          <w:tcPr>
            <w:tcW w:w="0" w:type="auto"/>
            <w:gridSpan w:val="10"/>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CT values provided in the table are modified by linear interpolation between 0.5°C increments.</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58"/>
        <w:gridCol w:w="1117"/>
        <w:gridCol w:w="1117"/>
        <w:gridCol w:w="1117"/>
        <w:gridCol w:w="1117"/>
        <w:gridCol w:w="1116"/>
        <w:gridCol w:w="1116"/>
        <w:gridCol w:w="1116"/>
        <w:gridCol w:w="1116"/>
      </w:tblGrid>
      <w:tr>
        <w:trPr>
          <w:trHeight w:val="225" w:hRule="atLeast"/>
        </w:trPr>
        <w:tc>
          <w:tcPr>
            <w:tcW w:w="225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8"/>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225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1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1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1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1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1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1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1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116"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40" w:hRule="atLeast"/>
        </w:trPr>
        <w:tc>
          <w:tcPr>
            <w:tcW w:w="22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111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25" w:hRule="atLeast"/>
        </w:trPr>
        <w:tc>
          <w:tcPr>
            <w:tcW w:w="22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111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r>
      <w:tr>
        <w:trPr>
          <w:trHeight w:val="225" w:hRule="atLeast"/>
        </w:trPr>
        <w:tc>
          <w:tcPr>
            <w:tcW w:w="22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25.1</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23.4</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21.7</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18.4</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15.9</w:t>
            </w:r>
          </w:p>
        </w:tc>
        <w:tc>
          <w:tcPr>
            <w:tcW w:w="111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55" w:hRule="atLeast"/>
        </w:trPr>
        <w:tc>
          <w:tcPr>
            <w:tcW w:w="0" w:type="auto"/>
            <w:gridSpan w:val="9"/>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CT values provided in the table are modified by linear interpolation between 0.5°C increments.</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044"/>
        <w:gridCol w:w="1144"/>
        <w:gridCol w:w="1143"/>
        <w:gridCol w:w="1143"/>
        <w:gridCol w:w="1143"/>
        <w:gridCol w:w="1143"/>
        <w:gridCol w:w="1143"/>
        <w:gridCol w:w="1143"/>
        <w:gridCol w:w="1143"/>
      </w:tblGrid>
      <w:tr>
        <w:trPr>
          <w:trHeight w:val="225" w:hRule="atLeast"/>
        </w:trPr>
        <w:tc>
          <w:tcPr>
            <w:tcW w:w="20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8"/>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204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14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40" w:hRule="atLeast"/>
        </w:trPr>
        <w:tc>
          <w:tcPr>
            <w:tcW w:w="204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25" w:hRule="atLeast"/>
        </w:trPr>
        <w:tc>
          <w:tcPr>
            <w:tcW w:w="204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r>
      <w:tr>
        <w:trPr>
          <w:trHeight w:val="225" w:hRule="atLeast"/>
        </w:trPr>
        <w:tc>
          <w:tcPr>
            <w:tcW w:w="204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14.2</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r>
      <w:tr>
        <w:trPr>
          <w:trHeight w:val="255" w:hRule="atLeast"/>
        </w:trPr>
        <w:tc>
          <w:tcPr>
            <w:tcW w:w="0" w:type="auto"/>
            <w:gridSpan w:val="9"/>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CT values provided in the table are modified by linear interpolation between 0.5°C increments.</w:t>
            </w:r>
          </w:p>
        </w:tc>
      </w:tr>
    </w:tbl>
    <w:p>
      <w:pPr>
        <w:spacing w:before="60" w:after="0"/>
        <w:ind w:left="120"/>
        <w:jc w:val="center"/>
      </w:pPr>
      <w:r>
        <w:rPr>
          <w:rFonts w:ascii="Times New Roman" w:hAnsi="Times New Roman"/>
          <w:b w:val="false"/>
          <w:i w:val="false"/>
          <w:color w:val="000000"/>
          <w:sz w:val="22"/>
        </w:rPr>
        <w:t>TABLE 4: CT Values (mg-min/L) for Inactivation of Viruses by Ozone</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08"/>
        <w:gridCol w:w="1067"/>
        <w:gridCol w:w="1067"/>
        <w:gridCol w:w="1067"/>
        <w:gridCol w:w="1067"/>
        <w:gridCol w:w="1067"/>
        <w:gridCol w:w="1067"/>
        <w:gridCol w:w="1067"/>
        <w:gridCol w:w="1067"/>
        <w:gridCol w:w="1067"/>
      </w:tblGrid>
      <w:tr>
        <w:trPr>
          <w:trHeight w:val="225" w:hRule="atLeast"/>
        </w:trPr>
        <w:tc>
          <w:tcPr>
            <w:tcW w:w="22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9"/>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220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0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r>
      <w:tr>
        <w:trPr>
          <w:trHeight w:val="240" w:hRule="atLeast"/>
        </w:trPr>
        <w:tc>
          <w:tcPr>
            <w:tcW w:w="22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0.52</w:t>
            </w:r>
          </w:p>
        </w:tc>
      </w:tr>
      <w:tr>
        <w:trPr>
          <w:trHeight w:val="225" w:hRule="atLeast"/>
        </w:trPr>
        <w:tc>
          <w:tcPr>
            <w:tcW w:w="22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1.15</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0.82</w:t>
            </w:r>
          </w:p>
        </w:tc>
      </w:tr>
      <w:tr>
        <w:trPr>
          <w:trHeight w:val="225" w:hRule="atLeast"/>
        </w:trPr>
        <w:tc>
          <w:tcPr>
            <w:tcW w:w="22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1.65</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1.35</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1.16</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w:t>
            </w:r>
          </w:p>
        </w:tc>
        <w:tc>
          <w:tcPr>
            <w:tcW w:w="10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r>
      <w:tr>
        <w:trPr>
          <w:trHeight w:val="255" w:hRule="atLeast"/>
        </w:trPr>
        <w:tc>
          <w:tcPr>
            <w:tcW w:w="0" w:type="auto"/>
            <w:gridSpan w:val="10"/>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CT values provided in the table are modified by linear interpolation between 0.5°C increments.</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58"/>
        <w:gridCol w:w="1117"/>
        <w:gridCol w:w="1117"/>
        <w:gridCol w:w="1117"/>
        <w:gridCol w:w="1117"/>
        <w:gridCol w:w="1116"/>
        <w:gridCol w:w="1116"/>
        <w:gridCol w:w="1116"/>
        <w:gridCol w:w="1116"/>
      </w:tblGrid>
      <w:tr>
        <w:trPr>
          <w:trHeight w:val="225" w:hRule="atLeast"/>
        </w:trPr>
        <w:tc>
          <w:tcPr>
            <w:tcW w:w="225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8"/>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225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1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1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1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1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1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1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1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116"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40" w:hRule="atLeast"/>
        </w:trPr>
        <w:tc>
          <w:tcPr>
            <w:tcW w:w="22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0.46</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0.42</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0.38</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0.29</w:t>
            </w:r>
          </w:p>
        </w:tc>
        <w:tc>
          <w:tcPr>
            <w:tcW w:w="111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w:t>
            </w:r>
          </w:p>
        </w:tc>
      </w:tr>
      <w:tr>
        <w:trPr>
          <w:trHeight w:val="225" w:hRule="atLeast"/>
        </w:trPr>
        <w:tc>
          <w:tcPr>
            <w:tcW w:w="22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0.80</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0.74</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0.68</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0.62</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0.48</w:t>
            </w:r>
          </w:p>
        </w:tc>
        <w:tc>
          <w:tcPr>
            <w:tcW w:w="111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0.46</w:t>
            </w:r>
          </w:p>
        </w:tc>
      </w:tr>
      <w:tr>
        <w:trPr>
          <w:trHeight w:val="225" w:hRule="atLeast"/>
        </w:trPr>
        <w:tc>
          <w:tcPr>
            <w:tcW w:w="22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w:t>
            </w:r>
          </w:p>
        </w:tc>
        <w:tc>
          <w:tcPr>
            <w:tcW w:w="11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0.76</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0.68</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0.60</w:t>
            </w:r>
          </w:p>
        </w:tc>
        <w:tc>
          <w:tcPr>
            <w:tcW w:w="1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0.58</w:t>
            </w:r>
          </w:p>
        </w:tc>
        <w:tc>
          <w:tcPr>
            <w:tcW w:w="111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w:t>
            </w:r>
          </w:p>
        </w:tc>
      </w:tr>
      <w:tr>
        <w:trPr>
          <w:trHeight w:val="255" w:hRule="atLeast"/>
        </w:trPr>
        <w:tc>
          <w:tcPr>
            <w:tcW w:w="0" w:type="auto"/>
            <w:gridSpan w:val="9"/>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CT values provided in the table are modified by linear interpolation between 0.5°C increments.</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044"/>
        <w:gridCol w:w="1144"/>
        <w:gridCol w:w="1143"/>
        <w:gridCol w:w="1143"/>
        <w:gridCol w:w="1143"/>
        <w:gridCol w:w="1143"/>
        <w:gridCol w:w="1143"/>
        <w:gridCol w:w="1143"/>
        <w:gridCol w:w="1143"/>
      </w:tblGrid>
      <w:tr>
        <w:trPr>
          <w:trHeight w:val="225" w:hRule="atLeast"/>
        </w:trPr>
        <w:tc>
          <w:tcPr>
            <w:tcW w:w="20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Inactivation</w:t>
            </w:r>
          </w:p>
        </w:tc>
        <w:tc>
          <w:tcPr>
            <w:tcW w:w="0" w:type="auto"/>
            <w:gridSpan w:val="8"/>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 Temperature, °C</w:t>
            </w:r>
          </w:p>
        </w:tc>
      </w:tr>
      <w:tr>
        <w:trPr>
          <w:trHeight w:val="240" w:hRule="atLeast"/>
        </w:trPr>
        <w:tc>
          <w:tcPr>
            <w:tcW w:w="204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 Credit</w:t>
            </w:r>
          </w:p>
        </w:tc>
        <w:tc>
          <w:tcPr>
            <w:tcW w:w="114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1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40" w:hRule="atLeast"/>
        </w:trPr>
        <w:tc>
          <w:tcPr>
            <w:tcW w:w="204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0.27</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0.21</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0.19</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0.17</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w:t>
            </w:r>
          </w:p>
        </w:tc>
      </w:tr>
      <w:tr>
        <w:trPr>
          <w:trHeight w:val="225" w:hRule="atLeast"/>
        </w:trPr>
        <w:tc>
          <w:tcPr>
            <w:tcW w:w="204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0.42</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0.40</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w:t>
            </w:r>
          </w:p>
        </w:tc>
      </w:tr>
      <w:tr>
        <w:trPr>
          <w:trHeight w:val="225" w:hRule="atLeast"/>
        </w:trPr>
        <w:tc>
          <w:tcPr>
            <w:tcW w:w="204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0.54</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0.52</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0.46</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0.42</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0.38</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w:t>
            </w:r>
          </w:p>
        </w:tc>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w:t>
            </w:r>
          </w:p>
        </w:tc>
      </w:tr>
      <w:tr>
        <w:trPr>
          <w:trHeight w:val="255" w:hRule="atLeast"/>
        </w:trPr>
        <w:tc>
          <w:tcPr>
            <w:tcW w:w="0" w:type="auto"/>
            <w:gridSpan w:val="9"/>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CT values provided in the table are modified by linear interpolation between 0.5°C increments.</w:t>
            </w:r>
          </w:p>
        </w:tc>
      </w:tr>
    </w:tbl>
    <w:p>
      <w:pPr>
        <w:spacing w:before="0" w:after="0"/>
        <w:ind w:left="120"/>
        <w:jc w:val="both"/>
      </w:pPr>
      <w:r>
        <w:rPr>
          <w:rFonts w:ascii="Times New Roman" w:hAnsi="Times New Roman"/>
          <w:b w:val="false"/>
          <w:i w:val="false"/>
          <w:color w:val="000000"/>
          <w:sz w:val="22"/>
        </w:rPr>
        <w:t>No CT table is provided for chloramines or total chlorine because the CT values would be prohibitively high for groundwater systems.</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Tables are from the EPA Groundwater Rule Implementation Guidance, EPA 816-R-09-004, January 2009, pages 97-98.</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65">
        <w:r>
          <w:rPr>
            <w:rStyle w:val="Hyperlink"/>
            <w:rFonts w:ascii="Times New Roman" w:hAnsi="Times New Roman"/>
            <w:b w:val="false"/>
            <w:i w:val="false"/>
            <w:color w:val="000000"/>
            <w:sz w:val="22"/>
          </w:rPr>
          <w:t>455B.171 through 455B.188</w:t>
        </w:r>
      </w:hyperlink>
      <w:r>
        <w:rPr>
          <w:rFonts w:ascii="Times New Roman" w:hAnsi="Times New Roman"/>
          <w:b w:val="false"/>
          <w:i w:val="false"/>
          <w:color w:val="000000"/>
          <w:sz w:val="22"/>
        </w:rPr>
        <w:t xml:space="preserve"> and </w:t>
      </w:r>
      <w:hyperlink r:id="rId666">
        <w:r>
          <w:rPr>
            <w:rStyle w:val="Hyperlink"/>
            <w:rFonts w:ascii="Times New Roman" w:hAnsi="Times New Roman"/>
            <w:b w:val="false"/>
            <w:i w:val="false"/>
            <w:color w:val="000000"/>
            <w:sz w:val="22"/>
          </w:rPr>
          <w:t>455B.190 through 455B.192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11/26/90, Notice 6/13/90—published 12/12/90, effective 1/16/91]</w:t>
      </w:r>
    </w:p>
    <w:p>
      <w:pPr>
        <w:spacing w:before="0" w:after="0"/>
        <w:ind w:left="120"/>
        <w:jc w:val="center"/>
      </w:pPr>
      <w:r>
        <w:rPr>
          <w:rFonts w:ascii="Times New Roman" w:hAnsi="Times New Roman"/>
          <w:b w:val="false"/>
          <w:i w:val="false"/>
          <w:color w:val="000000"/>
          <w:sz w:val="21"/>
        </w:rPr>
        <w:t>[Filed 9/25/92, Notice 6/10/92—published 10/14/92, effective 11/18/92]</w:t>
      </w:r>
    </w:p>
    <w:p>
      <w:pPr>
        <w:spacing w:before="0" w:after="0"/>
        <w:ind w:left="120"/>
        <w:jc w:val="center"/>
      </w:pPr>
      <w:r>
        <w:rPr>
          <w:rFonts w:ascii="Times New Roman" w:hAnsi="Times New Roman"/>
          <w:b w:val="false"/>
          <w:i w:val="false"/>
          <w:color w:val="000000"/>
          <w:sz w:val="21"/>
        </w:rPr>
        <w:t>[Filed 7/30/93, Notice 5/12/93—published 8/18/93, effective 9/22/93]</w:t>
      </w:r>
    </w:p>
    <w:p>
      <w:pPr>
        <w:spacing w:before="0" w:after="0"/>
        <w:ind w:left="120"/>
        <w:jc w:val="center"/>
      </w:pPr>
      <w:r>
        <w:rPr>
          <w:rFonts w:ascii="Times New Roman" w:hAnsi="Times New Roman"/>
          <w:b w:val="false"/>
          <w:i w:val="false"/>
          <w:color w:val="000000"/>
          <w:sz w:val="21"/>
        </w:rPr>
        <w:t>[Filed 1/27/95, Notice 10/12/94—published 2/15/95, effective 3/22/95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8/25/95—published 9/13/95, effective 8/25/95]</w:t>
      </w:r>
    </w:p>
    <w:p>
      <w:pPr>
        <w:spacing w:before="0" w:after="0"/>
        <w:ind w:left="120"/>
        <w:jc w:val="center"/>
      </w:pPr>
      <w:r>
        <w:rPr>
          <w:rFonts w:ascii="Times New Roman" w:hAnsi="Times New Roman"/>
          <w:b w:val="false"/>
          <w:i w:val="false"/>
          <w:color w:val="000000"/>
          <w:sz w:val="21"/>
        </w:rPr>
        <w:t>[Filed 3/22/96, Notice 11/8/95—published 4/10/96, effective 5/15/96]</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9/29/00, Notice 6/14/00—published 10/18/00, effective 11/22/00]</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12/12/06, Notice 10/11/06—published 1/3/07, effective 2/7/07]</w:t>
      </w:r>
    </w:p>
    <w:p>
      <w:pPr>
        <w:spacing w:before="0" w:after="0"/>
        <w:ind w:left="120"/>
        <w:jc w:val="center"/>
      </w:pPr>
      <w:r>
        <w:rPr>
          <w:rFonts w:ascii="Times New Roman" w:hAnsi="Times New Roman"/>
          <w:b w:val="false"/>
          <w:i w:val="false"/>
          <w:color w:val="000000"/>
          <w:sz w:val="21"/>
        </w:rPr>
        <w:t>[Filed 7/6/07, Notice 3/28/07—published 8/1/07, effective 9/5/07]</w:t>
      </w:r>
    </w:p>
    <w:p>
      <w:pPr>
        <w:spacing w:before="0" w:after="0"/>
        <w:ind w:left="120"/>
        <w:jc w:val="center"/>
      </w:pPr>
      <w:r>
        <w:rPr>
          <w:rFonts w:ascii="Times New Roman" w:hAnsi="Times New Roman"/>
          <w:b w:val="false"/>
          <w:i w:val="false"/>
          <w:color w:val="000000"/>
          <w:sz w:val="21"/>
        </w:rPr>
        <w:t>[Filed ARC 9915B</w:t>
      </w:r>
      <w:r>
        <w:rPr>
          <w:rFonts w:ascii="Times New Roman" w:hAnsi="Times New Roman"/>
          <w:b w:val="false"/>
          <w:i w:val="false"/>
          <w:color w:val="000000"/>
          <w:sz w:val="21"/>
        </w:rPr>
        <w:t xml:space="preserve"> (Notice ARC 9737B,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6190C</w:t>
      </w:r>
      <w:r>
        <w:rPr>
          <w:rFonts w:ascii="Times New Roman" w:hAnsi="Times New Roman"/>
          <w:b w:val="false"/>
          <w:i w:val="false"/>
          <w:color w:val="000000"/>
          <w:sz w:val="21"/>
        </w:rPr>
        <w:t xml:space="preserve"> (Notice ARC 6037C, IAB 11/17/21)</w:t>
      </w:r>
      <w:r>
        <w:rPr>
          <w:rFonts w:ascii="Times New Roman" w:hAnsi="Times New Roman"/>
          <w:b w:val="false"/>
          <w:i w:val="false"/>
          <w:color w:val="000000"/>
          <w:sz w:val="21"/>
        </w:rPr>
        <w:t>, IAB 2/9/22, effective 3/16/22]</w:t>
      </w:r>
    </w:p>
    <w:p>
      <w:pPr>
        <w:pBdr>
          <w:bottom w:space="2"/>
        </w:pBdr>
        <w:spacing w:before="0" w:after="0"/>
        <w:ind w:left="120"/>
        <w:jc w:val="both"/>
      </w:pPr>
      <w:r>
        <w:rPr>
          <w:rFonts w:ascii="Times New Roman" w:hAnsi="Times New Roman"/>
          <w:b w:val="false"/>
          <w:i w:val="false"/>
          <w:color w:val="000000"/>
          <w:sz w:val="22"/>
        </w:rPr>
        <w:t>Effective date of 43.2(3)</w:t>
      </w:r>
      <w:r>
        <w:rPr>
          <w:rFonts w:ascii="Times New Roman" w:hAnsi="Times New Roman"/>
          <w:b w:val="false"/>
          <w:i/>
          <w:color w:val="000000"/>
          <w:sz w:val="22"/>
        </w:rPr>
        <w:t>“b”</w:t>
      </w:r>
      <w:r>
        <w:rPr>
          <w:rFonts w:ascii="Times New Roman" w:hAnsi="Times New Roman"/>
          <w:b w:val="false"/>
          <w:i w:val="false"/>
          <w:color w:val="000000"/>
          <w:sz w:val="22"/>
        </w:rPr>
        <w:t>(1) to (9) and 43.3(3)</w:t>
      </w:r>
      <w:r>
        <w:rPr>
          <w:rFonts w:ascii="Times New Roman" w:hAnsi="Times New Roman"/>
          <w:b w:val="false"/>
          <w:i/>
          <w:color w:val="000000"/>
          <w:sz w:val="22"/>
        </w:rPr>
        <w:t>“b”</w:t>
      </w:r>
      <w:r>
        <w:rPr>
          <w:rFonts w:ascii="Times New Roman" w:hAnsi="Times New Roman"/>
          <w:b w:val="false"/>
          <w:i w:val="false"/>
          <w:color w:val="000000"/>
          <w:sz w:val="22"/>
        </w:rPr>
        <w:t>(1) and (2) delayed until adjournment of the 1995 General Assembly by the Administrative Rules Review Committee at its meeting held March 13, 1995.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40.2.pdf" Type="http://schemas.openxmlformats.org/officeDocument/2006/relationships/hyperlink" Id="rId5"/>
    <Relationship TargetMode="External" Target="https://www.legis.iowa.gov/docs/iac/chapter/567.41.pdf" Type="http://schemas.openxmlformats.org/officeDocument/2006/relationships/hyperlink" Id="rId6"/>
    <Relationship TargetMode="External" Target="https://www.legis.iowa.gov/docs/iac/chapter/567.43.pdf" Type="http://schemas.openxmlformats.org/officeDocument/2006/relationships/hyperlink" Id="rId7"/>
    <Relationship TargetMode="External" Target="https://www.legis.iowa.gov/docs/iac/chapter/567.41.pdf" Type="http://schemas.openxmlformats.org/officeDocument/2006/relationships/hyperlink" Id="rId8"/>
    <Relationship TargetMode="External" Target="https://www.legis.iowa.gov/docs/iac/chapter/567.43.pdf" Type="http://schemas.openxmlformats.org/officeDocument/2006/relationships/hyperlink" Id="rId9"/>
    <Relationship TargetMode="External" Target="https://www.legis.iowa.gov/docs/iac/chapter/567.41.pdf" Type="http://schemas.openxmlformats.org/officeDocument/2006/relationships/hyperlink" Id="rId10"/>
    <Relationship TargetMode="External" Target="https://www.legis.iowa.gov/docs/iac/chapter/567.43.pdf" Type="http://schemas.openxmlformats.org/officeDocument/2006/relationships/hyperlink" Id="rId11"/>
    <Relationship TargetMode="External" Target="https://www.legis.iowa.gov/docs/iac/chapter/567.41.pdf" Type="http://schemas.openxmlformats.org/officeDocument/2006/relationships/hyperlink" Id="rId12"/>
    <Relationship TargetMode="External" Target="https://www.legis.iowa.gov/docs/iac/chapter/567.43.pdf" Type="http://schemas.openxmlformats.org/officeDocument/2006/relationships/hyperlink" Id="rId13"/>
    <Relationship TargetMode="External" Target="https://www.legis.iowa.gov/docs/iac/chapter/567.41.pdf" Type="http://schemas.openxmlformats.org/officeDocument/2006/relationships/hyperlink" Id="rId14"/>
    <Relationship TargetMode="External" Target="https://www.legis.iowa.gov/docs/iac/chapter/567.43.pdf" Type="http://schemas.openxmlformats.org/officeDocument/2006/relationships/hyperlink" Id="rId15"/>
    <Relationship TargetMode="External" Target="https://www.legis.iowa.gov/docs/iac/rule/567.43.1.pdf" Type="http://schemas.openxmlformats.org/officeDocument/2006/relationships/hyperlink" Id="rId16"/>
    <Relationship TargetMode="External" Target="https://www.legis.iowa.gov/docs/iac/chapter/567.41.pdf" Type="http://schemas.openxmlformats.org/officeDocument/2006/relationships/hyperlink" Id="rId17"/>
    <Relationship TargetMode="External" Target="https://www.legis.iowa.gov/docs/iac/chapter/567.43.pdf" Type="http://schemas.openxmlformats.org/officeDocument/2006/relationships/hyperlink" Id="rId18"/>
    <Relationship TargetMode="External" Target="https://www.legis.iowa.gov/docs/iac/chapter/567.81.pdf" Type="http://schemas.openxmlformats.org/officeDocument/2006/relationships/hyperlink" Id="rId19"/>
    <Relationship TargetMode="External" Target="https://www.legis.iowa.gov/docs/iac/chapter/567.40.pdf" Type="http://schemas.openxmlformats.org/officeDocument/2006/relationships/hyperlink" Id="rId20"/>
    <Relationship TargetMode="External" Target="https://www.legis.iowa.gov/docs/iac/chapter/567.44.pdf" Type="http://schemas.openxmlformats.org/officeDocument/2006/relationships/hyperlink" Id="rId21"/>
    <Relationship TargetMode="External" Target="https://www.legis.iowa.gov/docs/iac/chapter/567.81.pdf" Type="http://schemas.openxmlformats.org/officeDocument/2006/relationships/hyperlink" Id="rId22"/>
    <Relationship TargetMode="External" Target="https://www.legis.iowa.gov/docs/iac/chapter/567.40.pdf" Type="http://schemas.openxmlformats.org/officeDocument/2006/relationships/hyperlink" Id="rId23"/>
    <Relationship TargetMode="External" Target="https://www.legis.iowa.gov/docs/iac/chapter/567.44.pdf" Type="http://schemas.openxmlformats.org/officeDocument/2006/relationships/hyperlink" Id="rId24"/>
    <Relationship TargetMode="External" Target="https://www.legis.iowa.gov/docs/iac/chapter/567.81.pdf" Type="http://schemas.openxmlformats.org/officeDocument/2006/relationships/hyperlink" Id="rId25"/>
    <Relationship TargetMode="External" Target="https://www.legis.iowa.gov/docs/iac/chapter/567.81.pdf" Type="http://schemas.openxmlformats.org/officeDocument/2006/relationships/hyperlink" Id="rId26"/>
    <Relationship TargetMode="External" Target="https://www.legis.iowa.gov/docs/ico/chapter/455B.183A.pdf" Type="http://schemas.openxmlformats.org/officeDocument/2006/relationships/hyperlink" Id="rId27"/>
    <Relationship TargetMode="External" Target="https://www.legis.iowa.gov/docs/ico/chapter/455B.175.pdf" Type="http://schemas.openxmlformats.org/officeDocument/2006/relationships/hyperlink" Id="rId28"/>
    <Relationship TargetMode="External" Target="https://www.legis.iowa.gov/docs/ico/chapter/455B.175.pdf" Type="http://schemas.openxmlformats.org/officeDocument/2006/relationships/hyperlink" Id="rId29"/>
    <Relationship TargetMode="External" Target="https://www.legis.iowa.gov/docs/iac/rule/567.43.2.pdf" Type="http://schemas.openxmlformats.org/officeDocument/2006/relationships/hyperlink" Id="rId30"/>
    <Relationship TargetMode="External" Target="https://www.legis.iowa.gov/docs/iac/rule/567.43.2.pdf" Type="http://schemas.openxmlformats.org/officeDocument/2006/relationships/hyperlink" Id="rId31"/>
    <Relationship TargetMode="External" Target="https://www.legis.iowa.gov/docs/iac/chapter/567.7.pdf" Type="http://schemas.openxmlformats.org/officeDocument/2006/relationships/hyperlink" Id="rId32"/>
    <Relationship TargetMode="External" Target="https://www.legis.iowa.gov/docs/iac/rule/567.43.3.pdf" Type="http://schemas.openxmlformats.org/officeDocument/2006/relationships/hyperlink" Id="rId33"/>
    <Relationship TargetMode="External" Target="https://www.legis.iowa.gov/docs/iac/rule/456.43.3.pdf" Type="http://schemas.openxmlformats.org/officeDocument/2006/relationships/hyperlink" Id="rId34"/>
    <Relationship TargetMode="External" Target="https://www.legis.iowa.gov/docs/iac/rule/567.43.3.pdf" Type="http://schemas.openxmlformats.org/officeDocument/2006/relationships/hyperlink" Id="rId35"/>
    <Relationship TargetMode="External" Target="https://www.legis.iowa.gov/docs/iac/rule/567.43.2.pdf" Type="http://schemas.openxmlformats.org/officeDocument/2006/relationships/hyperlink" Id="rId36"/>
    <Relationship TargetMode="External" Target="https://www.legis.iowa.gov/docs/iac/rule/567.43.3.pdf" Type="http://schemas.openxmlformats.org/officeDocument/2006/relationships/hyperlink" Id="rId37"/>
    <Relationship TargetMode="External" Target="https://www.legis.iowa.gov/docs/iac/chapter/567.7.pdf" Type="http://schemas.openxmlformats.org/officeDocument/2006/relationships/hyperlink" Id="rId38"/>
    <Relationship TargetMode="External" Target="https://www.legis.iowa.gov/docs/iac/chapter/567.7.pdf" Type="http://schemas.openxmlformats.org/officeDocument/2006/relationships/hyperlink" Id="rId39"/>
    <Relationship TargetMode="External" Target="https://www.legis.iowa.gov/docs/iac/chapter/567.40.pdf" Type="http://schemas.openxmlformats.org/officeDocument/2006/relationships/hyperlink" Id="rId40"/>
    <Relationship TargetMode="External" Target="https://www.legis.iowa.gov/docs/iac/chapter/567.43.pdf" Type="http://schemas.openxmlformats.org/officeDocument/2006/relationships/hyperlink" Id="rId41"/>
    <Relationship TargetMode="External" Target="https://www.legis.iowa.gov/docs/iac/rule/567.43.8.pdf" Type="http://schemas.openxmlformats.org/officeDocument/2006/relationships/hyperlink" Id="rId42"/>
    <Relationship TargetMode="External" Target="https://www.legis.iowa.gov/docs/iac/chapter/567.41.pdf" Type="http://schemas.openxmlformats.org/officeDocument/2006/relationships/hyperlink" Id="rId43"/>
    <Relationship TargetMode="External" Target="https://www.legis.iowa.gov/docs/iac/chapter/567.43.pdf" Type="http://schemas.openxmlformats.org/officeDocument/2006/relationships/hyperlink" Id="rId44"/>
    <Relationship TargetMode="External" Target="https://www.legis.iowa.gov/docs/iac/rule/567.43.3.pdf" Type="http://schemas.openxmlformats.org/officeDocument/2006/relationships/hyperlink" Id="rId45"/>
    <Relationship TargetMode="External" Target="https://www.legis.iowa.gov/docs/iac/rule/567.43.2.pdf" Type="http://schemas.openxmlformats.org/officeDocument/2006/relationships/hyperlink" Id="rId46"/>
    <Relationship TargetMode="External" Target="https://www.legis.iowa.gov/docs/iac/rule/567.43.2.pdf" Type="http://schemas.openxmlformats.org/officeDocument/2006/relationships/hyperlink" Id="rId47"/>
    <Relationship TargetMode="External" Target="https://www.legis.iowa.gov/docs/iac/rule/567.43.3.pdf" Type="http://schemas.openxmlformats.org/officeDocument/2006/relationships/hyperlink" Id="rId48"/>
    <Relationship TargetMode="External" Target="https://www.legis.iowa.gov/docs/iac/rule/567.43.3.pdf" Type="http://schemas.openxmlformats.org/officeDocument/2006/relationships/hyperlink" Id="rId49"/>
    <Relationship TargetMode="External" Target="https://www.legis.iowa.gov/docs/iac/rule/567.43.3.pdf" Type="http://schemas.openxmlformats.org/officeDocument/2006/relationships/hyperlink" Id="rId50"/>
    <Relationship TargetMode="External" Target="https://www.legis.iowa.gov/docs/iac/rule/567.43.3.pdf" Type="http://schemas.openxmlformats.org/officeDocument/2006/relationships/hyperlink" Id="rId51"/>
    <Relationship TargetMode="External" Target="https://www.legis.iowa.gov/docs/iac/rule/567.43.3.pdf" Type="http://schemas.openxmlformats.org/officeDocument/2006/relationships/hyperlink" Id="rId52"/>
    <Relationship TargetMode="External" Target="https://www.legis.iowa.gov/docs/iac/rule/567.43.3.pdf" Type="http://schemas.openxmlformats.org/officeDocument/2006/relationships/hyperlink" Id="rId53"/>
    <Relationship TargetMode="External" Target="https://www.legis.iowa.gov/docs/iac/rule/567.43.3.pdf" Type="http://schemas.openxmlformats.org/officeDocument/2006/relationships/hyperlink" Id="rId54"/>
    <Relationship TargetMode="External" Target="https://www.legis.iowa.gov/docs/iac/chapter/567.7.pdf" Type="http://schemas.openxmlformats.org/officeDocument/2006/relationships/hyperlink" Id="rId55"/>
    <Relationship TargetMode="External" Target="https://www.legis.iowa.gov/docs/iac/rule/567.43.3.pdf" Type="http://schemas.openxmlformats.org/officeDocument/2006/relationships/hyperlink" Id="rId56"/>
    <Relationship TargetMode="External" Target="https://www.legis.iowa.gov/docs/iac/chapter/567.9.pdf" Type="http://schemas.openxmlformats.org/officeDocument/2006/relationships/hyperlink" Id="rId57"/>
    <Relationship TargetMode="External" Target="https://www.legis.iowa.gov/docs/iac/rule/567.43.3.pdf" Type="http://schemas.openxmlformats.org/officeDocument/2006/relationships/hyperlink" Id="rId58"/>
    <Relationship TargetMode="External" Target="https://www.legis.iowa.gov/docs/iac/rule/567.43.3.pdf" Type="http://schemas.openxmlformats.org/officeDocument/2006/relationships/hyperlink" Id="rId59"/>
    <Relationship TargetMode="External" Target="https://www.legis.iowa.gov/docs/iac/rule/567.43.3.pdf" Type="http://schemas.openxmlformats.org/officeDocument/2006/relationships/hyperlink" Id="rId60"/>
    <Relationship TargetMode="External" Target="https://www.legis.iowa.gov/docs/iac/chapter/567.41.pdf" Type="http://schemas.openxmlformats.org/officeDocument/2006/relationships/hyperlink" Id="rId61"/>
    <Relationship TargetMode="External" Target="https://www.legis.iowa.gov/docs/iac/chapter/567.43.pdf" Type="http://schemas.openxmlformats.org/officeDocument/2006/relationships/hyperlink" Id="rId62"/>
    <Relationship TargetMode="External" Target="https://www.legis.iowa.gov/docs/iac/rule/567.43.8.pdf" Type="http://schemas.openxmlformats.org/officeDocument/2006/relationships/hyperlink" Id="rId63"/>
    <Relationship TargetMode="External" Target="https://www.legis.iowa.gov/docs/iac/rule/567.43.3.pdf" Type="http://schemas.openxmlformats.org/officeDocument/2006/relationships/hyperlink" Id="rId64"/>
    <Relationship TargetMode="External" Target="https://www.legis.iowa.gov/docs/iac/rule/567.40.4.pdf" Type="http://schemas.openxmlformats.org/officeDocument/2006/relationships/hyperlink" Id="rId65"/>
    <Relationship TargetMode="External" Target="https://www.legis.iowa.gov/docs/iac/rule/567.43.3.pdf" Type="http://schemas.openxmlformats.org/officeDocument/2006/relationships/hyperlink" Id="rId66"/>
    <Relationship TargetMode="External" Target="https://www.legis.iowa.gov/docs/iac/rule/567.43.3.pdf" Type="http://schemas.openxmlformats.org/officeDocument/2006/relationships/hyperlink" Id="rId67"/>
    <Relationship TargetMode="External" Target="https://www.legis.iowa.gov/docs/iac/rule/567.43.3.pdf" Type="http://schemas.openxmlformats.org/officeDocument/2006/relationships/hyperlink" Id="rId68"/>
    <Relationship TargetMode="External" Target="https://www.legis.iowa.gov/docs/iac/rule/567.40.3.pdf" Type="http://schemas.openxmlformats.org/officeDocument/2006/relationships/hyperlink" Id="rId69"/>
    <Relationship TargetMode="External" Target="https://www.legis.iowa.gov/docs/iac/rule/567.40.4.pdf" Type="http://schemas.openxmlformats.org/officeDocument/2006/relationships/hyperlink" Id="rId70"/>
    <Relationship TargetMode="External" Target="https://www.legis.iowa.gov/docs/iac/rule/567.43.3.pdf" Type="http://schemas.openxmlformats.org/officeDocument/2006/relationships/hyperlink" Id="rId71"/>
    <Relationship TargetMode="External" Target="https://www.legis.iowa.gov/docs/iac/rule/567.43.3.pdf" Type="http://schemas.openxmlformats.org/officeDocument/2006/relationships/hyperlink" Id="rId72"/>
    <Relationship TargetMode="External" Target="https://www.legis.iowa.gov/docs/iac/rule/567.43.3.pdf" Type="http://schemas.openxmlformats.org/officeDocument/2006/relationships/hyperlink" Id="rId73"/>
    <Relationship TargetMode="External" Target="https://www.legis.iowa.gov/docs/iac/chapter/567.82.pdf" Type="http://schemas.openxmlformats.org/officeDocument/2006/relationships/hyperlink" Id="rId74"/>
    <Relationship TargetMode="External" Target="https://www.legis.iowa.gov/docs/iac/rule/567.40.3.pdf" Type="http://schemas.openxmlformats.org/officeDocument/2006/relationships/hyperlink" Id="rId75"/>
    <Relationship TargetMode="External" Target="https://www.legis.iowa.gov/docs/iac/rule/567.40.3.pdf" Type="http://schemas.openxmlformats.org/officeDocument/2006/relationships/hyperlink" Id="rId76"/>
    <Relationship TargetMode="External" Target="https://www.legis.iowa.gov/docs/iac/rule/567.43.3.pdf" Type="http://schemas.openxmlformats.org/officeDocument/2006/relationships/hyperlink" Id="rId77"/>
    <Relationship TargetMode="External" Target="https://www.legis.iowa.gov/docs/iac/rule/567.43.3.pdf" Type="http://schemas.openxmlformats.org/officeDocument/2006/relationships/hyperlink" Id="rId78"/>
    <Relationship TargetMode="External" Target="https://www.legis.iowa.gov/docs/iac/rule/567.43.3.pdf" Type="http://schemas.openxmlformats.org/officeDocument/2006/relationships/hyperlink" Id="rId79"/>
    <Relationship TargetMode="External" Target="https://www.legis.iowa.gov/docs/iac/rule/567.40.4.pdf" Type="http://schemas.openxmlformats.org/officeDocument/2006/relationships/hyperlink" Id="rId80"/>
    <Relationship TargetMode="External" Target="https://www.legis.iowa.gov/docs/iac/rule/567.43.3.pdf" Type="http://schemas.openxmlformats.org/officeDocument/2006/relationships/hyperlink" Id="rId81"/>
    <Relationship TargetMode="External" Target="https://www.legis.iowa.gov/docs/iac/rule/567.43.3.pdf" Type="http://schemas.openxmlformats.org/officeDocument/2006/relationships/hyperlink" Id="rId82"/>
    <Relationship TargetMode="External" Target="https://www.legis.iowa.gov/docs/iac/rule/567.43.3.pdf" Type="http://schemas.openxmlformats.org/officeDocument/2006/relationships/hyperlink" Id="rId83"/>
    <Relationship TargetMode="External" Target="https://www.legis.iowa.gov/docs/iac/chapter/567.41.pdf" Type="http://schemas.openxmlformats.org/officeDocument/2006/relationships/hyperlink" Id="rId84"/>
    <Relationship TargetMode="External" Target="https://www.legis.iowa.gov/docs/iac/chapter/567.43.pdf" Type="http://schemas.openxmlformats.org/officeDocument/2006/relationships/hyperlink" Id="rId85"/>
    <Relationship TargetMode="External" Target="https://www.legis.iowa.gov/docs/iac/rule/567.43.3.pdf" Type="http://schemas.openxmlformats.org/officeDocument/2006/relationships/hyperlink" Id="rId86"/>
    <Relationship TargetMode="External" Target="https://www.legis.iowa.gov/docs/iac/chapter/567.41.pdf" Type="http://schemas.openxmlformats.org/officeDocument/2006/relationships/hyperlink" Id="rId87"/>
    <Relationship TargetMode="External" Target="https://www.legis.iowa.gov/docs/iac/chapter/567.43.pdf" Type="http://schemas.openxmlformats.org/officeDocument/2006/relationships/hyperlink" Id="rId88"/>
    <Relationship TargetMode="External" Target="https://www.legis.iowa.gov/docs/iac/chapter/567.41.pdf" Type="http://schemas.openxmlformats.org/officeDocument/2006/relationships/hyperlink" Id="rId89"/>
    <Relationship TargetMode="External" Target="https://www.legis.iowa.gov/docs/iac/chapter/567.41.pdf" Type="http://schemas.openxmlformats.org/officeDocument/2006/relationships/hyperlink" Id="rId90"/>
    <Relationship TargetMode="External" Target="https://www.legis.iowa.gov/docs/iac/rule/567.43.3.pdf" Type="http://schemas.openxmlformats.org/officeDocument/2006/relationships/hyperlink" Id="rId91"/>
    <Relationship TargetMode="External" Target="https://www.legis.iowa.gov/docs/iac/rule/567.43.3.pdf" Type="http://schemas.openxmlformats.org/officeDocument/2006/relationships/hyperlink" Id="rId92"/>
    <Relationship TargetMode="External" Target="https://www.legis.iowa.gov/docs/iac/rule/567.41.5.pdf" Type="http://schemas.openxmlformats.org/officeDocument/2006/relationships/hyperlink" Id="rId93"/>
    <Relationship TargetMode="External" Target="https://www.legis.iowa.gov/docs/iac/rule/567.41.3.pdf" Type="http://schemas.openxmlformats.org/officeDocument/2006/relationships/hyperlink" Id="rId94"/>
    <Relationship TargetMode="External" Target="https://www.legis.iowa.gov/docs/iac/rule/567.41.5.pdf" Type="http://schemas.openxmlformats.org/officeDocument/2006/relationships/hyperlink" Id="rId95"/>
    <Relationship TargetMode="External" Target="https://www.legis.iowa.gov/docs/iac/rule/567.41.5.pdf" Type="http://schemas.openxmlformats.org/officeDocument/2006/relationships/hyperlink" Id="rId96"/>
    <Relationship TargetMode="External" Target="https://www.legis.iowa.gov/docs/iac/rule/567.43.3.pdf" Type="http://schemas.openxmlformats.org/officeDocument/2006/relationships/hyperlink" Id="rId97"/>
    <Relationship TargetMode="External" Target="https://www.legis.iowa.gov/docs/iac/rule/567.42.1.pdf" Type="http://schemas.openxmlformats.org/officeDocument/2006/relationships/hyperlink" Id="rId98"/>
    <Relationship TargetMode="External" Target="https://www.legis.iowa.gov/docs/iac/rule/567.43.2.pdf" Type="http://schemas.openxmlformats.org/officeDocument/2006/relationships/hyperlink" Id="rId99"/>
    <Relationship TargetMode="External" Target="https://www.legis.iowa.gov/docs/iac/rule/567.43.3.pdf" Type="http://schemas.openxmlformats.org/officeDocument/2006/relationships/hyperlink" Id="rId100"/>
    <Relationship TargetMode="External" Target="https://www.legis.iowa.gov/docs/iac/rule/567.43.3.pdf" Type="http://schemas.openxmlformats.org/officeDocument/2006/relationships/hyperlink" Id="rId101"/>
    <Relationship TargetMode="External" Target="https://www.legis.iowa.gov/docs/iac/rule/567.42.1.pdf" Type="http://schemas.openxmlformats.org/officeDocument/2006/relationships/hyperlink" Id="rId102"/>
    <Relationship TargetMode="External" Target="https://www.legis.iowa.gov/docs/iac/rule/567.43.2.pdf" Type="http://schemas.openxmlformats.org/officeDocument/2006/relationships/hyperlink" Id="rId103"/>
    <Relationship TargetMode="External" Target="https://www.legis.iowa.gov/docs/iac/rule/567.43.3.pdf" Type="http://schemas.openxmlformats.org/officeDocument/2006/relationships/hyperlink" Id="rId104"/>
    <Relationship TargetMode="External" Target="https://www.legis.iowa.gov/docs/iac/rule/567.43.3.pdf" Type="http://schemas.openxmlformats.org/officeDocument/2006/relationships/hyperlink" Id="rId105"/>
    <Relationship TargetMode="External" Target="https://www.legis.iowa.gov/docs/iac/rule/567.43.9.pdf" Type="http://schemas.openxmlformats.org/officeDocument/2006/relationships/hyperlink" Id="rId106"/>
    <Relationship TargetMode="External" Target="https://www.legis.iowa.gov/docs/iac/rule/567.43.10.pdf" Type="http://schemas.openxmlformats.org/officeDocument/2006/relationships/hyperlink" Id="rId107"/>
    <Relationship TargetMode="External" Target="https://www.legis.iowa.gov/docs/iac/rule/567.43.5.pdf" Type="http://schemas.openxmlformats.org/officeDocument/2006/relationships/hyperlink" Id="rId108"/>
    <Relationship TargetMode="External" Target="https://www.legis.iowa.gov/docs/iac/rule/567.43.5.pdf" Type="http://schemas.openxmlformats.org/officeDocument/2006/relationships/hyperlink" Id="rId109"/>
    <Relationship TargetMode="External" Target="https://www.legis.iowa.gov/docs/iac/rule/567.43.5.pdf" Type="http://schemas.openxmlformats.org/officeDocument/2006/relationships/hyperlink" Id="rId110"/>
    <Relationship TargetMode="External" Target="https://www.legis.iowa.gov/docs/iac/rule/567.43.5.pdf" Type="http://schemas.openxmlformats.org/officeDocument/2006/relationships/hyperlink" Id="rId111"/>
    <Relationship TargetMode="External" Target="https://www.legis.iowa.gov/docs/iac/rule/567.43.5.pdf" Type="http://schemas.openxmlformats.org/officeDocument/2006/relationships/hyperlink" Id="rId112"/>
    <Relationship TargetMode="External" Target="https://www.legis.iowa.gov/docs/iac/rule/567.43.5.pdf" Type="http://schemas.openxmlformats.org/officeDocument/2006/relationships/hyperlink" Id="rId113"/>
    <Relationship TargetMode="External" Target="https://www.legis.iowa.gov/docs/iac/rule/567.43.5.pdf" Type="http://schemas.openxmlformats.org/officeDocument/2006/relationships/hyperlink" Id="rId114"/>
    <Relationship TargetMode="External" Target="https://www.legis.iowa.gov/docs/iac/rule/567.43.5.pdf" Type="http://schemas.openxmlformats.org/officeDocument/2006/relationships/hyperlink" Id="rId115"/>
    <Relationship TargetMode="External" Target="https://www.legis.iowa.gov/docs/iac/rule/567.43.5.pdf" Type="http://schemas.openxmlformats.org/officeDocument/2006/relationships/hyperlink" Id="rId116"/>
    <Relationship TargetMode="External" Target="https://www.legis.iowa.gov/docs/iac/rule/567.43.5.pdf" Type="http://schemas.openxmlformats.org/officeDocument/2006/relationships/hyperlink" Id="rId117"/>
    <Relationship TargetMode="External" Target="https://www.legis.iowa.gov/docs/iac/rule/567.43.5.pdf" Type="http://schemas.openxmlformats.org/officeDocument/2006/relationships/hyperlink" Id="rId118"/>
    <Relationship TargetMode="External" Target="https://www.legis.iowa.gov/docs/iac/rule/567.43.5.pdf" Type="http://schemas.openxmlformats.org/officeDocument/2006/relationships/hyperlink" Id="rId119"/>
    <Relationship TargetMode="External" Target="https://www.legis.iowa.gov/docs/iac/chapter/567.81.pdf" Type="http://schemas.openxmlformats.org/officeDocument/2006/relationships/hyperlink" Id="rId120"/>
    <Relationship TargetMode="External" Target="https://www.legis.iowa.gov/docs/iac/rule/567.43.5.pdf" Type="http://schemas.openxmlformats.org/officeDocument/2006/relationships/hyperlink" Id="rId121"/>
    <Relationship TargetMode="External" Target="https://www.legis.iowa.gov/docs/iac/rule/567.43.5.pdf" Type="http://schemas.openxmlformats.org/officeDocument/2006/relationships/hyperlink" Id="rId122"/>
    <Relationship TargetMode="External" Target="https://www.legis.iowa.gov/docs/iac/rule/567.43.5.pdf" Type="http://schemas.openxmlformats.org/officeDocument/2006/relationships/hyperlink" Id="rId123"/>
    <Relationship TargetMode="External" Target="https://www.legis.iowa.gov/docs/iac/rule/567.43.5.pdf" Type="http://schemas.openxmlformats.org/officeDocument/2006/relationships/hyperlink" Id="rId124"/>
    <Relationship TargetMode="External" Target="https://www.legis.iowa.gov/docs/iac/rule/567.43.5.pdf" Type="http://schemas.openxmlformats.org/officeDocument/2006/relationships/hyperlink" Id="rId125"/>
    <Relationship TargetMode="External" Target="https://www.legis.iowa.gov/docs/iac/rule/567.43.5.pdf" Type="http://schemas.openxmlformats.org/officeDocument/2006/relationships/hyperlink" Id="rId126"/>
    <Relationship TargetMode="External" Target="https://www.legis.iowa.gov/docs/iac/rule/567.41.2.pdf" Type="http://schemas.openxmlformats.org/officeDocument/2006/relationships/hyperlink" Id="rId127"/>
    <Relationship TargetMode="External" Target="https://www.legis.iowa.gov/docs/iac/rule/567.43.5.pdf" Type="http://schemas.openxmlformats.org/officeDocument/2006/relationships/hyperlink" Id="rId128"/>
    <Relationship TargetMode="External" Target="https://www.legis.iowa.gov/docs/iac/rule/567.43.5.pdf" Type="http://schemas.openxmlformats.org/officeDocument/2006/relationships/hyperlink" Id="rId129"/>
    <Relationship TargetMode="External" Target="https://www.legis.iowa.gov/docs/iac/rule/567.43.5.pdf" Type="http://schemas.openxmlformats.org/officeDocument/2006/relationships/hyperlink" Id="rId130"/>
    <Relationship TargetMode="External" Target="https://www.legis.iowa.gov/docs/iac/rule/567.43.5.pdf" Type="http://schemas.openxmlformats.org/officeDocument/2006/relationships/hyperlink" Id="rId131"/>
    <Relationship TargetMode="External" Target="https://www.legis.iowa.gov/docs/iac/rule/567.43.9.pdf" Type="http://schemas.openxmlformats.org/officeDocument/2006/relationships/hyperlink" Id="rId132"/>
    <Relationship TargetMode="External" Target="https://www.legis.iowa.gov/docs/iac/rule/567.43.10.pdf" Type="http://schemas.openxmlformats.org/officeDocument/2006/relationships/hyperlink" Id="rId133"/>
    <Relationship TargetMode="External" Target="https://www.legis.iowa.gov/docs/iac/rule/567.43.5.pdf" Type="http://schemas.openxmlformats.org/officeDocument/2006/relationships/hyperlink" Id="rId134"/>
    <Relationship TargetMode="External" Target="https://www.legis.iowa.gov/docs/iac/rule/567.43.5.pdf" Type="http://schemas.openxmlformats.org/officeDocument/2006/relationships/hyperlink" Id="rId135"/>
    <Relationship TargetMode="External" Target="https://www.legis.iowa.gov/docs/iac/rule/567.43.5.pdf" Type="http://schemas.openxmlformats.org/officeDocument/2006/relationships/hyperlink" Id="rId136"/>
    <Relationship TargetMode="External" Target="https://www.legis.iowa.gov/docs/iac/rule/567.43.5.pdf" Type="http://schemas.openxmlformats.org/officeDocument/2006/relationships/hyperlink" Id="rId137"/>
    <Relationship TargetMode="External" Target="https://www.legis.iowa.gov/docs/iac/rule/567.43.5.pdf" Type="http://schemas.openxmlformats.org/officeDocument/2006/relationships/hyperlink" Id="rId138"/>
    <Relationship TargetMode="External" Target="https://www.legis.iowa.gov/docs/iac/rule/567.43.5.pdf" Type="http://schemas.openxmlformats.org/officeDocument/2006/relationships/hyperlink" Id="rId139"/>
    <Relationship TargetMode="External" Target="https://www.legis.iowa.gov/docs/iac/rule/567.43.5.pdf" Type="http://schemas.openxmlformats.org/officeDocument/2006/relationships/hyperlink" Id="rId140"/>
    <Relationship TargetMode="External" Target="https://www.legis.iowa.gov/docs/iac/rule/567.43.5.pdf" Type="http://schemas.openxmlformats.org/officeDocument/2006/relationships/hyperlink" Id="rId141"/>
    <Relationship TargetMode="External" Target="https://www.legis.iowa.gov/docs/iac/rule/567.43.5.pdf" Type="http://schemas.openxmlformats.org/officeDocument/2006/relationships/hyperlink" Id="rId142"/>
    <Relationship TargetMode="External" Target="https://www.legis.iowa.gov/docs/iac/rule/567.43.5.pdf" Type="http://schemas.openxmlformats.org/officeDocument/2006/relationships/hyperlink" Id="rId143"/>
    <Relationship TargetMode="External" Target="https://www.legis.iowa.gov/docs/iac/rule/567.43.5.pdf" Type="http://schemas.openxmlformats.org/officeDocument/2006/relationships/hyperlink" Id="rId144"/>
    <Relationship TargetMode="External" Target="https://www.legis.iowa.gov/docs/iac/rule/567.43.5.pdf" Type="http://schemas.openxmlformats.org/officeDocument/2006/relationships/hyperlink" Id="rId145"/>
    <Relationship TargetMode="External" Target="https://www.legis.iowa.gov/docs/iac/rule/567.43.5.pdf" Type="http://schemas.openxmlformats.org/officeDocument/2006/relationships/hyperlink" Id="rId146"/>
    <Relationship TargetMode="External" Target="https://www.legis.iowa.gov/docs/iac/rule/567.43.5.pdf" Type="http://schemas.openxmlformats.org/officeDocument/2006/relationships/hyperlink" Id="rId147"/>
    <Relationship TargetMode="External" Target="https://www.legis.iowa.gov/docs/iac/rule/567.43.5.pdf" Type="http://schemas.openxmlformats.org/officeDocument/2006/relationships/hyperlink" Id="rId148"/>
    <Relationship TargetMode="External" Target="https://www.legis.iowa.gov/docs/iac/rule/567.43.5.pdf" Type="http://schemas.openxmlformats.org/officeDocument/2006/relationships/hyperlink" Id="rId149"/>
    <Relationship TargetMode="External" Target="https://www.legis.iowa.gov/docs/iac/rule/567.43.5.pdf" Type="http://schemas.openxmlformats.org/officeDocument/2006/relationships/hyperlink" Id="rId150"/>
    <Relationship TargetMode="External" Target="https://www.legis.iowa.gov/docs/iac/rule/567.43.5.pdf" Type="http://schemas.openxmlformats.org/officeDocument/2006/relationships/hyperlink" Id="rId151"/>
    <Relationship TargetMode="External" Target="https://www.legis.iowa.gov/docs/iac/rule/567.43.5.pdf" Type="http://schemas.openxmlformats.org/officeDocument/2006/relationships/hyperlink" Id="rId152"/>
    <Relationship TargetMode="External" Target="https://www.legis.iowa.gov/docs/iac/rule/567.43.5.pdf" Type="http://schemas.openxmlformats.org/officeDocument/2006/relationships/hyperlink" Id="rId153"/>
    <Relationship TargetMode="External" Target="https://www.legis.iowa.gov/docs/iac/rule/567.43.5.pdf" Type="http://schemas.openxmlformats.org/officeDocument/2006/relationships/hyperlink" Id="rId154"/>
    <Relationship TargetMode="External" Target="https://www.legis.iowa.gov/docs/iac/rule/567.43.9.pdf" Type="http://schemas.openxmlformats.org/officeDocument/2006/relationships/hyperlink" Id="rId155"/>
    <Relationship TargetMode="External" Target="https://www.legis.iowa.gov/docs/iac/rule/567.43.10.pdf" Type="http://schemas.openxmlformats.org/officeDocument/2006/relationships/hyperlink" Id="rId156"/>
    <Relationship TargetMode="External" Target="https://www.legis.iowa.gov/docs/iac/rule/567.43.5.pdf" Type="http://schemas.openxmlformats.org/officeDocument/2006/relationships/hyperlink" Id="rId157"/>
    <Relationship TargetMode="External" Target="https://www.legis.iowa.gov/docs/iac/rule/567.43.5.pdf" Type="http://schemas.openxmlformats.org/officeDocument/2006/relationships/hyperlink" Id="rId158"/>
    <Relationship TargetMode="External" Target="https://www.legis.iowa.gov/docs/iac/chapter/567.81.pdf" Type="http://schemas.openxmlformats.org/officeDocument/2006/relationships/hyperlink" Id="rId159"/>
    <Relationship TargetMode="External" Target="https://www.legis.iowa.gov/docs/iac/chapter/567.81.pdf" Type="http://schemas.openxmlformats.org/officeDocument/2006/relationships/hyperlink" Id="rId160"/>
    <Relationship TargetMode="External" Target="https://www.legis.iowa.gov/docs/iac/chapter/567.83.pdf" Type="http://schemas.openxmlformats.org/officeDocument/2006/relationships/hyperlink" Id="rId161"/>
    <Relationship TargetMode="External" Target="https://www.legis.iowa.gov/docs/iac/chapter/567.81.pdf" Type="http://schemas.openxmlformats.org/officeDocument/2006/relationships/hyperlink" Id="rId162"/>
    <Relationship TargetMode="External" Target="http://www.nemi.gov" Type="http://schemas.openxmlformats.org/officeDocument/2006/relationships/hyperlink" Id="rId163"/>
    <Relationship TargetMode="External" Target="http://www.nemi.gov" Type="http://schemas.openxmlformats.org/officeDocument/2006/relationships/hyperlink" Id="rId164"/>
    <Relationship TargetMode="External" Target="http://www.nemi.gov" Type="http://schemas.openxmlformats.org/officeDocument/2006/relationships/hyperlink" Id="rId165"/>
    <Relationship TargetMode="External" Target="http://www.thermo.com" Type="http://schemas.openxmlformats.org/officeDocument/2006/relationships/hyperlink" Id="rId166"/>
    <Relationship TargetMode="External" Target="http://www.nemi.gov" Type="http://schemas.openxmlformats.org/officeDocument/2006/relationships/hyperlink" Id="rId167"/>
    <Relationship TargetMode="External" Target="http://www.hach.com" Type="http://schemas.openxmlformats.org/officeDocument/2006/relationships/hyperlink" Id="rId168"/>
    <Relationship TargetMode="External" Target="https://www.legis.iowa.gov/docs/iac/rule/567.41.4.pdf" Type="http://schemas.openxmlformats.org/officeDocument/2006/relationships/hyperlink" Id="rId169"/>
    <Relationship TargetMode="External" Target="https://www.legis.iowa.gov/docs/iac/rule/567.41.4.pdf" Type="http://schemas.openxmlformats.org/officeDocument/2006/relationships/hyperlink" Id="rId170"/>
    <Relationship TargetMode="External" Target="https://www.legis.iowa.gov/docs/iac/rule/567.41.2.pdf" Type="http://schemas.openxmlformats.org/officeDocument/2006/relationships/hyperlink" Id="rId171"/>
    <Relationship TargetMode="External" Target="https://www.legis.iowa.gov/docs/iac/rule/567.43.5.pdf" Type="http://schemas.openxmlformats.org/officeDocument/2006/relationships/hyperlink" Id="rId172"/>
    <Relationship TargetMode="External" Target="http://www.nemi.gov" Type="http://schemas.openxmlformats.org/officeDocument/2006/relationships/hyperlink" Id="rId173"/>
    <Relationship TargetMode="External" Target="http://www.standardmethods.org" Type="http://schemas.openxmlformats.org/officeDocument/2006/relationships/hyperlink" Id="rId174"/>
    <Relationship TargetMode="External" Target="http://www.nemi.gov" Type="http://schemas.openxmlformats.org/officeDocument/2006/relationships/hyperlink" Id="rId175"/>
    <Relationship TargetMode="External" Target="http://www.nemi.gov" Type="http://schemas.openxmlformats.org/officeDocument/2006/relationships/hyperlink" Id="rId176"/>
    <Relationship TargetMode="External" Target="http://www.hach.com" Type="http://schemas.openxmlformats.org/officeDocument/2006/relationships/hyperlink" Id="rId177"/>
    <Relationship TargetMode="External" Target="http://www.hach.com" Type="http://schemas.openxmlformats.org/officeDocument/2006/relationships/hyperlink" Id="rId178"/>
    <Relationship TargetMode="External" Target="https://www.legis.iowa.gov/docs/iac/rule/567.43.5.pdf" Type="http://schemas.openxmlformats.org/officeDocument/2006/relationships/hyperlink" Id="rId179"/>
    <Relationship TargetMode="External" Target="https://www.legis.iowa.gov/docs/iac/rule/567.43.5.pdf" Type="http://schemas.openxmlformats.org/officeDocument/2006/relationships/hyperlink" Id="rId180"/>
    <Relationship TargetMode="External" Target="https://www.legis.iowa.gov/docs/iac/rule/567.41.2.pdf" Type="http://schemas.openxmlformats.org/officeDocument/2006/relationships/hyperlink" Id="rId181"/>
    <Relationship TargetMode="External" Target="https://www.legis.iowa.gov/docs/iac/rule/567.41.2.pdf" Type="http://schemas.openxmlformats.org/officeDocument/2006/relationships/hyperlink" Id="rId182"/>
    <Relationship TargetMode="External" Target="https://www.legis.iowa.gov/docs/iac/chapter/567.83.pdf" Type="http://schemas.openxmlformats.org/officeDocument/2006/relationships/hyperlink" Id="rId183"/>
    <Relationship TargetMode="External" Target="https://www.legis.iowa.gov/docs/iac/rule/567.43.5.pdf" Type="http://schemas.openxmlformats.org/officeDocument/2006/relationships/hyperlink" Id="rId184"/>
    <Relationship TargetMode="External" Target="https://www.legis.iowa.gov/docs/iac/rule/567.42.1.pdf" Type="http://schemas.openxmlformats.org/officeDocument/2006/relationships/hyperlink" Id="rId185"/>
    <Relationship TargetMode="External" Target="https://www.legis.iowa.gov/docs/iac/rule/567.40.3.pdf" Type="http://schemas.openxmlformats.org/officeDocument/2006/relationships/hyperlink" Id="rId186"/>
    <Relationship TargetMode="External" Target="https://www.legis.iowa.gov/docs/iac/rule/567.42.4.pdf" Type="http://schemas.openxmlformats.org/officeDocument/2006/relationships/hyperlink" Id="rId187"/>
    <Relationship TargetMode="External" Target="https://www.legis.iowa.gov/docs/iac/rule/567.40.2.pdf" Type="http://schemas.openxmlformats.org/officeDocument/2006/relationships/hyperlink" Id="rId188"/>
    <Relationship TargetMode="External" Target="https://www.legis.iowa.gov/docs/iac/rule/567.41.6.pdf" Type="http://schemas.openxmlformats.org/officeDocument/2006/relationships/hyperlink" Id="rId189"/>
    <Relationship TargetMode="External" Target="https://www.legis.iowa.gov/docs/iac/rule/567.43.6.pdf" Type="http://schemas.openxmlformats.org/officeDocument/2006/relationships/hyperlink" Id="rId190"/>
    <Relationship TargetMode="External" Target="https://www.legis.iowa.gov/docs/iac/rule/567.43.6.pdf" Type="http://schemas.openxmlformats.org/officeDocument/2006/relationships/hyperlink" Id="rId191"/>
    <Relationship TargetMode="External" Target="https://www.legis.iowa.gov/docs/iac/rule/567.43.6.pdf" Type="http://schemas.openxmlformats.org/officeDocument/2006/relationships/hyperlink" Id="rId192"/>
    <Relationship TargetMode="External" Target="https://www.legis.iowa.gov/docs/iac/rule/567.42.1.pdf" Type="http://schemas.openxmlformats.org/officeDocument/2006/relationships/hyperlink" Id="rId193"/>
    <Relationship TargetMode="External" Target="https://www.legis.iowa.gov/docs/iac/rule/567.43.6.pdf" Type="http://schemas.openxmlformats.org/officeDocument/2006/relationships/hyperlink" Id="rId194"/>
    <Relationship TargetMode="External" Target="https://www.legis.iowa.gov/docs/iac/rule/567.41.6.pdf" Type="http://schemas.openxmlformats.org/officeDocument/2006/relationships/hyperlink" Id="rId195"/>
    <Relationship TargetMode="External" Target="https://www.legis.iowa.gov/docs/iac/rule/567.41.6.pdf" Type="http://schemas.openxmlformats.org/officeDocument/2006/relationships/hyperlink" Id="rId196"/>
    <Relationship TargetMode="External" Target="https://www.legis.iowa.gov/docs/iac/rule/567.41.6.pdf" Type="http://schemas.openxmlformats.org/officeDocument/2006/relationships/hyperlink" Id="rId197"/>
    <Relationship TargetMode="External" Target="https://www.legis.iowa.gov/docs/iac/rule/567.41.2.pdf" Type="http://schemas.openxmlformats.org/officeDocument/2006/relationships/hyperlink" Id="rId198"/>
    <Relationship TargetMode="External" Target="https://www.legis.iowa.gov/docs/iac/rule/567.43.5.pdf" Type="http://schemas.openxmlformats.org/officeDocument/2006/relationships/hyperlink" Id="rId199"/>
    <Relationship TargetMode="External" Target="https://www.legis.iowa.gov/docs/iac/rule/567.43.6.pdf" Type="http://schemas.openxmlformats.org/officeDocument/2006/relationships/hyperlink" Id="rId200"/>
    <Relationship TargetMode="External" Target="http://www.epa/gov/safewater/methods/analyticalmethods_ogwdw.html" Type="http://schemas.openxmlformats.org/officeDocument/2006/relationships/hyperlink" Id="rId201"/>
    <Relationship TargetMode="External" Target="http://www.nemi.gov" Type="http://schemas.openxmlformats.org/officeDocument/2006/relationships/hyperlink" Id="rId202"/>
    <Relationship TargetMode="External" Target="http://www.hach.com" Type="http://schemas.openxmlformats.org/officeDocument/2006/relationships/hyperlink" Id="rId203"/>
    <Relationship TargetMode="External" Target="http://www.hach.com" Type="http://schemas.openxmlformats.org/officeDocument/2006/relationships/hyperlink" Id="rId204"/>
    <Relationship TargetMode="External" Target="https://www.legis.iowa.gov/docs/iac/chapter/567.81.pdf" Type="http://schemas.openxmlformats.org/officeDocument/2006/relationships/hyperlink" Id="rId205"/>
    <Relationship TargetMode="External" Target="https://www.legis.iowa.gov/docs/iac/chapter/567.81.pdf" Type="http://schemas.openxmlformats.org/officeDocument/2006/relationships/hyperlink" Id="rId206"/>
    <Relationship TargetMode="External" Target="https://www.legis.iowa.gov/docs/iac/chapter/567.83.pdf" Type="http://schemas.openxmlformats.org/officeDocument/2006/relationships/hyperlink" Id="rId207"/>
    <Relationship TargetMode="External" Target="https://www.legis.iowa.gov/docs/iac/rule/567.43.6.pdf" Type="http://schemas.openxmlformats.org/officeDocument/2006/relationships/hyperlink" Id="rId208"/>
    <Relationship TargetMode="External" Target="https://www.legis.iowa.gov/docs/iac/rule/567.42.1.pdf" Type="http://schemas.openxmlformats.org/officeDocument/2006/relationships/hyperlink" Id="rId209"/>
    <Relationship TargetMode="External" Target="https://www.legis.iowa.gov/docs/iac/rule/567.42.4.pdf" Type="http://schemas.openxmlformats.org/officeDocument/2006/relationships/hyperlink" Id="rId210"/>
    <Relationship TargetMode="External" Target="https://www.legis.iowa.gov/docs/iac/rule/567.42.4.pdf" Type="http://schemas.openxmlformats.org/officeDocument/2006/relationships/hyperlink" Id="rId211"/>
    <Relationship TargetMode="External" Target="https://www.legis.iowa.gov/docs/iac/rule/567.43.6.pdf" Type="http://schemas.openxmlformats.org/officeDocument/2006/relationships/hyperlink" Id="rId212"/>
    <Relationship TargetMode="External" Target="https://www.legis.iowa.gov/docs/iac/rule/567.42.1.pdf" Type="http://schemas.openxmlformats.org/officeDocument/2006/relationships/hyperlink" Id="rId213"/>
    <Relationship TargetMode="External" Target="https://www.legis.iowa.gov/docs/iac/rule/567.42.4.pdf" Type="http://schemas.openxmlformats.org/officeDocument/2006/relationships/hyperlink" Id="rId214"/>
    <Relationship TargetMode="External" Target="https://www.legis.iowa.gov/docs/iac/rule/567.42.1.pdf" Type="http://schemas.openxmlformats.org/officeDocument/2006/relationships/hyperlink" Id="rId215"/>
    <Relationship TargetMode="External" Target="https://www.legis.iowa.gov/docs/iac/rule/567.42.4.pdf" Type="http://schemas.openxmlformats.org/officeDocument/2006/relationships/hyperlink" Id="rId216"/>
    <Relationship TargetMode="External" Target="https://www.legis.iowa.gov/docs/iac/rule/567.43.6.pdf" Type="http://schemas.openxmlformats.org/officeDocument/2006/relationships/hyperlink" Id="rId217"/>
    <Relationship TargetMode="External" Target="https://www.legis.iowa.gov/docs/iac/rule/567.42.1.pdf" Type="http://schemas.openxmlformats.org/officeDocument/2006/relationships/hyperlink" Id="rId218"/>
    <Relationship TargetMode="External" Target="https://www.legis.iowa.gov/docs/iac/rule/567.42.4.pdf" Type="http://schemas.openxmlformats.org/officeDocument/2006/relationships/hyperlink" Id="rId219"/>
    <Relationship TargetMode="External" Target="https://www.legis.iowa.gov/docs/iac/rule/567.42.1.pdf" Type="http://schemas.openxmlformats.org/officeDocument/2006/relationships/hyperlink" Id="rId220"/>
    <Relationship TargetMode="External" Target="https://www.legis.iowa.gov/docs/iac/rule/567.42.4.pdf" Type="http://schemas.openxmlformats.org/officeDocument/2006/relationships/hyperlink" Id="rId221"/>
    <Relationship TargetMode="External" Target="https://www.legis.iowa.gov/docs/iac/rule/567.42.1.pdf" Type="http://schemas.openxmlformats.org/officeDocument/2006/relationships/hyperlink" Id="rId222"/>
    <Relationship TargetMode="External" Target="https://www.legis.iowa.gov/docs/iac/rule/567.42.4.pdf" Type="http://schemas.openxmlformats.org/officeDocument/2006/relationships/hyperlink" Id="rId223"/>
    <Relationship TargetMode="External" Target="https://www.legis.iowa.gov/docs/iac/rule/567.40.2.pdf" Type="http://schemas.openxmlformats.org/officeDocument/2006/relationships/hyperlink" Id="rId224"/>
    <Relationship TargetMode="External" Target="https://www.legis.iowa.gov/docs/iac/rule/567.41.6.pdf" Type="http://schemas.openxmlformats.org/officeDocument/2006/relationships/hyperlink" Id="rId225"/>
    <Relationship TargetMode="External" Target="https://www.legis.iowa.gov/docs/iac/rule/567.43.6.pdf" Type="http://schemas.openxmlformats.org/officeDocument/2006/relationships/hyperlink" Id="rId226"/>
    <Relationship TargetMode="External" Target="https://www.legis.iowa.gov/docs/iac/rule/567.41.6.pdf" Type="http://schemas.openxmlformats.org/officeDocument/2006/relationships/hyperlink" Id="rId227"/>
    <Relationship TargetMode="External" Target="https://www.legis.iowa.gov/docs/iac/rule/567.43.6.pdf" Type="http://schemas.openxmlformats.org/officeDocument/2006/relationships/hyperlink" Id="rId228"/>
    <Relationship TargetMode="External" Target="https://www.legis.iowa.gov/docs/iac/chapter/567.83.pdf" Type="http://schemas.openxmlformats.org/officeDocument/2006/relationships/hyperlink" Id="rId229"/>
    <Relationship TargetMode="External" Target="https://www.legis.iowa.gov/docs/iac/chapter/567.83.pdf" Type="http://schemas.openxmlformats.org/officeDocument/2006/relationships/hyperlink" Id="rId230"/>
    <Relationship TargetMode="External" Target="https://www.legis.iowa.gov/docs/iac/chapter/567.81.pdf" Type="http://schemas.openxmlformats.org/officeDocument/2006/relationships/hyperlink" Id="rId231"/>
    <Relationship TargetMode="External" Target="https://www.legis.iowa.gov/docs/iac/chapter/567.81.pdf" Type="http://schemas.openxmlformats.org/officeDocument/2006/relationships/hyperlink" Id="rId232"/>
    <Relationship TargetMode="External" Target="https://www.legis.iowa.gov/docs/iac/chapter/567.83.pdf" Type="http://schemas.openxmlformats.org/officeDocument/2006/relationships/hyperlink" Id="rId233"/>
    <Relationship TargetMode="External" Target="https://www.legis.iowa.gov/docs/iac/chapter/567.81.pdf" Type="http://schemas.openxmlformats.org/officeDocument/2006/relationships/hyperlink" Id="rId234"/>
    <Relationship TargetMode="External" Target="https://www.legis.iowa.gov/docs/iac/chapter/567.81.pdf" Type="http://schemas.openxmlformats.org/officeDocument/2006/relationships/hyperlink" Id="rId235"/>
    <Relationship TargetMode="External" Target="http://www.hach.com" Type="http://schemas.openxmlformats.org/officeDocument/2006/relationships/hyperlink" Id="rId236"/>
    <Relationship TargetMode="External" Target="http://www.hach.com" Type="http://schemas.openxmlformats.org/officeDocument/2006/relationships/hyperlink" Id="rId237"/>
    <Relationship TargetMode="External" Target="https://www.legis.iowa.gov/docs/iac/rule/567.43.6.pdf" Type="http://schemas.openxmlformats.org/officeDocument/2006/relationships/hyperlink" Id="rId238"/>
    <Relationship TargetMode="External" Target="https://www.legis.iowa.gov/docs/iac/rule/567.41.3.pdf" Type="http://schemas.openxmlformats.org/officeDocument/2006/relationships/hyperlink" Id="rId239"/>
    <Relationship TargetMode="External" Target="https://www.legis.iowa.gov/docs/iac/rule/567.43.6.pdf" Type="http://schemas.openxmlformats.org/officeDocument/2006/relationships/hyperlink" Id="rId240"/>
    <Relationship TargetMode="External" Target="https://www.legis.iowa.gov/docs/iac/rule/567.43.6.pdf" Type="http://schemas.openxmlformats.org/officeDocument/2006/relationships/hyperlink" Id="rId241"/>
    <Relationship TargetMode="External" Target="https://www.legis.iowa.gov/docs/iac/rule/567.43.6.pdf" Type="http://schemas.openxmlformats.org/officeDocument/2006/relationships/hyperlink" Id="rId242"/>
    <Relationship TargetMode="External" Target="https://www.legis.iowa.gov/docs/iac/rule/567.43.6.pdf" Type="http://schemas.openxmlformats.org/officeDocument/2006/relationships/hyperlink" Id="rId243"/>
    <Relationship TargetMode="External" Target="https://www.legis.iowa.gov/docs/iac/rule/567.42.1.pdf" Type="http://schemas.openxmlformats.org/officeDocument/2006/relationships/hyperlink" Id="rId244"/>
    <Relationship TargetMode="External" Target="https://www.legis.iowa.gov/docs/iac/rule/567.42.4.pdf" Type="http://schemas.openxmlformats.org/officeDocument/2006/relationships/hyperlink" Id="rId245"/>
    <Relationship TargetMode="External" Target="https://www.legis.iowa.gov/docs/iac/rule/567.42.1.pdf" Type="http://schemas.openxmlformats.org/officeDocument/2006/relationships/hyperlink" Id="rId246"/>
    <Relationship TargetMode="External" Target="https://www.legis.iowa.gov/docs/iac/rule/567.42.4.pdf" Type="http://schemas.openxmlformats.org/officeDocument/2006/relationships/hyperlink" Id="rId247"/>
    <Relationship TargetMode="External" Target="https://www.legis.iowa.gov/docs/iac/rule/567.40.2.pdf" Type="http://schemas.openxmlformats.org/officeDocument/2006/relationships/hyperlink" Id="rId248"/>
    <Relationship TargetMode="External" Target="https://www.legis.iowa.gov/docs/iac/rule/567.43.6.pdf" Type="http://schemas.openxmlformats.org/officeDocument/2006/relationships/hyperlink" Id="rId249"/>
    <Relationship TargetMode="External" Target="https://www.legis.iowa.gov/docs/iac/rule/567.43.6.pdf" Type="http://schemas.openxmlformats.org/officeDocument/2006/relationships/hyperlink" Id="rId250"/>
    <Relationship TargetMode="External" Target="https://www.legis.iowa.gov/docs/iac/rule/567.43.6.pdf" Type="http://schemas.openxmlformats.org/officeDocument/2006/relationships/hyperlink" Id="rId251"/>
    <Relationship TargetMode="External" Target="https://www.legis.iowa.gov/docs/iac/rule/567.43.6.pdf" Type="http://schemas.openxmlformats.org/officeDocument/2006/relationships/hyperlink" Id="rId252"/>
    <Relationship TargetMode="External" Target="https://www.legis.iowa.gov/docs/iac/rule/567.43.6.pdf" Type="http://schemas.openxmlformats.org/officeDocument/2006/relationships/hyperlink" Id="rId253"/>
    <Relationship TargetMode="External" Target="https://www.legis.iowa.gov/docs/iac/rule/567.43.6.pdf" Type="http://schemas.openxmlformats.org/officeDocument/2006/relationships/hyperlink" Id="rId254"/>
    <Relationship TargetMode="External" Target="https://www.legis.iowa.gov/docs/iac/rule/567.43.6.pdf" Type="http://schemas.openxmlformats.org/officeDocument/2006/relationships/hyperlink" Id="rId255"/>
    <Relationship TargetMode="External" Target="https://www.legis.iowa.gov/docs/iac/rule/567.43.6.pdf" Type="http://schemas.openxmlformats.org/officeDocument/2006/relationships/hyperlink" Id="rId256"/>
    <Relationship TargetMode="External" Target="https://www.legis.iowa.gov/docs/iac/rule/567.41.6.pdf" Type="http://schemas.openxmlformats.org/officeDocument/2006/relationships/hyperlink" Id="rId257"/>
    <Relationship TargetMode="External" Target="https://www.legis.iowa.gov/docs/iac/rule/567.43.6.pdf" Type="http://schemas.openxmlformats.org/officeDocument/2006/relationships/hyperlink" Id="rId258"/>
    <Relationship TargetMode="External" Target="https://www.legis.iowa.gov/docs/iac/rule/567.43.6.pdf" Type="http://schemas.openxmlformats.org/officeDocument/2006/relationships/hyperlink" Id="rId259"/>
    <Relationship TargetMode="External" Target="https://www.legis.iowa.gov/docs/iac/rule/567.41.6.pdf" Type="http://schemas.openxmlformats.org/officeDocument/2006/relationships/hyperlink" Id="rId260"/>
    <Relationship TargetMode="External" Target="https://www.legis.iowa.gov/docs/iac/rule/567.43.6.pdf" Type="http://schemas.openxmlformats.org/officeDocument/2006/relationships/hyperlink" Id="rId261"/>
    <Relationship TargetMode="External" Target="https://www.legis.iowa.gov/docs/iac/rule/567.43.6.pdf" Type="http://schemas.openxmlformats.org/officeDocument/2006/relationships/hyperlink" Id="rId262"/>
    <Relationship TargetMode="External" Target="https://www.legis.iowa.gov/docs/iac/rule/567.41.6.pdf" Type="http://schemas.openxmlformats.org/officeDocument/2006/relationships/hyperlink" Id="rId263"/>
    <Relationship TargetMode="External" Target="https://www.legis.iowa.gov/docs/iac/rule/567.43.6.pdf" Type="http://schemas.openxmlformats.org/officeDocument/2006/relationships/hyperlink" Id="rId264"/>
    <Relationship TargetMode="External" Target="https://www.legis.iowa.gov/docs/iac/rule/567.43.6.pdf" Type="http://schemas.openxmlformats.org/officeDocument/2006/relationships/hyperlink" Id="rId265"/>
    <Relationship TargetMode="External" Target="https://www.legis.iowa.gov/docs/iac/rule/567.43.6.pdf" Type="http://schemas.openxmlformats.org/officeDocument/2006/relationships/hyperlink" Id="rId266"/>
    <Relationship TargetMode="External" Target="https://www.legis.iowa.gov/docs/iac/rule/567.43.6.pdf" Type="http://schemas.openxmlformats.org/officeDocument/2006/relationships/hyperlink" Id="rId267"/>
    <Relationship TargetMode="External" Target="https://www.legis.iowa.gov/docs/iac/rule/567.43.6.pdf" Type="http://schemas.openxmlformats.org/officeDocument/2006/relationships/hyperlink" Id="rId268"/>
    <Relationship TargetMode="External" Target="https://www.legis.iowa.gov/docs/iac/rule/567.43.6.pdf" Type="http://schemas.openxmlformats.org/officeDocument/2006/relationships/hyperlink" Id="rId269"/>
    <Relationship TargetMode="External" Target="https://www.legis.iowa.gov/docs/iac/rule/567.43.6.pdf" Type="http://schemas.openxmlformats.org/officeDocument/2006/relationships/hyperlink" Id="rId270"/>
    <Relationship TargetMode="External" Target="https://www.legis.iowa.gov/docs/iac/rule/567.43.6.pdf" Type="http://schemas.openxmlformats.org/officeDocument/2006/relationships/hyperlink" Id="rId271"/>
    <Relationship TargetMode="External" Target="https://www.legis.iowa.gov/docs/iac/rule/567.43.6.pdf" Type="http://schemas.openxmlformats.org/officeDocument/2006/relationships/hyperlink" Id="rId272"/>
    <Relationship TargetMode="External" Target="https://www.legis.iowa.gov/docs/iac/rule/567.43.6.pdf" Type="http://schemas.openxmlformats.org/officeDocument/2006/relationships/hyperlink" Id="rId273"/>
    <Relationship TargetMode="External" Target="https://www.legis.iowa.gov/docs/iac/rule/567.43.6.pdf" Type="http://schemas.openxmlformats.org/officeDocument/2006/relationships/hyperlink" Id="rId274"/>
    <Relationship TargetMode="External" Target="https://www.legis.iowa.gov/docs/iac/rule/567.43.6.pdf" Type="http://schemas.openxmlformats.org/officeDocument/2006/relationships/hyperlink" Id="rId275"/>
    <Relationship TargetMode="External" Target="https://www.legis.iowa.gov/docs/iac/rule/567.43.6.pdf" Type="http://schemas.openxmlformats.org/officeDocument/2006/relationships/hyperlink" Id="rId276"/>
    <Relationship TargetMode="External" Target="https://www.legis.iowa.gov/docs/iac/rule/567.43.6.pdf" Type="http://schemas.openxmlformats.org/officeDocument/2006/relationships/hyperlink" Id="rId277"/>
    <Relationship TargetMode="External" Target="https://www.legis.iowa.gov/docs/iac/rule/567.43.6.pdf" Type="http://schemas.openxmlformats.org/officeDocument/2006/relationships/hyperlink" Id="rId278"/>
    <Relationship TargetMode="External" Target="https://www.legis.iowa.gov/docs/iac/rule/567.43.6.pdf" Type="http://schemas.openxmlformats.org/officeDocument/2006/relationships/hyperlink" Id="rId279"/>
    <Relationship TargetMode="External" Target="https://www.legis.iowa.gov/docs/iac/rule/567.43.6.pdf" Type="http://schemas.openxmlformats.org/officeDocument/2006/relationships/hyperlink" Id="rId280"/>
    <Relationship TargetMode="External" Target="https://www.legis.iowa.gov/docs/iac/rule/567.43.6.pdf" Type="http://schemas.openxmlformats.org/officeDocument/2006/relationships/hyperlink" Id="rId281"/>
    <Relationship TargetMode="External" Target="https://www.legis.iowa.gov/docs/iac/rule/567.43.6.pdf" Type="http://schemas.openxmlformats.org/officeDocument/2006/relationships/hyperlink" Id="rId282"/>
    <Relationship TargetMode="External" Target="https://www.legis.iowa.gov/docs/iac/chapter/567.41.pdf" Type="http://schemas.openxmlformats.org/officeDocument/2006/relationships/hyperlink" Id="rId283"/>
    <Relationship TargetMode="External" Target="https://www.legis.iowa.gov/docs/iac/chapter/567.43.pdf" Type="http://schemas.openxmlformats.org/officeDocument/2006/relationships/hyperlink" Id="rId284"/>
    <Relationship TargetMode="External" Target="https://www.legis.iowa.gov/docs/iac/rule/567.43.6.pdf" Type="http://schemas.openxmlformats.org/officeDocument/2006/relationships/hyperlink" Id="rId285"/>
    <Relationship TargetMode="External" Target="https://www.legis.iowa.gov/docs/iac/rule/567.43.6.pdf" Type="http://schemas.openxmlformats.org/officeDocument/2006/relationships/hyperlink" Id="rId286"/>
    <Relationship TargetMode="External" Target="https://www.legis.iowa.gov/docs/iac/rule/567.43.6.pdf" Type="http://schemas.openxmlformats.org/officeDocument/2006/relationships/hyperlink" Id="rId287"/>
    <Relationship TargetMode="External" Target="https://www.legis.iowa.gov/docs/iac/rule/567.43.6.pdf" Type="http://schemas.openxmlformats.org/officeDocument/2006/relationships/hyperlink" Id="rId288"/>
    <Relationship TargetMode="External" Target="https://www.legis.iowa.gov/docs/iac/rule/567.43.6.pdf" Type="http://schemas.openxmlformats.org/officeDocument/2006/relationships/hyperlink" Id="rId289"/>
    <Relationship TargetMode="External" Target="https://www.legis.iowa.gov/docs/iac/rule/567.43.6.pdf" Type="http://schemas.openxmlformats.org/officeDocument/2006/relationships/hyperlink" Id="rId290"/>
    <Relationship TargetMode="External" Target="https://www.legis.iowa.gov/docs/iac/rule/567.43.6.pdf" Type="http://schemas.openxmlformats.org/officeDocument/2006/relationships/hyperlink" Id="rId291"/>
    <Relationship TargetMode="External" Target="https://www.legis.iowa.gov/docs/iac/rule/567.43.6.pdf" Type="http://schemas.openxmlformats.org/officeDocument/2006/relationships/hyperlink" Id="rId292"/>
    <Relationship TargetMode="External" Target="https://www.legis.iowa.gov/docs/iac/rule/567.43.6.pdf" Type="http://schemas.openxmlformats.org/officeDocument/2006/relationships/hyperlink" Id="rId293"/>
    <Relationship TargetMode="External" Target="https://www.legis.iowa.gov/docs/iac/rule/567.43.6.pdf" Type="http://schemas.openxmlformats.org/officeDocument/2006/relationships/hyperlink" Id="rId294"/>
    <Relationship TargetMode="External" Target="https://www.legis.iowa.gov/docs/iac/rule/567.43.6.pdf" Type="http://schemas.openxmlformats.org/officeDocument/2006/relationships/hyperlink" Id="rId295"/>
    <Relationship TargetMode="External" Target="https://www.legis.iowa.gov/docs/iac/rule/567.43.6.pdf" Type="http://schemas.openxmlformats.org/officeDocument/2006/relationships/hyperlink" Id="rId296"/>
    <Relationship TargetMode="External" Target="https://www.legis.iowa.gov/docs/iac/rule/567.43.6.pdf" Type="http://schemas.openxmlformats.org/officeDocument/2006/relationships/hyperlink" Id="rId297"/>
    <Relationship TargetMode="External" Target="https://www.legis.iowa.gov/docs/iac/rule/567.43.6.pdf" Type="http://schemas.openxmlformats.org/officeDocument/2006/relationships/hyperlink" Id="rId298"/>
    <Relationship TargetMode="External" Target="https://www.legis.iowa.gov/docs/iac/rule/567.43.6.pdf" Type="http://schemas.openxmlformats.org/officeDocument/2006/relationships/hyperlink" Id="rId299"/>
    <Relationship TargetMode="External" Target="https://www.legis.iowa.gov/docs/iac/rule/567.43.6.pdf" Type="http://schemas.openxmlformats.org/officeDocument/2006/relationships/hyperlink" Id="rId300"/>
    <Relationship TargetMode="External" Target="https://www.legis.iowa.gov/docs/iac/rule/567.43.6.pdf" Type="http://schemas.openxmlformats.org/officeDocument/2006/relationships/hyperlink" Id="rId301"/>
    <Relationship TargetMode="External" Target="https://www.legis.iowa.gov/docs/iac/rule/567.43.6.pdf" Type="http://schemas.openxmlformats.org/officeDocument/2006/relationships/hyperlink" Id="rId302"/>
    <Relationship TargetMode="External" Target="https://www.legis.iowa.gov/docs/iac/rule/567.43.6.pdf" Type="http://schemas.openxmlformats.org/officeDocument/2006/relationships/hyperlink" Id="rId303"/>
    <Relationship TargetMode="External" Target="https://www.legis.iowa.gov/docs/iac/rule/567.43.6.pdf" Type="http://schemas.openxmlformats.org/officeDocument/2006/relationships/hyperlink" Id="rId304"/>
    <Relationship TargetMode="External" Target="https://www.legis.iowa.gov/docs/iac/rule/567.43.7.pdf" Type="http://schemas.openxmlformats.org/officeDocument/2006/relationships/hyperlink" Id="rId305"/>
    <Relationship TargetMode="External" Target="https://www.legis.iowa.gov/docs/iac/rule/567.43.7.pdf" Type="http://schemas.openxmlformats.org/officeDocument/2006/relationships/hyperlink" Id="rId306"/>
    <Relationship TargetMode="External" Target="https://www.legis.iowa.gov/docs/iac/rule/567.43.7.pdf" Type="http://schemas.openxmlformats.org/officeDocument/2006/relationships/hyperlink" Id="rId307"/>
    <Relationship TargetMode="External" Target="https://www.legis.iowa.gov/docs/iac/rule/567.43.7.pdf" Type="http://schemas.openxmlformats.org/officeDocument/2006/relationships/hyperlink" Id="rId308"/>
    <Relationship TargetMode="External" Target="https://www.legis.iowa.gov/docs/iac/rule/567.43.7.pdf" Type="http://schemas.openxmlformats.org/officeDocument/2006/relationships/hyperlink" Id="rId309"/>
    <Relationship TargetMode="External" Target="https://www.legis.iowa.gov/docs/iac/rule/567.41.4.pdf" Type="http://schemas.openxmlformats.org/officeDocument/2006/relationships/hyperlink" Id="rId310"/>
    <Relationship TargetMode="External" Target="https://www.legis.iowa.gov/docs/iac/rule/567.43.7.pdf" Type="http://schemas.openxmlformats.org/officeDocument/2006/relationships/hyperlink" Id="rId311"/>
    <Relationship TargetMode="External" Target="https://www.legis.iowa.gov/docs/iac/rule/567.43.7.pdf" Type="http://schemas.openxmlformats.org/officeDocument/2006/relationships/hyperlink" Id="rId312"/>
    <Relationship TargetMode="External" Target="https://www.legis.iowa.gov/docs/iac/rule/567.41.4.pdf" Type="http://schemas.openxmlformats.org/officeDocument/2006/relationships/hyperlink" Id="rId313"/>
    <Relationship TargetMode="External" Target="https://www.legis.iowa.gov/docs/iac/rule/567.41.4.pdf" Type="http://schemas.openxmlformats.org/officeDocument/2006/relationships/hyperlink" Id="rId314"/>
    <Relationship TargetMode="External" Target="https://www.legis.iowa.gov/docs/iac/rule/567.43.7.pdf" Type="http://schemas.openxmlformats.org/officeDocument/2006/relationships/hyperlink" Id="rId315"/>
    <Relationship TargetMode="External" Target="https://www.legis.iowa.gov/docs/iac/rule/567.43.7.pdf" Type="http://schemas.openxmlformats.org/officeDocument/2006/relationships/hyperlink" Id="rId316"/>
    <Relationship TargetMode="External" Target="https://www.legis.iowa.gov/docs/iac/rule/567.41.4.pdf" Type="http://schemas.openxmlformats.org/officeDocument/2006/relationships/hyperlink" Id="rId317"/>
    <Relationship TargetMode="External" Target="https://www.legis.iowa.gov/docs/iac/rule/567.41.4.pdf" Type="http://schemas.openxmlformats.org/officeDocument/2006/relationships/hyperlink" Id="rId318"/>
    <Relationship TargetMode="External" Target="https://www.legis.iowa.gov/docs/iac/rule/567.41.4.pdf" Type="http://schemas.openxmlformats.org/officeDocument/2006/relationships/hyperlink" Id="rId319"/>
    <Relationship TargetMode="External" Target="https://www.legis.iowa.gov/docs/iac/rule/567.41.4.pdf" Type="http://schemas.openxmlformats.org/officeDocument/2006/relationships/hyperlink" Id="rId320"/>
    <Relationship TargetMode="External" Target="https://www.legis.iowa.gov/docs/iac/rule/567.41.4.pdf" Type="http://schemas.openxmlformats.org/officeDocument/2006/relationships/hyperlink" Id="rId321"/>
    <Relationship TargetMode="External" Target="https://www.legis.iowa.gov/docs/iac/rule/567.41.4.pdf" Type="http://schemas.openxmlformats.org/officeDocument/2006/relationships/hyperlink" Id="rId322"/>
    <Relationship TargetMode="External" Target="https://www.legis.iowa.gov/docs/iac/rule/567.41.4.pdf" Type="http://schemas.openxmlformats.org/officeDocument/2006/relationships/hyperlink" Id="rId323"/>
    <Relationship TargetMode="External" Target="https://www.legis.iowa.gov/docs/iac/rule/567.42.4.pdf" Type="http://schemas.openxmlformats.org/officeDocument/2006/relationships/hyperlink" Id="rId324"/>
    <Relationship TargetMode="External" Target="https://www.legis.iowa.gov/docs/iac/rule/567.43.7.pdf" Type="http://schemas.openxmlformats.org/officeDocument/2006/relationships/hyperlink" Id="rId325"/>
    <Relationship TargetMode="External" Target="https://www.legis.iowa.gov/docs/iac/rule/567.43.7.pdf" Type="http://schemas.openxmlformats.org/officeDocument/2006/relationships/hyperlink" Id="rId326"/>
    <Relationship TargetMode="External" Target="https://www.legis.iowa.gov/docs/iac/rule/567.41.4.pdf" Type="http://schemas.openxmlformats.org/officeDocument/2006/relationships/hyperlink" Id="rId327"/>
    <Relationship TargetMode="External" Target="https://www.legis.iowa.gov/docs/iac/rule/567.43.7.pdf" Type="http://schemas.openxmlformats.org/officeDocument/2006/relationships/hyperlink" Id="rId328"/>
    <Relationship TargetMode="External" Target="https://www.legis.iowa.gov/docs/iac/rule/567.43.7.pdf" Type="http://schemas.openxmlformats.org/officeDocument/2006/relationships/hyperlink" Id="rId329"/>
    <Relationship TargetMode="External" Target="https://www.legis.iowa.gov/docs/iac/rule/567.43.7.pdf" Type="http://schemas.openxmlformats.org/officeDocument/2006/relationships/hyperlink" Id="rId330"/>
    <Relationship TargetMode="External" Target="https://www.legis.iowa.gov/docs/iac/rule/567.43.7.pdf" Type="http://schemas.openxmlformats.org/officeDocument/2006/relationships/hyperlink" Id="rId331"/>
    <Relationship TargetMode="External" Target="https://www.legis.iowa.gov/docs/iac/rule/567.43.7.pdf" Type="http://schemas.openxmlformats.org/officeDocument/2006/relationships/hyperlink" Id="rId332"/>
    <Relationship TargetMode="External" Target="https://www.legis.iowa.gov/docs/iac/rule/567.41.4.pdf" Type="http://schemas.openxmlformats.org/officeDocument/2006/relationships/hyperlink" Id="rId333"/>
    <Relationship TargetMode="External" Target="https://www.legis.iowa.gov/docs/iac/rule/567.41.4.pdf" Type="http://schemas.openxmlformats.org/officeDocument/2006/relationships/hyperlink" Id="rId334"/>
    <Relationship TargetMode="External" Target="https://www.legis.iowa.gov/docs/iac/rule/567.41.4.pdf" Type="http://schemas.openxmlformats.org/officeDocument/2006/relationships/hyperlink" Id="rId335"/>
    <Relationship TargetMode="External" Target="https://www.legis.iowa.gov/docs/iac/rule/567.43.7.pdf" Type="http://schemas.openxmlformats.org/officeDocument/2006/relationships/hyperlink" Id="rId336"/>
    <Relationship TargetMode="External" Target="https://www.legis.iowa.gov/docs/iac/rule/567.41.4.pdf" Type="http://schemas.openxmlformats.org/officeDocument/2006/relationships/hyperlink" Id="rId337"/>
    <Relationship TargetMode="External" Target="https://www.legis.iowa.gov/docs/iac/rule/567.41.4.pdf" Type="http://schemas.openxmlformats.org/officeDocument/2006/relationships/hyperlink" Id="rId338"/>
    <Relationship TargetMode="External" Target="https://www.legis.iowa.gov/docs/iac/rule/567.43.7.pdf" Type="http://schemas.openxmlformats.org/officeDocument/2006/relationships/hyperlink" Id="rId339"/>
    <Relationship TargetMode="External" Target="https://www.legis.iowa.gov/docs/iac/rule/567.43.7.pdf" Type="http://schemas.openxmlformats.org/officeDocument/2006/relationships/hyperlink" Id="rId340"/>
    <Relationship TargetMode="External" Target="https://www.legis.iowa.gov/docs/iac/rule/567.43.7.pdf" Type="http://schemas.openxmlformats.org/officeDocument/2006/relationships/hyperlink" Id="rId341"/>
    <Relationship TargetMode="External" Target="https://www.legis.iowa.gov/docs/iac/rule/567.41.4.pdf" Type="http://schemas.openxmlformats.org/officeDocument/2006/relationships/hyperlink" Id="rId342"/>
    <Relationship TargetMode="External" Target="https://www.legis.iowa.gov/docs/iac/rule/567.41.4.pdf" Type="http://schemas.openxmlformats.org/officeDocument/2006/relationships/hyperlink" Id="rId343"/>
    <Relationship TargetMode="External" Target="https://www.legis.iowa.gov/docs/iac/rule/567.41.4.pdf" Type="http://schemas.openxmlformats.org/officeDocument/2006/relationships/hyperlink" Id="rId344"/>
    <Relationship TargetMode="External" Target="https://www.legis.iowa.gov/docs/iac/rule/567.41.4.pdf" Type="http://schemas.openxmlformats.org/officeDocument/2006/relationships/hyperlink" Id="rId345"/>
    <Relationship TargetMode="External" Target="https://www.legis.iowa.gov/docs/iac/rule/567.43.7.pdf" Type="http://schemas.openxmlformats.org/officeDocument/2006/relationships/hyperlink" Id="rId346"/>
    <Relationship TargetMode="External" Target="https://www.legis.iowa.gov/docs/iac/rule/567.43.7.pdf" Type="http://schemas.openxmlformats.org/officeDocument/2006/relationships/hyperlink" Id="rId347"/>
    <Relationship TargetMode="External" Target="https://www.legis.iowa.gov/docs/iac/rule/567.43.7.pdf" Type="http://schemas.openxmlformats.org/officeDocument/2006/relationships/hyperlink" Id="rId348"/>
    <Relationship TargetMode="External" Target="https://www.legis.iowa.gov/docs/iac/rule/567.43.7.pdf" Type="http://schemas.openxmlformats.org/officeDocument/2006/relationships/hyperlink" Id="rId349"/>
    <Relationship TargetMode="External" Target="https://www.legis.iowa.gov/docs/iac/rule/567.43.7.pdf" Type="http://schemas.openxmlformats.org/officeDocument/2006/relationships/hyperlink" Id="rId350"/>
    <Relationship TargetMode="External" Target="https://www.legis.iowa.gov/docs/iac/rule/567.43.7.pdf" Type="http://schemas.openxmlformats.org/officeDocument/2006/relationships/hyperlink" Id="rId351"/>
    <Relationship TargetMode="External" Target="https://www.legis.iowa.gov/docs/iac/rule/567.41.4.pdf" Type="http://schemas.openxmlformats.org/officeDocument/2006/relationships/hyperlink" Id="rId352"/>
    <Relationship TargetMode="External" Target="https://www.legis.iowa.gov/docs/iac/rule/567.41.4.pdf" Type="http://schemas.openxmlformats.org/officeDocument/2006/relationships/hyperlink" Id="rId353"/>
    <Relationship TargetMode="External" Target="https://www.legis.iowa.gov/docs/iac/rule/567.43.7.pdf" Type="http://schemas.openxmlformats.org/officeDocument/2006/relationships/hyperlink" Id="rId354"/>
    <Relationship TargetMode="External" Target="https://www.legis.iowa.gov/docs/iac/rule/567.43.7.pdf" Type="http://schemas.openxmlformats.org/officeDocument/2006/relationships/hyperlink" Id="rId355"/>
    <Relationship TargetMode="External" Target="https://www.legis.iowa.gov/docs/iac/rule/567.41.4.pdf" Type="http://schemas.openxmlformats.org/officeDocument/2006/relationships/hyperlink" Id="rId356"/>
    <Relationship TargetMode="External" Target="https://www.legis.iowa.gov/docs/iac/rule/567.41.4.pdf" Type="http://schemas.openxmlformats.org/officeDocument/2006/relationships/hyperlink" Id="rId357"/>
    <Relationship TargetMode="External" Target="https://www.legis.iowa.gov/docs/iac/rule/567.43.7.pdf" Type="http://schemas.openxmlformats.org/officeDocument/2006/relationships/hyperlink" Id="rId358"/>
    <Relationship TargetMode="External" Target="https://www.legis.iowa.gov/docs/iac/rule/567.43.7.pdf" Type="http://schemas.openxmlformats.org/officeDocument/2006/relationships/hyperlink" Id="rId359"/>
    <Relationship TargetMode="External" Target="https://www.legis.iowa.gov/docs/iac/rule/567.41.4.pdf" Type="http://schemas.openxmlformats.org/officeDocument/2006/relationships/hyperlink" Id="rId360"/>
    <Relationship TargetMode="External" Target="https://www.legis.iowa.gov/docs/iac/rule/567.43.7.pdf" Type="http://schemas.openxmlformats.org/officeDocument/2006/relationships/hyperlink" Id="rId361"/>
    <Relationship TargetMode="External" Target="https://www.legis.iowa.gov/docs/iac/rule/567.43.7.pdf" Type="http://schemas.openxmlformats.org/officeDocument/2006/relationships/hyperlink" Id="rId362"/>
    <Relationship TargetMode="External" Target="https://www.legis.iowa.gov/docs/iac/rule/567.43.7.pdf" Type="http://schemas.openxmlformats.org/officeDocument/2006/relationships/hyperlink" Id="rId363"/>
    <Relationship TargetMode="External" Target="https://www.legis.iowa.gov/docs/iac/rule/567.43.7.pdf" Type="http://schemas.openxmlformats.org/officeDocument/2006/relationships/hyperlink" Id="rId364"/>
    <Relationship TargetMode="External" Target="https://www.legis.iowa.gov/docs/iac/rule/567.43.7.pdf" Type="http://schemas.openxmlformats.org/officeDocument/2006/relationships/hyperlink" Id="rId365"/>
    <Relationship TargetMode="External" Target="https://www.legis.iowa.gov/docs/iac/rule/567.43.7.pdf" Type="http://schemas.openxmlformats.org/officeDocument/2006/relationships/hyperlink" Id="rId366"/>
    <Relationship TargetMode="External" Target="https://www.legis.iowa.gov/docs/iac/rule/567.43.7.pdf" Type="http://schemas.openxmlformats.org/officeDocument/2006/relationships/hyperlink" Id="rId367"/>
    <Relationship TargetMode="External" Target="https://www.legis.iowa.gov/docs/iac/rule/567.41.4.pdf" Type="http://schemas.openxmlformats.org/officeDocument/2006/relationships/hyperlink" Id="rId368"/>
    <Relationship TargetMode="External" Target="https://www.legis.iowa.gov/docs/iac/rule/567.41.4.pdf" Type="http://schemas.openxmlformats.org/officeDocument/2006/relationships/hyperlink" Id="rId369"/>
    <Relationship TargetMode="External" Target="https://www.legis.iowa.gov/docs/iac/rule/567.43.7.pdf" Type="http://schemas.openxmlformats.org/officeDocument/2006/relationships/hyperlink" Id="rId370"/>
    <Relationship TargetMode="External" Target="https://www.legis.iowa.gov/docs/iac/rule/567.43.7.pdf" Type="http://schemas.openxmlformats.org/officeDocument/2006/relationships/hyperlink" Id="rId371"/>
    <Relationship TargetMode="External" Target="https://www.legis.iowa.gov/docs/iac/rule/567.43.7.pdf" Type="http://schemas.openxmlformats.org/officeDocument/2006/relationships/hyperlink" Id="rId372"/>
    <Relationship TargetMode="External" Target="https://www.legis.iowa.gov/docs/iac/rule/567.41.4.pdf" Type="http://schemas.openxmlformats.org/officeDocument/2006/relationships/hyperlink" Id="rId373"/>
    <Relationship TargetMode="External" Target="https://www.legis.iowa.gov/docs/iac/rule/567.41.4.pdf" Type="http://schemas.openxmlformats.org/officeDocument/2006/relationships/hyperlink" Id="rId374"/>
    <Relationship TargetMode="External" Target="https://www.legis.iowa.gov/docs/iac/rule/567.43.7.pdf" Type="http://schemas.openxmlformats.org/officeDocument/2006/relationships/hyperlink" Id="rId375"/>
    <Relationship TargetMode="External" Target="https://www.legis.iowa.gov/docs/iac/rule/567.43.7.pdf" Type="http://schemas.openxmlformats.org/officeDocument/2006/relationships/hyperlink" Id="rId376"/>
    <Relationship TargetMode="External" Target="https://www.legis.iowa.gov/docs/iac/rule/567.41.4.pdf" Type="http://schemas.openxmlformats.org/officeDocument/2006/relationships/hyperlink" Id="rId377"/>
    <Relationship TargetMode="External" Target="https://www.legis.iowa.gov/docs/iac/rule/567.41.4.pdf" Type="http://schemas.openxmlformats.org/officeDocument/2006/relationships/hyperlink" Id="rId378"/>
    <Relationship TargetMode="External" Target="https://www.legis.iowa.gov/docs/iac/rule/567.43.7.pdf" Type="http://schemas.openxmlformats.org/officeDocument/2006/relationships/hyperlink" Id="rId379"/>
    <Relationship TargetMode="External" Target="https://www.legis.iowa.gov/docs/iac/rule/567.43.7.pdf" Type="http://schemas.openxmlformats.org/officeDocument/2006/relationships/hyperlink" Id="rId380"/>
    <Relationship TargetMode="External" Target="https://www.legis.iowa.gov/docs/iac/rule/567.41.4.pdf" Type="http://schemas.openxmlformats.org/officeDocument/2006/relationships/hyperlink" Id="rId381"/>
    <Relationship TargetMode="External" Target="https://www.legis.iowa.gov/docs/iac/rule/567.43.7.pdf" Type="http://schemas.openxmlformats.org/officeDocument/2006/relationships/hyperlink" Id="rId382"/>
    <Relationship TargetMode="External" Target="https://www.legis.iowa.gov/docs/iac/rule/567.43.7.pdf" Type="http://schemas.openxmlformats.org/officeDocument/2006/relationships/hyperlink" Id="rId383"/>
    <Relationship TargetMode="External" Target="https://www.legis.iowa.gov/docs/iac/rule/567.41.4.pdf" Type="http://schemas.openxmlformats.org/officeDocument/2006/relationships/hyperlink" Id="rId384"/>
    <Relationship TargetMode="External" Target="https://www.legis.iowa.gov/docs/iac/rule/567.43.7.pdf" Type="http://schemas.openxmlformats.org/officeDocument/2006/relationships/hyperlink" Id="rId385"/>
    <Relationship TargetMode="External" Target="https://www.legis.iowa.gov/docs/iac/rule/567.43.7.pdf" Type="http://schemas.openxmlformats.org/officeDocument/2006/relationships/hyperlink" Id="rId386"/>
    <Relationship TargetMode="External" Target="https://www.legis.iowa.gov/docs/iac/rule/567.41.4.pdf" Type="http://schemas.openxmlformats.org/officeDocument/2006/relationships/hyperlink" Id="rId387"/>
    <Relationship TargetMode="External" Target="https://www.legis.iowa.gov/docs/iac/rule/567.43.7.pdf" Type="http://schemas.openxmlformats.org/officeDocument/2006/relationships/hyperlink" Id="rId388"/>
    <Relationship TargetMode="External" Target="https://www.legis.iowa.gov/docs/iac/rule/567.43.7.pdf" Type="http://schemas.openxmlformats.org/officeDocument/2006/relationships/hyperlink" Id="rId389"/>
    <Relationship TargetMode="External" Target="https://www.legis.iowa.gov/docs/iac/rule/567.41.4.pdf" Type="http://schemas.openxmlformats.org/officeDocument/2006/relationships/hyperlink" Id="rId390"/>
    <Relationship TargetMode="External" Target="https://www.legis.iowa.gov/docs/iac/rule/567.41.4.pdf" Type="http://schemas.openxmlformats.org/officeDocument/2006/relationships/hyperlink" Id="rId391"/>
    <Relationship TargetMode="External" Target="https://www.legis.iowa.gov/docs/iac/rule/567.43.7.pdf" Type="http://schemas.openxmlformats.org/officeDocument/2006/relationships/hyperlink" Id="rId392"/>
    <Relationship TargetMode="External" Target="https://www.legis.iowa.gov/docs/iac/rule/567.41.4.pdf" Type="http://schemas.openxmlformats.org/officeDocument/2006/relationships/hyperlink" Id="rId393"/>
    <Relationship TargetMode="External" Target="https://www.legis.iowa.gov/docs/iac/rule/567.41.4.pdf" Type="http://schemas.openxmlformats.org/officeDocument/2006/relationships/hyperlink" Id="rId394"/>
    <Relationship TargetMode="External" Target="https://www.legis.iowa.gov/docs/iac/rule/567.43.7.pdf" Type="http://schemas.openxmlformats.org/officeDocument/2006/relationships/hyperlink" Id="rId395"/>
    <Relationship TargetMode="External" Target="https://www.legis.iowa.gov/docs/iac/rule/567.43.7.pdf" Type="http://schemas.openxmlformats.org/officeDocument/2006/relationships/hyperlink" Id="rId396"/>
    <Relationship TargetMode="External" Target="https://www.legis.iowa.gov/docs/iac/rule/567.41.4.pdf" Type="http://schemas.openxmlformats.org/officeDocument/2006/relationships/hyperlink" Id="rId397"/>
    <Relationship TargetMode="External" Target="https://www.legis.iowa.gov/docs/iac/rule/567.43.7.pdf" Type="http://schemas.openxmlformats.org/officeDocument/2006/relationships/hyperlink" Id="rId398"/>
    <Relationship TargetMode="External" Target="https://www.legis.iowa.gov/docs/iac/rule/567.43.7.pdf" Type="http://schemas.openxmlformats.org/officeDocument/2006/relationships/hyperlink" Id="rId399"/>
    <Relationship TargetMode="External" Target="https://www.legis.iowa.gov/docs/iac/rule/567.42.4.pdf" Type="http://schemas.openxmlformats.org/officeDocument/2006/relationships/hyperlink" Id="rId400"/>
    <Relationship TargetMode="External" Target="https://www.legis.iowa.gov/docs/iac/chapter/567.40.pdf" Type="http://schemas.openxmlformats.org/officeDocument/2006/relationships/hyperlink" Id="rId401"/>
    <Relationship TargetMode="External" Target="https://www.legis.iowa.gov/docs/iac/chapter/567.43.pdf" Type="http://schemas.openxmlformats.org/officeDocument/2006/relationships/hyperlink" Id="rId402"/>
    <Relationship TargetMode="External" Target="https://www.legis.iowa.gov/docs/iac/chapter/567.81.pdf" Type="http://schemas.openxmlformats.org/officeDocument/2006/relationships/hyperlink" Id="rId403"/>
    <Relationship TargetMode="External" Target="https://www.legis.iowa.gov/docs/iac/chapter/567.40.pdf" Type="http://schemas.openxmlformats.org/officeDocument/2006/relationships/hyperlink" Id="rId404"/>
    <Relationship TargetMode="External" Target="https://www.legis.iowa.gov/docs/iac/chapter/567.43.pdf" Type="http://schemas.openxmlformats.org/officeDocument/2006/relationships/hyperlink" Id="rId405"/>
    <Relationship TargetMode="External" Target="https://www.legis.iowa.gov/docs/iac/chapter/567.81.pdf" Type="http://schemas.openxmlformats.org/officeDocument/2006/relationships/hyperlink" Id="rId406"/>
    <Relationship TargetMode="External" Target="https://www.legis.iowa.gov/docs/iac/chapter/567.40.pdf" Type="http://schemas.openxmlformats.org/officeDocument/2006/relationships/hyperlink" Id="rId407"/>
    <Relationship TargetMode="External" Target="https://www.legis.iowa.gov/docs/iac/chapter/567.43.pdf" Type="http://schemas.openxmlformats.org/officeDocument/2006/relationships/hyperlink" Id="rId408"/>
    <Relationship TargetMode="External" Target="https://www.legis.iowa.gov/docs/iac/rule/567.43.2.pdf" Type="http://schemas.openxmlformats.org/officeDocument/2006/relationships/hyperlink" Id="rId409"/>
    <Relationship TargetMode="External" Target="https://www.legis.iowa.gov/docs/iac/rule/567.40.5.pdf" Type="http://schemas.openxmlformats.org/officeDocument/2006/relationships/hyperlink" Id="rId410"/>
    <Relationship TargetMode="External" Target="https://www.legis.iowa.gov/docs/iac/chapter/567.81.pdf" Type="http://schemas.openxmlformats.org/officeDocument/2006/relationships/hyperlink" Id="rId411"/>
    <Relationship TargetMode="External" Target="https://www.legis.iowa.gov/docs/iac/rule/567.43.8.pdf" Type="http://schemas.openxmlformats.org/officeDocument/2006/relationships/hyperlink" Id="rId412"/>
    <Relationship TargetMode="External" Target="https://www.legis.iowa.gov/docs/iac/chapter/567.81.pdf" Type="http://schemas.openxmlformats.org/officeDocument/2006/relationships/hyperlink" Id="rId413"/>
    <Relationship TargetMode="External" Target="https://www.legis.iowa.gov/docs/iac/chapter/567.40.pdf" Type="http://schemas.openxmlformats.org/officeDocument/2006/relationships/hyperlink" Id="rId414"/>
    <Relationship TargetMode="External" Target="https://www.legis.iowa.gov/docs/iac/chapter/567.44.pdf" Type="http://schemas.openxmlformats.org/officeDocument/2006/relationships/hyperlink" Id="rId415"/>
    <Relationship TargetMode="External" Target="https://www.legis.iowa.gov/docs/iac/chapter/567.40.pdf" Type="http://schemas.openxmlformats.org/officeDocument/2006/relationships/hyperlink" Id="rId416"/>
    <Relationship TargetMode="External" Target="https://www.legis.iowa.gov/docs/iac/chapter/567.44.pdf" Type="http://schemas.openxmlformats.org/officeDocument/2006/relationships/hyperlink" Id="rId417"/>
    <Relationship TargetMode="External" Target="https://www.legis.iowa.gov/docs/iac/chapter/567.40.pdf" Type="http://schemas.openxmlformats.org/officeDocument/2006/relationships/hyperlink" Id="rId418"/>
    <Relationship TargetMode="External" Target="https://www.legis.iowa.gov/docs/iac/chapter/567.44.pdf" Type="http://schemas.openxmlformats.org/officeDocument/2006/relationships/hyperlink" Id="rId419"/>
    <Relationship TargetMode="External" Target="https://www.legis.iowa.gov/docs/iac/chapter/567.7.pdf" Type="http://schemas.openxmlformats.org/officeDocument/2006/relationships/hyperlink" Id="rId420"/>
    <Relationship TargetMode="External" Target="https://www.legis.iowa.gov/docs/iac/rule/567.43.5.pdf" Type="http://schemas.openxmlformats.org/officeDocument/2006/relationships/hyperlink" Id="rId421"/>
    <Relationship TargetMode="External" Target="https://www.legis.iowa.gov/docs/iac/rule/567.43.5.pdf" Type="http://schemas.openxmlformats.org/officeDocument/2006/relationships/hyperlink" Id="rId422"/>
    <Relationship TargetMode="External" Target="https://www.legis.iowa.gov/docs/iac/rule/567.43.9.pdf" Type="http://schemas.openxmlformats.org/officeDocument/2006/relationships/hyperlink" Id="rId423"/>
    <Relationship TargetMode="External" Target="https://www.legis.iowa.gov/docs/iac/rule/567.43.9.pdf" Type="http://schemas.openxmlformats.org/officeDocument/2006/relationships/hyperlink" Id="rId424"/>
    <Relationship TargetMode="External" Target="https://www.legis.iowa.gov/docs/iac/rule/567.43.5.pdf" Type="http://schemas.openxmlformats.org/officeDocument/2006/relationships/hyperlink" Id="rId425"/>
    <Relationship TargetMode="External" Target="https://www.legis.iowa.gov/docs/iac/rule/567.43.9.pdf" Type="http://schemas.openxmlformats.org/officeDocument/2006/relationships/hyperlink" Id="rId426"/>
    <Relationship TargetMode="External" Target="https://www.legis.iowa.gov/docs/iac/rule/567.43.5.pdf" Type="http://schemas.openxmlformats.org/officeDocument/2006/relationships/hyperlink" Id="rId427"/>
    <Relationship TargetMode="External" Target="https://www.legis.iowa.gov/docs/iac/rule/567.43.6.pdf" Type="http://schemas.openxmlformats.org/officeDocument/2006/relationships/hyperlink" Id="rId428"/>
    <Relationship TargetMode="External" Target="https://www.legis.iowa.gov/docs/iac/rule/567.43.9.pdf" Type="http://schemas.openxmlformats.org/officeDocument/2006/relationships/hyperlink" Id="rId429"/>
    <Relationship TargetMode="External" Target="https://www.legis.iowa.gov/docs/iac/rule/567.43.9.pdf" Type="http://schemas.openxmlformats.org/officeDocument/2006/relationships/hyperlink" Id="rId430"/>
    <Relationship TargetMode="External" Target="https://www.legis.iowa.gov/docs/iac/rule/567.43.9.pdf" Type="http://schemas.openxmlformats.org/officeDocument/2006/relationships/hyperlink" Id="rId431"/>
    <Relationship TargetMode="External" Target="https://www.legis.iowa.gov/docs/iac/rule/567.43.9.pdf" Type="http://schemas.openxmlformats.org/officeDocument/2006/relationships/hyperlink" Id="rId432"/>
    <Relationship TargetMode="External" Target="https://www.legis.iowa.gov/docs/iac/rule/567.43.9.pdf" Type="http://schemas.openxmlformats.org/officeDocument/2006/relationships/hyperlink" Id="rId433"/>
    <Relationship TargetMode="External" Target="https://www.legis.iowa.gov/docs/iac/rule/567.43.9.pdf" Type="http://schemas.openxmlformats.org/officeDocument/2006/relationships/hyperlink" Id="rId434"/>
    <Relationship TargetMode="External" Target="https://www.legis.iowa.gov/docs/iac/rule/567.43.9.pdf" Type="http://schemas.openxmlformats.org/officeDocument/2006/relationships/hyperlink" Id="rId435"/>
    <Relationship TargetMode="External" Target="https://www.legis.iowa.gov/docs/iac/rule/567.43.9.pdf" Type="http://schemas.openxmlformats.org/officeDocument/2006/relationships/hyperlink" Id="rId436"/>
    <Relationship TargetMode="External" Target="https://www.legis.iowa.gov/docs/iac/rule/567.43.9.pdf" Type="http://schemas.openxmlformats.org/officeDocument/2006/relationships/hyperlink" Id="rId437"/>
    <Relationship TargetMode="External" Target="https://www.legis.iowa.gov/docs/iac/rule/567.43.9.pdf" Type="http://schemas.openxmlformats.org/officeDocument/2006/relationships/hyperlink" Id="rId438"/>
    <Relationship TargetMode="External" Target="https://www.legis.iowa.gov/docs/iac/rule/567.43.9.pdf" Type="http://schemas.openxmlformats.org/officeDocument/2006/relationships/hyperlink" Id="rId439"/>
    <Relationship TargetMode="External" Target="https://www.legis.iowa.gov/docs/iac/rule/567.43.9.pdf" Type="http://schemas.openxmlformats.org/officeDocument/2006/relationships/hyperlink" Id="rId440"/>
    <Relationship TargetMode="External" Target="https://www.legis.iowa.gov/docs/iac/rule/567.43.9.pdf" Type="http://schemas.openxmlformats.org/officeDocument/2006/relationships/hyperlink" Id="rId441"/>
    <Relationship TargetMode="External" Target="https://www.legis.iowa.gov/docs/iac/rule/567.43.9.pdf" Type="http://schemas.openxmlformats.org/officeDocument/2006/relationships/hyperlink" Id="rId442"/>
    <Relationship TargetMode="External" Target="https://www.legis.iowa.gov/docs/iac/rule/567.43.5.pdf" Type="http://schemas.openxmlformats.org/officeDocument/2006/relationships/hyperlink" Id="rId443"/>
    <Relationship TargetMode="External" Target="https://www.legis.iowa.gov/docs/iac/rule/567.43.9.pdf" Type="http://schemas.openxmlformats.org/officeDocument/2006/relationships/hyperlink" Id="rId444"/>
    <Relationship TargetMode="External" Target="https://www.legis.iowa.gov/docs/iac/rule/567.43.9.pdf" Type="http://schemas.openxmlformats.org/officeDocument/2006/relationships/hyperlink" Id="rId445"/>
    <Relationship TargetMode="External" Target="https://www.legis.iowa.gov/docs/iac/rule/567.43.9.pdf" Type="http://schemas.openxmlformats.org/officeDocument/2006/relationships/hyperlink" Id="rId446"/>
    <Relationship TargetMode="External" Target="https://www.legis.iowa.gov/docs/iac/rule/567.43.9.pdf" Type="http://schemas.openxmlformats.org/officeDocument/2006/relationships/hyperlink" Id="rId447"/>
    <Relationship TargetMode="External" Target="https://www.legis.iowa.gov/docs/iac/rule/567.43.9.pdf" Type="http://schemas.openxmlformats.org/officeDocument/2006/relationships/hyperlink" Id="rId448"/>
    <Relationship TargetMode="External" Target="https://www.legis.iowa.gov/docs/iac/rule/567.43.9.pdf" Type="http://schemas.openxmlformats.org/officeDocument/2006/relationships/hyperlink" Id="rId449"/>
    <Relationship TargetMode="External" Target="https://www.legis.iowa.gov/docs/iac/rule/567.43.9.pdf" Type="http://schemas.openxmlformats.org/officeDocument/2006/relationships/hyperlink" Id="rId450"/>
    <Relationship TargetMode="External" Target="https://www.legis.iowa.gov/docs/iac/rule/567.43.9.pdf" Type="http://schemas.openxmlformats.org/officeDocument/2006/relationships/hyperlink" Id="rId451"/>
    <Relationship TargetMode="External" Target="https://www.legis.iowa.gov/docs/iac/rule/567.43.9.pdf" Type="http://schemas.openxmlformats.org/officeDocument/2006/relationships/hyperlink" Id="rId452"/>
    <Relationship TargetMode="External" Target="https://www.legis.iowa.gov/docs/iac/rule/567.43.5.pdf" Type="http://schemas.openxmlformats.org/officeDocument/2006/relationships/hyperlink" Id="rId453"/>
    <Relationship TargetMode="External" Target="https://www.legis.iowa.gov/docs/iac/rule/567.43.5.pdf" Type="http://schemas.openxmlformats.org/officeDocument/2006/relationships/hyperlink" Id="rId454"/>
    <Relationship TargetMode="External" Target="https://www.legis.iowa.gov/docs/iac/rule/567.43.5.pdf" Type="http://schemas.openxmlformats.org/officeDocument/2006/relationships/hyperlink" Id="rId455"/>
    <Relationship TargetMode="External" Target="https://www.legis.iowa.gov/docs/iac/rule/567.43.5.pdf" Type="http://schemas.openxmlformats.org/officeDocument/2006/relationships/hyperlink" Id="rId456"/>
    <Relationship TargetMode="External" Target="https://www.legis.iowa.gov/docs/iac/rule/567.43.9.pdf" Type="http://schemas.openxmlformats.org/officeDocument/2006/relationships/hyperlink" Id="rId457"/>
    <Relationship TargetMode="External" Target="https://www.legis.iowa.gov/docs/iac/rule/567.43.5.pdf" Type="http://schemas.openxmlformats.org/officeDocument/2006/relationships/hyperlink" Id="rId458"/>
    <Relationship TargetMode="External" Target="https://www.legis.iowa.gov/docs/iac/rule/567.43.5.pdf" Type="http://schemas.openxmlformats.org/officeDocument/2006/relationships/hyperlink" Id="rId459"/>
    <Relationship TargetMode="External" Target="https://www.legis.iowa.gov/docs/iac/rule/567.43.5.pdf" Type="http://schemas.openxmlformats.org/officeDocument/2006/relationships/hyperlink" Id="rId460"/>
    <Relationship TargetMode="External" Target="https://www.legis.iowa.gov/docs/iac/rule/567.42.4.pdf" Type="http://schemas.openxmlformats.org/officeDocument/2006/relationships/hyperlink" Id="rId461"/>
    <Relationship TargetMode="External" Target="https://www.legis.iowa.gov/docs/iac/rule/567.43.9.pdf" Type="http://schemas.openxmlformats.org/officeDocument/2006/relationships/hyperlink" Id="rId462"/>
    <Relationship TargetMode="External" Target="https://www.legis.iowa.gov/docs/iac/rule/567.42.4.pdf" Type="http://schemas.openxmlformats.org/officeDocument/2006/relationships/hyperlink" Id="rId463"/>
    <Relationship TargetMode="External" Target="https://www.legis.iowa.gov/docs/iac/rule/567.43.9.pdf" Type="http://schemas.openxmlformats.org/officeDocument/2006/relationships/hyperlink" Id="rId464"/>
    <Relationship TargetMode="External" Target="https://www.legis.iowa.gov/docs/iac/rule/567.43.9.pdf" Type="http://schemas.openxmlformats.org/officeDocument/2006/relationships/hyperlink" Id="rId465"/>
    <Relationship TargetMode="External" Target="https://www.legis.iowa.gov/docs/iac/rule/567.43.9.pdf" Type="http://schemas.openxmlformats.org/officeDocument/2006/relationships/hyperlink" Id="rId466"/>
    <Relationship TargetMode="External" Target="https://www.legis.iowa.gov/docs/iac/rule/567.42.4.pdf" Type="http://schemas.openxmlformats.org/officeDocument/2006/relationships/hyperlink" Id="rId467"/>
    <Relationship TargetMode="External" Target="https://www.legis.iowa.gov/docs/iac/rule/567.43.9.pdf" Type="http://schemas.openxmlformats.org/officeDocument/2006/relationships/hyperlink" Id="rId468"/>
    <Relationship TargetMode="External" Target="https://www.legis.iowa.gov/docs/iac/rule/567.43.9.pdf" Type="http://schemas.openxmlformats.org/officeDocument/2006/relationships/hyperlink" Id="rId469"/>
    <Relationship TargetMode="External" Target="https://www.legis.iowa.gov/docs/iac/rule/567.43.9.pdf" Type="http://schemas.openxmlformats.org/officeDocument/2006/relationships/hyperlink" Id="rId470"/>
    <Relationship TargetMode="External" Target="https://www.legis.iowa.gov/docs/iac/rule/567.43.9.pdf" Type="http://schemas.openxmlformats.org/officeDocument/2006/relationships/hyperlink" Id="rId471"/>
    <Relationship TargetMode="External" Target="https://www.legis.iowa.gov/docs/iac/rule/567.43.9.pdf" Type="http://schemas.openxmlformats.org/officeDocument/2006/relationships/hyperlink" Id="rId472"/>
    <Relationship TargetMode="External" Target="https://www.legis.iowa.gov/docs/iac/rule/567.42.1.pdf" Type="http://schemas.openxmlformats.org/officeDocument/2006/relationships/hyperlink" Id="rId473"/>
    <Relationship TargetMode="External" Target="https://www.legis.iowa.gov/docs/iac/rule/567.43.9.pdf" Type="http://schemas.openxmlformats.org/officeDocument/2006/relationships/hyperlink" Id="rId474"/>
    <Relationship TargetMode="External" Target="https://www.legis.iowa.gov/docs/iac/rule/567.42.1.pdf" Type="http://schemas.openxmlformats.org/officeDocument/2006/relationships/hyperlink" Id="rId475"/>
    <Relationship TargetMode="External" Target="https://www.legis.iowa.gov/docs/iac/rule/567.43.5.pdf" Type="http://schemas.openxmlformats.org/officeDocument/2006/relationships/hyperlink" Id="rId476"/>
    <Relationship TargetMode="External" Target="https://www.legis.iowa.gov/docs/iac/rule/567.43.10.pdf" Type="http://schemas.openxmlformats.org/officeDocument/2006/relationships/hyperlink" Id="rId477"/>
    <Relationship TargetMode="External" Target="https://www.legis.iowa.gov/docs/iac/rule/567.43.10.pdf" Type="http://schemas.openxmlformats.org/officeDocument/2006/relationships/hyperlink" Id="rId478"/>
    <Relationship TargetMode="External" Target="https://www.legis.iowa.gov/docs/iac/rule/567.43.10.pdf" Type="http://schemas.openxmlformats.org/officeDocument/2006/relationships/hyperlink" Id="rId479"/>
    <Relationship TargetMode="External" Target="https://www.legis.iowa.gov/docs/iac/rule/567.43.10.pdf" Type="http://schemas.openxmlformats.org/officeDocument/2006/relationships/hyperlink" Id="rId480"/>
    <Relationship TargetMode="External" Target="https://www.legis.iowa.gov/docs/iac/rule/567.43.5.pdf" Type="http://schemas.openxmlformats.org/officeDocument/2006/relationships/hyperlink" Id="rId481"/>
    <Relationship TargetMode="External" Target="https://www.legis.iowa.gov/docs/iac/rule/567.43.10.pdf" Type="http://schemas.openxmlformats.org/officeDocument/2006/relationships/hyperlink" Id="rId482"/>
    <Relationship TargetMode="External" Target="https://www.legis.iowa.gov/docs/iac/rule/567.43.10.pdf" Type="http://schemas.openxmlformats.org/officeDocument/2006/relationships/hyperlink" Id="rId483"/>
    <Relationship TargetMode="External" Target="https://www.legis.iowa.gov/docs/iac/rule/567.43.10.pdf" Type="http://schemas.openxmlformats.org/officeDocument/2006/relationships/hyperlink" Id="rId484"/>
    <Relationship TargetMode="External" Target="https://www.legis.iowa.gov/docs/iac/rule/567.43.10.pdf" Type="http://schemas.openxmlformats.org/officeDocument/2006/relationships/hyperlink" Id="rId485"/>
    <Relationship TargetMode="External" Target="https://www.legis.iowa.gov/docs/iac/rule/567.43.10.pdf" Type="http://schemas.openxmlformats.org/officeDocument/2006/relationships/hyperlink" Id="rId486"/>
    <Relationship TargetMode="External" Target="https://www.legis.iowa.gov/docs/iac/rule/567.43.10.pdf" Type="http://schemas.openxmlformats.org/officeDocument/2006/relationships/hyperlink" Id="rId487"/>
    <Relationship TargetMode="External" Target="https://www.legis.iowa.gov/docs/iac/rule/567.43.5.pdf" Type="http://schemas.openxmlformats.org/officeDocument/2006/relationships/hyperlink" Id="rId488"/>
    <Relationship TargetMode="External" Target="https://www.legis.iowa.gov/docs/iac/rule/567.43.10.pdf" Type="http://schemas.openxmlformats.org/officeDocument/2006/relationships/hyperlink" Id="rId489"/>
    <Relationship TargetMode="External" Target="https://www.legis.iowa.gov/docs/iac/rule/567.43.5.pdf" Type="http://schemas.openxmlformats.org/officeDocument/2006/relationships/hyperlink" Id="rId490"/>
    <Relationship TargetMode="External" Target="https://www.legis.iowa.gov/docs/iac/rule/567.43.5.pdf" Type="http://schemas.openxmlformats.org/officeDocument/2006/relationships/hyperlink" Id="rId491"/>
    <Relationship TargetMode="External" Target="https://www.legis.iowa.gov/docs/iac/rule/567.43.10.pdf" Type="http://schemas.openxmlformats.org/officeDocument/2006/relationships/hyperlink" Id="rId492"/>
    <Relationship TargetMode="External" Target="https://www.legis.iowa.gov/docs/iac/rule/567.43.5.pdf" Type="http://schemas.openxmlformats.org/officeDocument/2006/relationships/hyperlink" Id="rId493"/>
    <Relationship TargetMode="External" Target="https://www.legis.iowa.gov/docs/iac/rule/567.43.10.pdf" Type="http://schemas.openxmlformats.org/officeDocument/2006/relationships/hyperlink" Id="rId494"/>
    <Relationship TargetMode="External" Target="https://www.legis.iowa.gov/docs/iac/rule/567.43.10.pdf" Type="http://schemas.openxmlformats.org/officeDocument/2006/relationships/hyperlink" Id="rId495"/>
    <Relationship TargetMode="External" Target="https://www.legis.iowa.gov/docs/iac/rule/567.43.5.pdf" Type="http://schemas.openxmlformats.org/officeDocument/2006/relationships/hyperlink" Id="rId496"/>
    <Relationship TargetMode="External" Target="https://www.legis.iowa.gov/docs/iac/rule/567.43.10.pdf" Type="http://schemas.openxmlformats.org/officeDocument/2006/relationships/hyperlink" Id="rId497"/>
    <Relationship TargetMode="External" Target="https://www.legis.iowa.gov/docs/iac/rule/567.43.10.pdf" Type="http://schemas.openxmlformats.org/officeDocument/2006/relationships/hyperlink" Id="rId498"/>
    <Relationship TargetMode="External" Target="https://www.legis.iowa.gov/docs/iac/rule/567.43.10.pdf" Type="http://schemas.openxmlformats.org/officeDocument/2006/relationships/hyperlink" Id="rId499"/>
    <Relationship TargetMode="External" Target="https://www.legis.iowa.gov/docs/iac/rule/567.43.10.pdf" Type="http://schemas.openxmlformats.org/officeDocument/2006/relationships/hyperlink" Id="rId500"/>
    <Relationship TargetMode="External" Target="https://www.legis.iowa.gov/docs/iac/rule/567.43.10.pdf" Type="http://schemas.openxmlformats.org/officeDocument/2006/relationships/hyperlink" Id="rId501"/>
    <Relationship TargetMode="External" Target="https://www.legis.iowa.gov/docs/iac/rule/567.43.10.pdf" Type="http://schemas.openxmlformats.org/officeDocument/2006/relationships/hyperlink" Id="rId502"/>
    <Relationship TargetMode="External" Target="https://www.legis.iowa.gov/docs/iac/rule/567.43.10.pdf" Type="http://schemas.openxmlformats.org/officeDocument/2006/relationships/hyperlink" Id="rId503"/>
    <Relationship TargetMode="External" Target="https://www.legis.iowa.gov/docs/iac/rule/567.42.1.pdf" Type="http://schemas.openxmlformats.org/officeDocument/2006/relationships/hyperlink" Id="rId504"/>
    <Relationship TargetMode="External" Target="https://www.legis.iowa.gov/docs/iac/rule/567.43.5.pdf" Type="http://schemas.openxmlformats.org/officeDocument/2006/relationships/hyperlink" Id="rId505"/>
    <Relationship TargetMode="External" Target="https://www.legis.iowa.gov/docs/iac/rule/567.42.1.pdf" Type="http://schemas.openxmlformats.org/officeDocument/2006/relationships/hyperlink" Id="rId506"/>
    <Relationship TargetMode="External" Target="https://www.legis.iowa.gov/docs/iac/rule/567.43.10.pdf" Type="http://schemas.openxmlformats.org/officeDocument/2006/relationships/hyperlink" Id="rId507"/>
    <Relationship TargetMode="External" Target="https://www.legis.iowa.gov/docs/iac/rule/567.42.1.pdf" Type="http://schemas.openxmlformats.org/officeDocument/2006/relationships/hyperlink" Id="rId508"/>
    <Relationship TargetMode="External" Target="https://www.legis.iowa.gov/docs/iac/rule/567.42.4.pdf" Type="http://schemas.openxmlformats.org/officeDocument/2006/relationships/hyperlink" Id="rId509"/>
    <Relationship TargetMode="External" Target="https://www.legis.iowa.gov/docs/iac/rule/567.42.5.pdf" Type="http://schemas.openxmlformats.org/officeDocument/2006/relationships/hyperlink" Id="rId510"/>
    <Relationship TargetMode="External" Target="https://www.legis.iowa.gov/docs/iac/rule/567.43.5.pdf" Type="http://schemas.openxmlformats.org/officeDocument/2006/relationships/hyperlink" Id="rId511"/>
    <Relationship TargetMode="External" Target="https://www.legis.iowa.gov/docs/iac/rule/567.43.9.pdf" Type="http://schemas.openxmlformats.org/officeDocument/2006/relationships/hyperlink" Id="rId512"/>
    <Relationship TargetMode="External" Target="https://www.legis.iowa.gov/docs/iac/rule/567.43.10.pdf" Type="http://schemas.openxmlformats.org/officeDocument/2006/relationships/hyperlink" Id="rId513"/>
    <Relationship TargetMode="External" Target="https://www.legis.iowa.gov/docs/iac/rule/567.43.5.pdf" Type="http://schemas.openxmlformats.org/officeDocument/2006/relationships/hyperlink" Id="rId514"/>
    <Relationship TargetMode="External" Target="https://www.legis.iowa.gov/docs/iac/rule/567.43.11.pdf" Type="http://schemas.openxmlformats.org/officeDocument/2006/relationships/hyperlink" Id="rId515"/>
    <Relationship TargetMode="External" Target="https://www.legis.iowa.gov/docs/iac/rule/567.43.11.pdf" Type="http://schemas.openxmlformats.org/officeDocument/2006/relationships/hyperlink" Id="rId516"/>
    <Relationship TargetMode="External" Target="https://www.legis.iowa.gov/docs/iac/rule/567.43.11.pdf" Type="http://schemas.openxmlformats.org/officeDocument/2006/relationships/hyperlink" Id="rId517"/>
    <Relationship TargetMode="External" Target="https://www.legis.iowa.gov/docs/iac/rule/567.43.11.pdf" Type="http://schemas.openxmlformats.org/officeDocument/2006/relationships/hyperlink" Id="rId518"/>
    <Relationship TargetMode="External" Target="https://www.legis.iowa.gov/docs/iac/rule/567.43.11.pdf" Type="http://schemas.openxmlformats.org/officeDocument/2006/relationships/hyperlink" Id="rId519"/>
    <Relationship TargetMode="External" Target="https://www.legis.iowa.gov/docs/iac/rule/567.43.11.pdf" Type="http://schemas.openxmlformats.org/officeDocument/2006/relationships/hyperlink" Id="rId520"/>
    <Relationship TargetMode="External" Target="https://www.legis.iowa.gov/docs/iac/rule/567.43.1.pdf" Type="http://schemas.openxmlformats.org/officeDocument/2006/relationships/hyperlink" Id="rId521"/>
    <Relationship TargetMode="External" Target="https://www.legis.iowa.gov/docs/iac/rule/567.43.11.pdf" Type="http://schemas.openxmlformats.org/officeDocument/2006/relationships/hyperlink" Id="rId522"/>
    <Relationship TargetMode="External" Target="https://www.legis.iowa.gov/docs/iac/rule/567.43.11.pdf" Type="http://schemas.openxmlformats.org/officeDocument/2006/relationships/hyperlink" Id="rId523"/>
    <Relationship TargetMode="External" Target="https://www.legis.iowa.gov/docs/iac/rule/567.43.11.pdf" Type="http://schemas.openxmlformats.org/officeDocument/2006/relationships/hyperlink" Id="rId524"/>
    <Relationship TargetMode="External" Target="https://www.legis.iowa.gov/docs/iac/rule/567.43.11.pdf" Type="http://schemas.openxmlformats.org/officeDocument/2006/relationships/hyperlink" Id="rId525"/>
    <Relationship TargetMode="External" Target="https://www.legis.iowa.gov/docs/iac/rule/567.43.9.pdf" Type="http://schemas.openxmlformats.org/officeDocument/2006/relationships/hyperlink" Id="rId526"/>
    <Relationship TargetMode="External" Target="https://www.legis.iowa.gov/docs/iac/rule/567.43.10.pdf" Type="http://schemas.openxmlformats.org/officeDocument/2006/relationships/hyperlink" Id="rId527"/>
    <Relationship TargetMode="External" Target="https://www.legis.iowa.gov/docs/iac/rule/567.43.11.pdf" Type="http://schemas.openxmlformats.org/officeDocument/2006/relationships/hyperlink" Id="rId528"/>
    <Relationship TargetMode="External" Target="http://www.nemi.gov" Type="http://schemas.openxmlformats.org/officeDocument/2006/relationships/hyperlink" Id="rId529"/>
    <Relationship TargetMode="External" Target="http://www.nemi.gov" Type="http://schemas.openxmlformats.org/officeDocument/2006/relationships/hyperlink" Id="rId530"/>
    <Relationship TargetMode="External" Target="http://www.nepis.epa.gov" Type="http://schemas.openxmlformats.org/officeDocument/2006/relationships/hyperlink" Id="rId531"/>
    <Relationship TargetMode="External" Target="http://www.nepis.epa.gov" Type="http://schemas.openxmlformats.org/officeDocument/2006/relationships/hyperlink" Id="rId532"/>
    <Relationship TargetMode="External" Target="https://www.legis.iowa.gov/docs/iac/rule/567.43.9.pdf" Type="http://schemas.openxmlformats.org/officeDocument/2006/relationships/hyperlink" Id="rId533"/>
    <Relationship TargetMode="External" Target="https://www.legis.iowa.gov/docs/iac/rule/567.43.10.pdf" Type="http://schemas.openxmlformats.org/officeDocument/2006/relationships/hyperlink" Id="rId534"/>
    <Relationship TargetMode="External" Target="https://www.legis.iowa.gov/docs/iac/rule/567.43.11.pdf" Type="http://schemas.openxmlformats.org/officeDocument/2006/relationships/hyperlink" Id="rId535"/>
    <Relationship TargetMode="External" Target="https://www.legis.iowa.gov/docs/iac/rule/567.43.11.pdf" Type="http://schemas.openxmlformats.org/officeDocument/2006/relationships/hyperlink" Id="rId536"/>
    <Relationship TargetMode="External" Target="https://www.legis.iowa.gov/docs/iac/rule/567.43.11.pdf" Type="http://schemas.openxmlformats.org/officeDocument/2006/relationships/hyperlink" Id="rId537"/>
    <Relationship TargetMode="External" Target="https://www.legis.iowa.gov/docs/iac/rule/567.43.11.pdf" Type="http://schemas.openxmlformats.org/officeDocument/2006/relationships/hyperlink" Id="rId538"/>
    <Relationship TargetMode="External" Target="https://www.legis.iowa.gov/docs/iac/rule/567.43.11.pdf" Type="http://schemas.openxmlformats.org/officeDocument/2006/relationships/hyperlink" Id="rId539"/>
    <Relationship TargetMode="External" Target="https://www.legis.iowa.gov/docs/iac/rule/567.43.11.pdf" Type="http://schemas.openxmlformats.org/officeDocument/2006/relationships/hyperlink" Id="rId540"/>
    <Relationship TargetMode="External" Target="https://www.legis.iowa.gov/docs/iac/rule/567.43.11.pdf" Type="http://schemas.openxmlformats.org/officeDocument/2006/relationships/hyperlink" Id="rId541"/>
    <Relationship TargetMode="External" Target="https://www.legis.iowa.gov/docs/iac/rule/567.43.11.pdf" Type="http://schemas.openxmlformats.org/officeDocument/2006/relationships/hyperlink" Id="rId542"/>
    <Relationship TargetMode="External" Target="https://www.legis.iowa.gov/docs/iac/rule/567.43.11.pdf" Type="http://schemas.openxmlformats.org/officeDocument/2006/relationships/hyperlink" Id="rId543"/>
    <Relationship TargetMode="External" Target="https://www.legis.iowa.gov/docs/iac/rule/567.43.5.pdf" Type="http://schemas.openxmlformats.org/officeDocument/2006/relationships/hyperlink" Id="rId544"/>
    <Relationship TargetMode="External" Target="https://www.legis.iowa.gov/docs/iac/rule/567.43.9.pdf" Type="http://schemas.openxmlformats.org/officeDocument/2006/relationships/hyperlink" Id="rId545"/>
    <Relationship TargetMode="External" Target="https://www.legis.iowa.gov/docs/iac/rule/567.43.10.pdf" Type="http://schemas.openxmlformats.org/officeDocument/2006/relationships/hyperlink" Id="rId546"/>
    <Relationship TargetMode="External" Target="https://www.legis.iowa.gov/docs/iac/rule/567.43.11.pdf" Type="http://schemas.openxmlformats.org/officeDocument/2006/relationships/hyperlink" Id="rId547"/>
    <Relationship TargetMode="External" Target="https://www.legis.iowa.gov/docs/iac/rule/567.43.11.pdf" Type="http://schemas.openxmlformats.org/officeDocument/2006/relationships/hyperlink" Id="rId548"/>
    <Relationship TargetMode="External" Target="https://www.legis.iowa.gov/docs/iac/rule/567.43.11.pdf" Type="http://schemas.openxmlformats.org/officeDocument/2006/relationships/hyperlink" Id="rId549"/>
    <Relationship TargetMode="External" Target="https://www.legis.iowa.gov/docs/iac/rule/567.43.11.pdf" Type="http://schemas.openxmlformats.org/officeDocument/2006/relationships/hyperlink" Id="rId550"/>
    <Relationship TargetMode="External" Target="https://www.legis.iowa.gov/docs/iac/rule/567.43.11.pdf" Type="http://schemas.openxmlformats.org/officeDocument/2006/relationships/hyperlink" Id="rId551"/>
    <Relationship TargetMode="External" Target="https://www.legis.iowa.gov/docs/iac/rule/567.43.11.pdf" Type="http://schemas.openxmlformats.org/officeDocument/2006/relationships/hyperlink" Id="rId552"/>
    <Relationship TargetMode="External" Target="https://www.legis.iowa.gov/docs/iac/rule/567.43.11.pdf" Type="http://schemas.openxmlformats.org/officeDocument/2006/relationships/hyperlink" Id="rId553"/>
    <Relationship TargetMode="External" Target="https://www.legis.iowa.gov/docs/iac/rule/567.43.11.pdf" Type="http://schemas.openxmlformats.org/officeDocument/2006/relationships/hyperlink" Id="rId554"/>
    <Relationship TargetMode="External" Target="https://www.legis.iowa.gov/docs/iac/rule/567.43.11.pdf" Type="http://schemas.openxmlformats.org/officeDocument/2006/relationships/hyperlink" Id="rId555"/>
    <Relationship TargetMode="External" Target="https://www.legis.iowa.gov/docs/iac/rule/567.43.11.pdf" Type="http://schemas.openxmlformats.org/officeDocument/2006/relationships/hyperlink" Id="rId556"/>
    <Relationship TargetMode="External" Target="https://www.legis.iowa.gov/docs/iac/rule/567.43.11.pdf" Type="http://schemas.openxmlformats.org/officeDocument/2006/relationships/hyperlink" Id="rId557"/>
    <Relationship TargetMode="External" Target="https://www.legis.iowa.gov/docs/iac/rule/567.43.11.pdf" Type="http://schemas.openxmlformats.org/officeDocument/2006/relationships/hyperlink" Id="rId558"/>
    <Relationship TargetMode="External" Target="https://www.legis.iowa.gov/docs/iac/rule/567.43.11.pdf" Type="http://schemas.openxmlformats.org/officeDocument/2006/relationships/hyperlink" Id="rId559"/>
    <Relationship TargetMode="External" Target="https://www.legis.iowa.gov/docs/iac/rule/567.43.11.pdf" Type="http://schemas.openxmlformats.org/officeDocument/2006/relationships/hyperlink" Id="rId560"/>
    <Relationship TargetMode="External" Target="https://www.legis.iowa.gov/docs/iac/rule/567.43.11.pdf" Type="http://schemas.openxmlformats.org/officeDocument/2006/relationships/hyperlink" Id="rId561"/>
    <Relationship TargetMode="External" Target="https://www.legis.iowa.gov/docs/iac/rule/567.43.11.pdf" Type="http://schemas.openxmlformats.org/officeDocument/2006/relationships/hyperlink" Id="rId562"/>
    <Relationship TargetMode="External" Target="https://www.legis.iowa.gov/docs/iac/rule/567.43.11.pdf" Type="http://schemas.openxmlformats.org/officeDocument/2006/relationships/hyperlink" Id="rId563"/>
    <Relationship TargetMode="External" Target="https://www.legis.iowa.gov/docs/iac/rule/567.43.11.pdf" Type="http://schemas.openxmlformats.org/officeDocument/2006/relationships/hyperlink" Id="rId564"/>
    <Relationship TargetMode="External" Target="https://www.legis.iowa.gov/docs/iac/rule/567.43.11.pdf" Type="http://schemas.openxmlformats.org/officeDocument/2006/relationships/hyperlink" Id="rId565"/>
    <Relationship TargetMode="External" Target="https://www.legis.iowa.gov/docs/iac/rule/567.43.11.pdf" Type="http://schemas.openxmlformats.org/officeDocument/2006/relationships/hyperlink" Id="rId566"/>
    <Relationship TargetMode="External" Target="https://www.legis.iowa.gov/docs/iac/rule/567.43.11.pdf" Type="http://schemas.openxmlformats.org/officeDocument/2006/relationships/hyperlink" Id="rId567"/>
    <Relationship TargetMode="External" Target="https://www.legis.iowa.gov/docs/iac/rule/567.43.11.pdf" Type="http://schemas.openxmlformats.org/officeDocument/2006/relationships/hyperlink" Id="rId568"/>
    <Relationship TargetMode="External" Target="https://www.legis.iowa.gov/docs/iac/rule/567.43.11.pdf" Type="http://schemas.openxmlformats.org/officeDocument/2006/relationships/hyperlink" Id="rId569"/>
    <Relationship TargetMode="External" Target="https://www.legis.iowa.gov/docs/iac/rule/567.43.11.pdf" Type="http://schemas.openxmlformats.org/officeDocument/2006/relationships/hyperlink" Id="rId570"/>
    <Relationship TargetMode="External" Target="https://www.legis.iowa.gov/docs/iac/rule/567.43.11.pdf" Type="http://schemas.openxmlformats.org/officeDocument/2006/relationships/hyperlink" Id="rId571"/>
    <Relationship TargetMode="External" Target="https://www.legis.iowa.gov/docs/iac/rule/567.43.11.pdf" Type="http://schemas.openxmlformats.org/officeDocument/2006/relationships/hyperlink" Id="rId572"/>
    <Relationship TargetMode="External" Target="https://www.legis.iowa.gov/docs/iac/rule/567.43.11.pdf" Type="http://schemas.openxmlformats.org/officeDocument/2006/relationships/hyperlink" Id="rId573"/>
    <Relationship TargetMode="External" Target="https://www.legis.iowa.gov/docs/iac/rule/567.43.11.pdf" Type="http://schemas.openxmlformats.org/officeDocument/2006/relationships/hyperlink" Id="rId574"/>
    <Relationship TargetMode="External" Target="https://www.legis.iowa.gov/docs/iac/rule/567.43.11.pdf" Type="http://schemas.openxmlformats.org/officeDocument/2006/relationships/hyperlink" Id="rId575"/>
    <Relationship TargetMode="External" Target="https://www.legis.iowa.gov/docs/iac/rule/567.43.11.pdf" Type="http://schemas.openxmlformats.org/officeDocument/2006/relationships/hyperlink" Id="rId576"/>
    <Relationship TargetMode="External" Target="https://www.legis.iowa.gov/docs/iac/rule/567.43.11.pdf" Type="http://schemas.openxmlformats.org/officeDocument/2006/relationships/hyperlink" Id="rId577"/>
    <Relationship TargetMode="External" Target="https://www.legis.iowa.gov/docs/iac/rule/567.43.11.pdf" Type="http://schemas.openxmlformats.org/officeDocument/2006/relationships/hyperlink" Id="rId578"/>
    <Relationship TargetMode="External" Target="https://www.legis.iowa.gov/docs/iac/rule/567.43.11.pdf" Type="http://schemas.openxmlformats.org/officeDocument/2006/relationships/hyperlink" Id="rId579"/>
    <Relationship TargetMode="External" Target="https://www.legis.iowa.gov/docs/iac/rule/567.43.11.pdf" Type="http://schemas.openxmlformats.org/officeDocument/2006/relationships/hyperlink" Id="rId580"/>
    <Relationship TargetMode="External" Target="https://www.legis.iowa.gov/docs/iac/rule/567.43.11.pdf" Type="http://schemas.openxmlformats.org/officeDocument/2006/relationships/hyperlink" Id="rId581"/>
    <Relationship TargetMode="External" Target="https://www.legis.iowa.gov/docs/iac/rule/567.43.11.pdf" Type="http://schemas.openxmlformats.org/officeDocument/2006/relationships/hyperlink" Id="rId582"/>
    <Relationship TargetMode="External" Target="https://www.legis.iowa.gov/docs/iac/rule/567.43.11.pdf" Type="http://schemas.openxmlformats.org/officeDocument/2006/relationships/hyperlink" Id="rId583"/>
    <Relationship TargetMode="External" Target="https://www.legis.iowa.gov/docs/iac/rule/567.43.11.pdf" Type="http://schemas.openxmlformats.org/officeDocument/2006/relationships/hyperlink" Id="rId584"/>
    <Relationship TargetMode="External" Target="https://www.legis.iowa.gov/docs/iac/rule/567.43.11.pdf" Type="http://schemas.openxmlformats.org/officeDocument/2006/relationships/hyperlink" Id="rId585"/>
    <Relationship TargetMode="External" Target="https://www.legis.iowa.gov/docs/iac/rule/567.43.11.pdf" Type="http://schemas.openxmlformats.org/officeDocument/2006/relationships/hyperlink" Id="rId586"/>
    <Relationship TargetMode="External" Target="https://www.legis.iowa.gov/docs/iac/rule/567.43.11.pdf" Type="http://schemas.openxmlformats.org/officeDocument/2006/relationships/hyperlink" Id="rId587"/>
    <Relationship TargetMode="External" Target="https://www.legis.iowa.gov/docs/iac/rule/567.43.11.pdf" Type="http://schemas.openxmlformats.org/officeDocument/2006/relationships/hyperlink" Id="rId588"/>
    <Relationship TargetMode="External" Target="https://www.legis.iowa.gov/docs/iac/rule/567.43.5.pdf" Type="http://schemas.openxmlformats.org/officeDocument/2006/relationships/hyperlink" Id="rId589"/>
    <Relationship TargetMode="External" Target="https://www.legis.iowa.gov/docs/iac/rule/567.43.10.pdf" Type="http://schemas.openxmlformats.org/officeDocument/2006/relationships/hyperlink" Id="rId590"/>
    <Relationship TargetMode="External" Target="https://www.legis.iowa.gov/docs/iac/rule/567.43.11.pdf" Type="http://schemas.openxmlformats.org/officeDocument/2006/relationships/hyperlink" Id="rId591"/>
    <Relationship TargetMode="External" Target="https://www.legis.iowa.gov/docs/iac/rule/567.43.9.pdf" Type="http://schemas.openxmlformats.org/officeDocument/2006/relationships/hyperlink" Id="rId592"/>
    <Relationship TargetMode="External" Target="https://www.legis.iowa.gov/docs/iac/rule/567.43.10.pdf" Type="http://schemas.openxmlformats.org/officeDocument/2006/relationships/hyperlink" Id="rId593"/>
    <Relationship TargetMode="External" Target="https://www.legis.iowa.gov/docs/iac/rule/567.43.11.pdf" Type="http://schemas.openxmlformats.org/officeDocument/2006/relationships/hyperlink" Id="rId594"/>
    <Relationship TargetMode="External" Target="https://www.legis.iowa.gov/docs/iac/rule/567.43.11.pdf" Type="http://schemas.openxmlformats.org/officeDocument/2006/relationships/hyperlink" Id="rId595"/>
    <Relationship TargetMode="External" Target="https://www.legis.iowa.gov/docs/iac/rule/567.43.11.pdf" Type="http://schemas.openxmlformats.org/officeDocument/2006/relationships/hyperlink" Id="rId596"/>
    <Relationship TargetMode="External" Target="https://www.legis.iowa.gov/docs/iac/rule/567.43.11.pdf" Type="http://schemas.openxmlformats.org/officeDocument/2006/relationships/hyperlink" Id="rId597"/>
    <Relationship TargetMode="External" Target="https://www.legis.iowa.gov/docs/iac/rule/567.43.11.pdf" Type="http://schemas.openxmlformats.org/officeDocument/2006/relationships/hyperlink" Id="rId598"/>
    <Relationship TargetMode="External" Target="https://www.legis.iowa.gov/docs/iac/rule/567.43.11.pdf" Type="http://schemas.openxmlformats.org/officeDocument/2006/relationships/hyperlink" Id="rId599"/>
    <Relationship TargetMode="External" Target="https://www.legis.iowa.gov/docs/iac/rule/567.43.11.pdf" Type="http://schemas.openxmlformats.org/officeDocument/2006/relationships/hyperlink" Id="rId600"/>
    <Relationship TargetMode="External" Target="https://www.legis.iowa.gov/docs/iac/rule/567.43.11.pdf" Type="http://schemas.openxmlformats.org/officeDocument/2006/relationships/hyperlink" Id="rId601"/>
    <Relationship TargetMode="External" Target="https://www.legis.iowa.gov/docs/iac/rule/567.43.11.pdf" Type="http://schemas.openxmlformats.org/officeDocument/2006/relationships/hyperlink" Id="rId602"/>
    <Relationship TargetMode="External" Target="https://www.legis.iowa.gov/docs/iac/rule/567.43.11.pdf" Type="http://schemas.openxmlformats.org/officeDocument/2006/relationships/hyperlink" Id="rId603"/>
    <Relationship TargetMode="External" Target="https://www.legis.iowa.gov/docs/iac/rule/567.43.11.pdf" Type="http://schemas.openxmlformats.org/officeDocument/2006/relationships/hyperlink" Id="rId604"/>
    <Relationship TargetMode="External" Target="https://www.legis.iowa.gov/docs/iac/rule/567.40.2.pdf" Type="http://schemas.openxmlformats.org/officeDocument/2006/relationships/hyperlink" Id="rId605"/>
    <Relationship TargetMode="External" Target="https://www.legis.iowa.gov/docs/iac/rule/567.43.11.pdf" Type="http://schemas.openxmlformats.org/officeDocument/2006/relationships/hyperlink" Id="rId606"/>
    <Relationship TargetMode="External" Target="https://www.legis.iowa.gov/docs/iac/rule/567.43.11.pdf" Type="http://schemas.openxmlformats.org/officeDocument/2006/relationships/hyperlink" Id="rId607"/>
    <Relationship TargetMode="External" Target="https://www.legis.iowa.gov/docs/iac/rule/567.43.11.pdf" Type="http://schemas.openxmlformats.org/officeDocument/2006/relationships/hyperlink" Id="rId608"/>
    <Relationship TargetMode="External" Target="https://www.legis.iowa.gov/docs/iac/rule/567.43.11.pdf" Type="http://schemas.openxmlformats.org/officeDocument/2006/relationships/hyperlink" Id="rId609"/>
    <Relationship TargetMode="External" Target="https://www.legis.iowa.gov/docs/iac/rule/567.43.11.pdf" Type="http://schemas.openxmlformats.org/officeDocument/2006/relationships/hyperlink" Id="rId610"/>
    <Relationship TargetMode="External" Target="https://www.legis.iowa.gov/docs/iac/rule/567.43.11.pdf" Type="http://schemas.openxmlformats.org/officeDocument/2006/relationships/hyperlink" Id="rId611"/>
    <Relationship TargetMode="External" Target="https://www.legis.iowa.gov/docs/iac/rule/567.43.11.pdf" Type="http://schemas.openxmlformats.org/officeDocument/2006/relationships/hyperlink" Id="rId612"/>
    <Relationship TargetMode="External" Target="https://www.legis.iowa.gov/docs/iac/rule/567.43.11.pdf" Type="http://schemas.openxmlformats.org/officeDocument/2006/relationships/hyperlink" Id="rId613"/>
    <Relationship TargetMode="External" Target="https://www.legis.iowa.gov/docs/iac/rule/567.43.11.pdf" Type="http://schemas.openxmlformats.org/officeDocument/2006/relationships/hyperlink" Id="rId614"/>
    <Relationship TargetMode="External" Target="https://www.legis.iowa.gov/docs/iac/rule/567.43.5.pdf" Type="http://schemas.openxmlformats.org/officeDocument/2006/relationships/hyperlink" Id="rId615"/>
    <Relationship TargetMode="External" Target="https://www.legis.iowa.gov/docs/iac/rule/567.43.11.pdf" Type="http://schemas.openxmlformats.org/officeDocument/2006/relationships/hyperlink" Id="rId616"/>
    <Relationship TargetMode="External" Target="https://www.legis.iowa.gov/docs/iac/rule/567.43.11.pdf" Type="http://schemas.openxmlformats.org/officeDocument/2006/relationships/hyperlink" Id="rId617"/>
    <Relationship TargetMode="External" Target="https://www.legis.iowa.gov/docs/iac/rule/567.43.11.pdf" Type="http://schemas.openxmlformats.org/officeDocument/2006/relationships/hyperlink" Id="rId618"/>
    <Relationship TargetMode="External" Target="https://www.legis.iowa.gov/docs/iac/rule/567.43.11.pdf" Type="http://schemas.openxmlformats.org/officeDocument/2006/relationships/hyperlink" Id="rId619"/>
    <Relationship TargetMode="External" Target="https://www.legis.iowa.gov/docs/iac/rule/567.43.11.pdf" Type="http://schemas.openxmlformats.org/officeDocument/2006/relationships/hyperlink" Id="rId620"/>
    <Relationship TargetMode="External" Target="https://www.legis.iowa.gov/docs/iac/rule/567.43.11.pdf" Type="http://schemas.openxmlformats.org/officeDocument/2006/relationships/hyperlink" Id="rId621"/>
    <Relationship TargetMode="External" Target="https://www.legis.iowa.gov/docs/iac/rule/567.43.11.pdf" Type="http://schemas.openxmlformats.org/officeDocument/2006/relationships/hyperlink" Id="rId622"/>
    <Relationship TargetMode="External" Target="https://www.legis.iowa.gov/docs/iac/rule/567.43.11.pdf" Type="http://schemas.openxmlformats.org/officeDocument/2006/relationships/hyperlink" Id="rId623"/>
    <Relationship TargetMode="External" Target="https://www.legis.iowa.gov/docs/iac/rule/567.43.11.pdf" Type="http://schemas.openxmlformats.org/officeDocument/2006/relationships/hyperlink" Id="rId624"/>
    <Relationship TargetMode="External" Target="https://www.legis.iowa.gov/docs/iac/rule/567.43.11.pdf" Type="http://schemas.openxmlformats.org/officeDocument/2006/relationships/hyperlink" Id="rId625"/>
    <Relationship TargetMode="External" Target="https://www.legis.iowa.gov/docs/iac/rule/567.43.11.pdf" Type="http://schemas.openxmlformats.org/officeDocument/2006/relationships/hyperlink" Id="rId626"/>
    <Relationship TargetMode="External" Target="https://www.legis.iowa.gov/docs/iac/rule/567.43.11.pdf" Type="http://schemas.openxmlformats.org/officeDocument/2006/relationships/hyperlink" Id="rId627"/>
    <Relationship TargetMode="External" Target="https://www.legis.iowa.gov/docs/iac/rule/567.43.11.pdf" Type="http://schemas.openxmlformats.org/officeDocument/2006/relationships/hyperlink" Id="rId628"/>
    <Relationship TargetMode="External" Target="https://www.legis.iowa.gov/docs/iac/rule/567.43.11.pdf" Type="http://schemas.openxmlformats.org/officeDocument/2006/relationships/hyperlink" Id="rId629"/>
    <Relationship TargetMode="External" Target="https://www.legis.iowa.gov/docs/iac/rule/567.43.11.pdf" Type="http://schemas.openxmlformats.org/officeDocument/2006/relationships/hyperlink" Id="rId630"/>
    <Relationship TargetMode="External" Target="https://www.legis.iowa.gov/docs/iac/rule/567.43.11.pdf" Type="http://schemas.openxmlformats.org/officeDocument/2006/relationships/hyperlink" Id="rId631"/>
    <Relationship TargetMode="External" Target="https://www.legis.iowa.gov/docs/iac/rule/567.43.11.pdf" Type="http://schemas.openxmlformats.org/officeDocument/2006/relationships/hyperlink" Id="rId632"/>
    <Relationship TargetMode="External" Target="https://www.legis.iowa.gov/docs/iac/rule/567.43.11.pdf" Type="http://schemas.openxmlformats.org/officeDocument/2006/relationships/hyperlink" Id="rId633"/>
    <Relationship TargetMode="External" Target="https://www.legis.iowa.gov/docs/iac/rule/567.43.11.pdf" Type="http://schemas.openxmlformats.org/officeDocument/2006/relationships/hyperlink" Id="rId634"/>
    <Relationship TargetMode="External" Target="https://www.legis.iowa.gov/docs/iac/rule/567.43.11.pdf" Type="http://schemas.openxmlformats.org/officeDocument/2006/relationships/hyperlink" Id="rId635"/>
    <Relationship TargetMode="External" Target="https://www.legis.iowa.gov/docs/iac/rule/567.43.11.pdf" Type="http://schemas.openxmlformats.org/officeDocument/2006/relationships/hyperlink" Id="rId636"/>
    <Relationship TargetMode="External" Target="https://www.legis.iowa.gov/docs/iac/rule/567.43.11.pdf" Type="http://schemas.openxmlformats.org/officeDocument/2006/relationships/hyperlink" Id="rId637"/>
    <Relationship TargetMode="External" Target="https://www.legis.iowa.gov/docs/iac/rule/567.43.11.pdf" Type="http://schemas.openxmlformats.org/officeDocument/2006/relationships/hyperlink" Id="rId638"/>
    <Relationship TargetMode="External" Target="https://www.legis.iowa.gov/docs/iac/rule/567.43.11.pdf" Type="http://schemas.openxmlformats.org/officeDocument/2006/relationships/hyperlink" Id="rId639"/>
    <Relationship TargetMode="External" Target="https://www.legis.iowa.gov/docs/iac/rule/567.43.11.pdf" Type="http://schemas.openxmlformats.org/officeDocument/2006/relationships/hyperlink" Id="rId640"/>
    <Relationship TargetMode="External" Target="https://www.legis.iowa.gov/docs/iac/rule/567.43.11.pdf" Type="http://schemas.openxmlformats.org/officeDocument/2006/relationships/hyperlink" Id="rId641"/>
    <Relationship TargetMode="External" Target="https://www.legis.iowa.gov/docs/iac/rule/567.43.11.pdf" Type="http://schemas.openxmlformats.org/officeDocument/2006/relationships/hyperlink" Id="rId642"/>
    <Relationship TargetMode="External" Target="https://www.legis.iowa.gov/docs/iac/rule/567.43.11.pdf" Type="http://schemas.openxmlformats.org/officeDocument/2006/relationships/hyperlink" Id="rId643"/>
    <Relationship TargetMode="External" Target="https://www.legis.iowa.gov/docs/iac/rule/567.43.11.pdf" Type="http://schemas.openxmlformats.org/officeDocument/2006/relationships/hyperlink" Id="rId644"/>
    <Relationship TargetMode="External" Target="https://www.legis.iowa.gov/docs/iac/rule/567.43.11.pdf" Type="http://schemas.openxmlformats.org/officeDocument/2006/relationships/hyperlink" Id="rId645"/>
    <Relationship TargetMode="External" Target="https://www.legis.iowa.gov/docs/iac/rule/567.43.11.pdf" Type="http://schemas.openxmlformats.org/officeDocument/2006/relationships/hyperlink" Id="rId646"/>
    <Relationship TargetMode="External" Target="https://www.legis.iowa.gov/docs/iac/rule/567.43.11.pdf" Type="http://schemas.openxmlformats.org/officeDocument/2006/relationships/hyperlink" Id="rId647"/>
    <Relationship TargetMode="External" Target="https://www.legis.iowa.gov/docs/iac/rule/567.43.11.pdf" Type="http://schemas.openxmlformats.org/officeDocument/2006/relationships/hyperlink" Id="rId648"/>
    <Relationship TargetMode="External" Target="https://www.legis.iowa.gov/docs/iac/rule/567.43.11.pdf" Type="http://schemas.openxmlformats.org/officeDocument/2006/relationships/hyperlink" Id="rId649"/>
    <Relationship TargetMode="External" Target="https://www.legis.iowa.gov/docs/iac/rule/567.43.11.pdf" Type="http://schemas.openxmlformats.org/officeDocument/2006/relationships/hyperlink" Id="rId650"/>
    <Relationship TargetMode="External" Target="https://www.legis.iowa.gov/docs/iac/rule/567.43.11.pdf" Type="http://schemas.openxmlformats.org/officeDocument/2006/relationships/hyperlink" Id="rId651"/>
    <Relationship TargetMode="External" Target="https://www.legis.iowa.gov/docs/iac/rule/567.43.11.pdf" Type="http://schemas.openxmlformats.org/officeDocument/2006/relationships/hyperlink" Id="rId652"/>
    <Relationship TargetMode="External" Target="https://www.legis.iowa.gov/docs/iac/rule/567.43.11.pdf" Type="http://schemas.openxmlformats.org/officeDocument/2006/relationships/hyperlink" Id="rId653"/>
    <Relationship TargetMode="External" Target="https://www.legis.iowa.gov/docs/iac/rule/567.43.11.pdf" Type="http://schemas.openxmlformats.org/officeDocument/2006/relationships/hyperlink" Id="rId654"/>
    <Relationship TargetMode="External" Target="https://www.legis.iowa.gov/docs/iac/rule/567.43.11.pdf" Type="http://schemas.openxmlformats.org/officeDocument/2006/relationships/hyperlink" Id="rId655"/>
    <Relationship TargetMode="External" Target="https://www.legis.iowa.gov/docs/iac/rule/567.43.11.pdf" Type="http://schemas.openxmlformats.org/officeDocument/2006/relationships/hyperlink" Id="rId656"/>
    <Relationship TargetMode="External" Target="https://www.legis.iowa.gov/docs/iac/rule/567.43.11.pdf" Type="http://schemas.openxmlformats.org/officeDocument/2006/relationships/hyperlink" Id="rId657"/>
    <Relationship TargetMode="External" Target="https://www.legis.iowa.gov/docs/iac/rule/567.43.5.pdf" Type="http://schemas.openxmlformats.org/officeDocument/2006/relationships/hyperlink" Id="rId658"/>
    <Relationship TargetMode="External" Target="https://www.legis.iowa.gov/docs/iac/rule/567.43.9.pdf" Type="http://schemas.openxmlformats.org/officeDocument/2006/relationships/hyperlink" Id="rId659"/>
    <Relationship TargetMode="External" Target="https://www.legis.iowa.gov/docs/iac/rule/567.43.10.pdf" Type="http://schemas.openxmlformats.org/officeDocument/2006/relationships/hyperlink" Id="rId660"/>
    <Relationship TargetMode="External" Target="https://www.legis.iowa.gov/docs/iac/rule/567.43.5.pdf" Type="http://schemas.openxmlformats.org/officeDocument/2006/relationships/hyperlink" Id="rId661"/>
    <Relationship TargetMode="External" Target="https://www.legis.iowa.gov/docs/iac/rule/567.43.9.pdf" Type="http://schemas.openxmlformats.org/officeDocument/2006/relationships/hyperlink" Id="rId662"/>
    <Relationship TargetMode="External" Target="https://www.legis.iowa.gov/docs/iac/rule/567.43.10.pdf" Type="http://schemas.openxmlformats.org/officeDocument/2006/relationships/hyperlink" Id="rId663"/>
    <Relationship TargetMode="External" Target="https://www.legis.iowa.gov/docs/iac/rule/567.43.11.pdf" Type="http://schemas.openxmlformats.org/officeDocument/2006/relationships/hyperlink" Id="rId664"/>
    <Relationship TargetMode="External" Target="https://www.legis.iowa.gov/docs/ico/chapter/455B.171-188.pdf" Type="http://schemas.openxmlformats.org/officeDocument/2006/relationships/hyperlink" Id="rId665"/>
    <Relationship TargetMode="External" Target="https://www.legis.iowa.gov/docs/ico/chapter/455B.190-192.pdf" Type="http://schemas.openxmlformats.org/officeDocument/2006/relationships/hyperlink" Id="rId6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