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567—30.1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sets forth requirements to pay fees for specified activities. The department shall not initiate review and processing of an application submittal from a minor source until all required fees have been paid to the department. Fees are nonrefundable, except as provided in </w:t>
      </w:r>
      <w:hyperlink r:id="rId5">
        <w:r>
          <w:rPr>
            <w:rStyle w:val="Hyperlink"/>
            <w:rFonts w:ascii="Times New Roman" w:hAnsi="Times New Roman"/>
            <w:b w:val="false"/>
            <w:i w:val="false"/>
            <w:color w:val="000000"/>
            <w:sz w:val="22"/>
          </w:rPr>
          <w:t>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chapter,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submittal” </w:t>
      </w:r>
      <w:r>
        <w:rPr>
          <w:rFonts w:ascii="Times New Roman" w:hAnsi="Times New Roman"/>
          <w:b w:val="false"/>
          <w:i w:val="false"/>
          <w:color w:val="000000"/>
          <w:sz w:val="22"/>
        </w:rPr>
        <w:t xml:space="preserve">means one or more applications required under </w:t>
      </w:r>
      <w:hyperlink r:id="rId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and submitted at the same time or required to be submitted under </w:t>
      </w:r>
      <w:hyperlink r:id="rId7">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8">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9">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Duty to correct errors. </w:t>
      </w:r>
      <w:r>
        <w:rPr>
          <w:rFonts w:ascii="Times New Roman" w:hAnsi="Times New Roman"/>
          <w:b w:val="false"/>
          <w:i w:val="false"/>
          <w:color w:val="000000"/>
          <w:sz w:val="22"/>
        </w:rPr>
        <w:t>If an owner, an operator, or the department finds an error in a fee assessed or collected under this chapter, the owner or operator shall submit to the department revised forms making the necessary corrections to the fee and shall submit the correct fee. Corrected forms shall be submitted as soon as possible after the error is discovered or upon notification by the department. If the error correction results in a determination by the department that a fee was overpaid or that a duplicate fee was submitted, the department will return the overpaid balance of the fee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Exemption to fee requirements for administrative amendments. </w:t>
      </w:r>
      <w:r>
        <w:rPr>
          <w:rFonts w:ascii="Times New Roman" w:hAnsi="Times New Roman"/>
          <w:b w:val="false"/>
          <w:i w:val="false"/>
          <w:color w:val="000000"/>
          <w:sz w:val="22"/>
        </w:rPr>
        <w:t>A fee shall not be required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Corrections of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Corrections of word processing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Changes in the name, address, or telephone number of any person identified in a permit, or similar minor administrative changes at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ownership or operational control of a source where the department determines that no other change in the permit is necessary, provided that a written agreement that contains a specific date for transfer of permit responsibility and coverage, and liability between the current permittee and the new permittee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w:t>
      </w:r>
      <w:r>
        <w:rPr>
          <w:rFonts w:ascii="Times New Roman" w:hAnsi="Times New Roman"/>
          <w:b w:val="false"/>
          <w:i w:val="false"/>
          <w:color w:val="000000"/>
          <w:sz w:val="22"/>
        </w:rPr>
        <w:t> </w:t>
      </w:r>
      <w:r>
        <w:rPr>
          <w:rFonts w:ascii="Times New Roman" w:hAnsi="Times New Roman"/>
          <w:b w:val="false"/>
          <w:i/>
          <w:color w:val="000000"/>
          <w:sz w:val="22"/>
        </w:rPr>
        <w:t xml:space="preserve">Refund of application fee minus administrative cost for permit applications at minor sources. </w:t>
      </w:r>
      <w:r>
        <w:rPr>
          <w:rFonts w:ascii="Times New Roman" w:hAnsi="Times New Roman"/>
          <w:b w:val="false"/>
          <w:i w:val="false"/>
          <w:color w:val="000000"/>
          <w:sz w:val="22"/>
        </w:rPr>
        <w:t>The department may refund the application fee minus administrative costs if the owner or operator requests to withdraw the application prior to commencement of the technical review of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567—30.2</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new source review applications. </w:t>
      </w:r>
      <w:r>
        <w:rPr>
          <w:rFonts w:ascii="Times New Roman" w:hAnsi="Times New Roman"/>
          <w:b w:val="false"/>
          <w:i w:val="false"/>
          <w:color w:val="000000"/>
          <w:sz w:val="22"/>
        </w:rPr>
        <w:t xml:space="preserve">Each owner or operator required to provide an application submittal, including air quality modeling as applicable; registration; permit by rule; and template under </w:t>
      </w:r>
      <w:hyperlink r:id="rId11">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3">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4">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hyperlink r:id="rId15">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w:t>
      </w:r>
      <w:hyperlink r:id="rId16">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shall pay fees as specified in the fee schedule approved by the commission and posted on the department’s website. Fees shall be submitted with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color w:val="000000"/>
          <w:sz w:val="22"/>
        </w:rPr>
        <w:t xml:space="preserve">Payment of regulatory applicability determination fee. </w:t>
      </w:r>
      <w:r>
        <w:rPr>
          <w:rFonts w:ascii="Times New Roman" w:hAnsi="Times New Roman"/>
          <w:b w:val="false"/>
          <w:i w:val="false"/>
          <w:color w:val="000000"/>
          <w:sz w:val="22"/>
        </w:rPr>
        <w:t xml:space="preserve">Each owner or operator requesting a regulatory applicability determination, as specified in </w:t>
      </w:r>
      <w:hyperlink r:id="rId18">
        <w:r>
          <w:rPr>
            <w:rStyle w:val="Hyperlink"/>
            <w:rFonts w:ascii="Times New Roman" w:hAnsi="Times New Roman"/>
            <w:b w:val="false"/>
            <w:i w:val="false"/>
            <w:color w:val="000000"/>
            <w:sz w:val="22"/>
          </w:rPr>
          <w:t>567—paragraph 22.1(3)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pay fees as specified in the fee schedule approved by the commission and posted on the department’s website. Fees shall be submitted with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567—30.3</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asbestos demolition or renovation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established. </w:t>
      </w:r>
      <w:r>
        <w:rPr>
          <w:rFonts w:ascii="Times New Roman" w:hAnsi="Times New Roman"/>
          <w:b w:val="false"/>
          <w:i w:val="false"/>
          <w:color w:val="000000"/>
          <w:sz w:val="22"/>
        </w:rPr>
        <w:t xml:space="preserve">The owner or operator of a site subject to the national emission standard for hazardous air pollutants (NESHAP) for asbestos notifications, adopted by reference in </w:t>
      </w:r>
      <w:hyperlink r:id="rId19">
        <w:r>
          <w:rPr>
            <w:rStyle w:val="Hyperlink"/>
            <w:rFonts w:ascii="Times New Roman" w:hAnsi="Times New Roman"/>
            <w:b w:val="false"/>
            <w:i w:val="false"/>
            <w:color w:val="000000"/>
            <w:sz w:val="22"/>
          </w:rPr>
          <w:t>567—paragraph 23.1(3)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submit a fee with each required original or each annual notification for each demolition or renovation, including abatement. Fees shall be paid as specified in the fee schedule approved by the commission and posted on the department’s website. Fees shall be submitted with the notification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Fee not required. </w:t>
      </w:r>
      <w:r>
        <w:rPr>
          <w:rFonts w:ascii="Times New Roman" w:hAnsi="Times New Roman"/>
          <w:b w:val="false"/>
          <w:i w:val="false"/>
          <w:color w:val="000000"/>
          <w:sz w:val="22"/>
        </w:rPr>
        <w:t>A fee shall not be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Notifications when the total amount of asbestos to be removed or disturbed is less than 260 linear feet, less than 160 square feet, and less than 35 cubic feet of facility components and is below the reporting thresholds as defined in 40 CFR 61.145 as amended on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Notifications of training fires as required in </w:t>
      </w:r>
      <w:hyperlink r:id="rId20">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Controlled burning of demolished buildings as required in </w:t>
      </w:r>
      <w:hyperlink r:id="rId21">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Revised, canceled, and courtesy notifications. A revision to a previously submitted courtesy notification due to applicability of the notification requirements in </w:t>
      </w:r>
      <w:hyperlink r:id="rId22">
        <w:r>
          <w:rPr>
            <w:rStyle w:val="Hyperlink"/>
            <w:rFonts w:ascii="Times New Roman" w:hAnsi="Times New Roman"/>
            <w:b w:val="false"/>
            <w:i w:val="false"/>
            <w:color w:val="000000"/>
            <w:sz w:val="22"/>
          </w:rPr>
          <w:t>567—paragraph 23.1(3)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considered an original notification and is subject to the fee requirements of </w:t>
      </w:r>
      <w:hyperlink r:id="rId23">
        <w:r>
          <w:rPr>
            <w:rStyle w:val="Hyperlink"/>
            <w:rFonts w:ascii="Times New Roman" w:hAnsi="Times New Roman"/>
            <w:b w:val="false"/>
            <w:i w:val="false"/>
            <w:color w:val="000000"/>
            <w:sz w:val="22"/>
          </w:rPr>
          <w:t>30.3(1)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567—30.4</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Title V operating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Payment of Title V application fee. </w:t>
      </w:r>
      <w:r>
        <w:rPr>
          <w:rFonts w:ascii="Times New Roman" w:hAnsi="Times New Roman"/>
          <w:b w:val="false"/>
          <w:i w:val="false"/>
          <w:color w:val="000000"/>
          <w:sz w:val="22"/>
        </w:rPr>
        <w:t>Each owner or operator required to apply for a Title V permit, or a renewal of a Title V permit, shall pay fees as specified in the fee schedule approved by the commission and posted on the department’s website. Fees shall be submitted with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Payment of Title V annual emissions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required. </w:t>
      </w:r>
      <w:r>
        <w:rPr>
          <w:rFonts w:ascii="Times New Roman" w:hAnsi="Times New Roman"/>
          <w:b w:val="false"/>
          <w:i w:val="false"/>
          <w:color w:val="000000"/>
          <w:sz w:val="22"/>
        </w:rPr>
        <w:t>Any person required to obtain a Title V permit shall pay an annual fee based on the first 4,000 tons of each regulated air pollutant and shall be paid on or before July 1 of each year. The Title V emissions fee shall be based on actual emissions required to be included in the Title V operating permit application and the annual emissions statement for the previous calendar year. The commission shall not set the fee higher than $70 per ton without adopting the change pursuant to formal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 and documentation due dates. </w:t>
      </w:r>
      <w:r>
        <w:rPr>
          <w:rFonts w:ascii="Times New Roman" w:hAnsi="Times New Roman"/>
          <w:b w:val="false"/>
          <w:i w:val="false"/>
          <w:color w:val="000000"/>
          <w:sz w:val="22"/>
        </w:rPr>
        <w:t>The fee shall be submitted annually by July 1 with forms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in Iowa. </w:t>
      </w:r>
      <w:r>
        <w:rPr>
          <w:rFonts w:ascii="Times New Roman" w:hAnsi="Times New Roman"/>
          <w:b w:val="false"/>
          <w:i w:val="false"/>
          <w:color w:val="000000"/>
          <w:sz w:val="22"/>
        </w:rPr>
        <w:t>The fee for a portable emissions unit or stationary source that operates both in Iowa and out of state shall be calculated only for emissions from the source while it is operating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V exempted stationary sources. </w:t>
      </w:r>
      <w:r>
        <w:rPr>
          <w:rFonts w:ascii="Times New Roman" w:hAnsi="Times New Roman"/>
          <w:b w:val="false"/>
          <w:i w:val="false"/>
          <w:color w:val="000000"/>
          <w:sz w:val="22"/>
        </w:rPr>
        <w:t xml:space="preserve">No fee shall be required for emissions until the year in which sources exempted under </w:t>
      </w:r>
      <w:hyperlink r:id="rId24">
        <w:r>
          <w:rPr>
            <w:rStyle w:val="Hyperlink"/>
            <w:rFonts w:ascii="Times New Roman" w:hAnsi="Times New Roman"/>
            <w:b w:val="false"/>
            <w:i w:val="false"/>
            <w:color w:val="000000"/>
            <w:sz w:val="22"/>
          </w:rPr>
          <w:t>567—subrules 24.102(1)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are required to apply for a Title V permit. Fees shall be paid for the emission year preceding the year in which the application is due and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w:t>
      </w:r>
      <w:r>
        <w:rPr>
          <w:rFonts w:ascii="Times New Roman" w:hAnsi="Times New Roman"/>
          <w:b w:val="false"/>
          <w:i w:val="false"/>
          <w:color w:val="000000"/>
          <w:sz w:val="22"/>
        </w:rPr>
        <w:t xml:space="preserve">No fee shall be required for insignificant activities as defined in </w:t>
      </w:r>
      <w:hyperlink r:id="rId26">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567—30.5</w:t>
      </w:r>
      <w:r>
        <w:rPr>
          <w:rFonts w:ascii="Times New Roman" w:hAnsi="Times New Roman"/>
          <w:b/>
          <w:i w:val="false"/>
          <w:color w:val="000000"/>
          <w:sz w:val="22"/>
        </w:rPr>
        <w:t xml:space="preserve">(455B) </w:t>
      </w:r>
      <w:r>
        <w:rPr>
          <w:rFonts w:ascii="Times New Roman" w:hAnsi="Times New Roman"/>
          <w:b/>
          <w:i w:val="false"/>
          <w:color w:val="000000"/>
          <w:sz w:val="22"/>
        </w:rPr>
        <w:t xml:space="preserve">Fee stakeholder meetings. </w:t>
      </w:r>
      <w:r>
        <w:rPr>
          <w:rFonts w:ascii="Times New Roman" w:hAnsi="Times New Roman"/>
          <w:b w:val="false"/>
          <w:i w:val="false"/>
          <w:color w:val="000000"/>
          <w:sz w:val="22"/>
        </w:rPr>
        <w:t xml:space="preserve">Prior to each March commission meeting, the director shall convene fee stakeholder meetings as specified in Iowa Code sections </w:t>
      </w:r>
      <w:hyperlink r:id="rId27">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 xml:space="preserve"> for the purposes of reviewing a draft budget and providing recommendations to the department regarding establishing or adjusting fees. Any stakeholder may attend the fee stakeholder meetings. The meetings will be open to the public. The date of each meeting shall be posted on the department’s website 14 days prior to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567—30.6</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Process to establish or adjust fees and notification of fee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color w:val="000000"/>
          <w:sz w:val="22"/>
        </w:rPr>
        <w:t xml:space="preserve">Setting the fees. </w:t>
      </w:r>
      <w:r>
        <w:rPr>
          <w:rFonts w:ascii="Times New Roman" w:hAnsi="Times New Roman"/>
          <w:b w:val="false"/>
          <w:i w:val="false"/>
          <w:color w:val="000000"/>
          <w:sz w:val="22"/>
        </w:rPr>
        <w:t xml:space="preserve">The department shall submit the proposed budget and fees for major and minor source construction permit programs, the Title V operating permit program, and the asbestos NESHAP program for the following fiscal year to the commission no later than the March commission meeting of each year, at which time the proposal will be available for public comment until such time as the commission acts on the proposal or until the May commission meeting, whichever occurs first. The department’s calculated estimate for each fee shall not produce total revenues in excess of limits specified in Iowa Code sections </w:t>
      </w:r>
      <w:hyperlink r:id="rId29">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 xml:space="preserve"> during any fiscal year. If an established fee amount must be adjusted, the commission shall set the fees no later than the May commission meeting of each year.</w:t>
      </w:r>
    </w:p>
    <w:p>
      <w:pPr>
        <w:spacing w:before="0" w:after="0"/>
        <w:ind w:left="120"/>
        <w:jc w:val="both"/>
      </w:pPr>
      <w:r>
        <w:rPr>
          <w:rFonts w:ascii="Times New Roman" w:hAnsi="Times New Roman"/>
          <w:b w:val="false"/>
          <w:i w:val="false"/>
          <w:color w:val="000000"/>
          <w:sz w:val="22"/>
        </w:rPr>
        <w:t>Adjusted or established fees shall become effective on July 1. A fee not adjusted by the commission shall remain in effect as previously established until the fee is adjusted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color w:val="000000"/>
          <w:sz w:val="22"/>
        </w:rPr>
        <w:t xml:space="preserve">Fee types and dollar caps on fee types. </w:t>
      </w:r>
      <w:r>
        <w:rPr>
          <w:rFonts w:ascii="Times New Roman" w:hAnsi="Times New Roman"/>
          <w:b w:val="false"/>
          <w:i w:val="false"/>
          <w:color w:val="000000"/>
          <w:sz w:val="22"/>
        </w:rPr>
        <w:t>The commission may set fees for the fee types and activities specified in this subrule and shall not set a fee in the fee schedule higher than the levels specified in this subrule without adopting the change pursuant to formal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source review applications from major sources,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each application for a construction permit: $115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each application for a prevention of significant deterioration permit: $115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of each plantwide applicability limit request, renewal, or reopening: $115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each regulatory applicability determination: $115 per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Air quality modeling review: $90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source review applications from minor sources,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construction permit: $385;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registration permit: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permit by rule: $100;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permit template: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Asbestos notifications: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of each initial or renewal Title V operating permit application: $100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Title V annual emissions: $70 per ton.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fee schedule. </w:t>
      </w:r>
      <w:r>
        <w:rPr>
          <w:rFonts w:ascii="Times New Roman" w:hAnsi="Times New Roman"/>
          <w:b w:val="false"/>
          <w:i w:val="false"/>
          <w:color w:val="000000"/>
          <w:sz w:val="22"/>
        </w:rPr>
        <w:t>Following the initial setting of any fee by the commission, the department shall make available to the public a fee schedule at least 30 days prior to its effective date. If any established fee amount is adjusted, the department shall make available to the public a revised fee schedule at least 30 days prior to its effective date. The fee schedule shall be posted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7959C</w:t>
      </w:r>
      <w:r>
        <w:rPr>
          <w:rFonts w:ascii="Times New Roman" w:hAnsi="Times New Roman"/>
          <w:b w:val="false"/>
          <w:i w:val="false"/>
          <w:color w:val="000000"/>
          <w:sz w:val="21"/>
        </w:rPr>
        <w:t xml:space="preserve"> (Notice ARC 7219C,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30.1.pdf" Type="http://schemas.openxmlformats.org/officeDocument/2006/relationships/hyperlink" Id="rId5"/>
    <Relationship TargetMode="External" Target="https://www.legis.iowa.gov/docs/iac/rule/567.22.1.pdf" Type="http://schemas.openxmlformats.org/officeDocument/2006/relationships/hyperlink" Id="rId6"/>
    <Relationship TargetMode="External" Target="https://www.legis.iowa.gov/docs/iac/rule/567.22.4.pdf" Type="http://schemas.openxmlformats.org/officeDocument/2006/relationships/hyperlink" Id="rId7"/>
    <Relationship TargetMode="External" Target="https://www.legis.iowa.gov/docs/iac/rule/567.22.5.pdf" Type="http://schemas.openxmlformats.org/officeDocument/2006/relationships/hyperlink" Id="rId8"/>
    <Relationship TargetMode="External" Target="https://www.legis.iowa.gov/docs/iac/chapter/567.31.pdf" Type="http://schemas.openxmlformats.org/officeDocument/2006/relationships/hyperlink" Id="rId9"/>
    <Relationship TargetMode="External" Target="https://www.legis.iowa.gov/docs/iac/chapter/567.33.pdf" Type="http://schemas.openxmlformats.org/officeDocument/2006/relationships/hyperlink" Id="rId10"/>
    <Relationship TargetMode="External" Target="https://www.legis.iowa.gov/docs/iac/rule/567.22.1.pdf" Type="http://schemas.openxmlformats.org/officeDocument/2006/relationships/hyperlink" Id="rId11"/>
    <Relationship TargetMode="External" Target="https://www.legis.iowa.gov/docs/iac/rule/567.22.4.pdf" Type="http://schemas.openxmlformats.org/officeDocument/2006/relationships/hyperlink" Id="rId12"/>
    <Relationship TargetMode="External" Target="https://www.legis.iowa.gov/docs/iac/rule/567.22.5.pdf" Type="http://schemas.openxmlformats.org/officeDocument/2006/relationships/hyperlink" Id="rId13"/>
    <Relationship TargetMode="External" Target="https://www.legis.iowa.gov/docs/iac/rule/567.22.8.pdf" Type="http://schemas.openxmlformats.org/officeDocument/2006/relationships/hyperlink" Id="rId14"/>
    <Relationship TargetMode="External" Target="https://www.legis.iowa.gov/docs/iac/rule/567.22.10.pdf" Type="http://schemas.openxmlformats.org/officeDocument/2006/relationships/hyperlink" Id="rId15"/>
    <Relationship TargetMode="External" Target="https://www.legis.iowa.gov/docs/iac/chapter/567.31.pdf" Type="http://schemas.openxmlformats.org/officeDocument/2006/relationships/hyperlink" Id="rId16"/>
    <Relationship TargetMode="External" Target="https://www.legis.iowa.gov/docs/iac/chapter/567.33.pdf" Type="http://schemas.openxmlformats.org/officeDocument/2006/relationships/hyperlink" Id="rId17"/>
    <Relationship TargetMode="External" Target="https://www.legis.iowa.gov/docs/iac/rule/567.22.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2.pdf" Type="http://schemas.openxmlformats.org/officeDocument/2006/relationships/hyperlink" Id="rId20"/>
    <Relationship TargetMode="External" Target="https://www.legis.iowa.gov/docs/iac/rule/567.23.2.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30.3.pdf" Type="http://schemas.openxmlformats.org/officeDocument/2006/relationships/hyperlink" Id="rId23"/>
    <Relationship TargetMode="External" Target="https://www.legis.iowa.gov/docs/iac/rule/567.24.102.pdf" Type="http://schemas.openxmlformats.org/officeDocument/2006/relationships/hyperlink" Id="rId24"/>
    <Relationship TargetMode="External" Target="https://www.legis.iowa.gov/docs/iac/rule/567.24.102.pdf" Type="http://schemas.openxmlformats.org/officeDocument/2006/relationships/hyperlink" Id="rId25"/>
    <Relationship TargetMode="External" Target="https://www.legis.iowa.gov/docs/iac/rule/567.24.103.pdf" Type="http://schemas.openxmlformats.org/officeDocument/2006/relationships/hyperlink" Id="rId26"/>
    <Relationship TargetMode="External" Target="https://www.legis.iowa.gov/docs/ico/chapter/455B.133B.pdf" Type="http://schemas.openxmlformats.org/officeDocument/2006/relationships/hyperlink" Id="rId27"/>
    <Relationship TargetMode="External" Target="https://www.legis.iowa.gov/docs/ico/chapter/455B.133C.pdf" Type="http://schemas.openxmlformats.org/officeDocument/2006/relationships/hyperlink" Id="rId28"/>
    <Relationship TargetMode="External" Target="https://www.legis.iowa.gov/docs/ico/chapter/455B.133B.pdf" Type="http://schemas.openxmlformats.org/officeDocument/2006/relationships/hyperlink" Id="rId29"/>
    <Relationship TargetMode="External" Target="https://www.legis.iowa.gov/docs/ico/chapter/455B.133C.pdf" Type="http://schemas.openxmlformats.org/officeDocument/2006/relationships/hyperlink" Id="rId30"/>
    <Relationship TargetMode="External" Target="https://www.legis.iowa.gov/docs/ico/chapter/455B.133.pdf" Type="http://schemas.openxmlformats.org/officeDocument/2006/relationships/hyperlink" Id="rId31"/>
    <Relationship TargetMode="External" Target="https://www.legis.iowa.gov/docs/ico/chapter/455B.133B.pdf" Type="http://schemas.openxmlformats.org/officeDocument/2006/relationships/hyperlink" Id="rId32"/>
    <Relationship TargetMode="External" Target="https://www.legis.iowa.gov/docs/ico/chapter/455B.133C.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