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PETITIONS FOR RULE 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city finance committee adopts the petitions for rule making segment of the Uniform Administrative Rules which is printed in the first volume of the Iowa Administrative Code, with the following amendments.</w:t>
      </w:r>
    </w:p>
    <w:p>
      <w:pPr>
        <w:spacing w:before="0" w:after="0"/>
        <w:ind w:left="120"/>
        <w:jc w:val="both"/>
      </w:pPr>
      <w:r>
        <w:rPr>
          <w:rFonts w:ascii="Times New Roman" w:hAnsi="Times New Roman"/>
          <w:b/>
          <w:i w:val="false"/>
          <w:color w:val="000000"/>
          <w:sz w:val="22"/>
        </w:rPr>
        <w:t>545—5.1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In lieu of the words “(designate office)”, insert “Room 12, State Capitol, Des Moines, Iowa 50319”. In lieu of the words “(AGENCY NAME)”, the heading on the petition form should read:</w:t>
      </w:r>
    </w:p>
    <w:p>
      <w:pPr>
        <w:spacing w:before="0" w:after="0"/>
        <w:ind w:left="120"/>
        <w:jc w:val="center"/>
      </w:pPr>
      <w:r>
        <w:rPr>
          <w:rFonts w:ascii="Times New Roman" w:hAnsi="Times New Roman"/>
          <w:b w:val="false"/>
          <w:i w:val="false"/>
          <w:color w:val="000000"/>
          <w:sz w:val="22"/>
        </w:rPr>
        <w:t>“BEFORE THE CITY FINANCE COMMITTEE”</w:t>
      </w:r>
    </w:p>
    <w:p>
      <w:pPr>
        <w:spacing w:before="210" w:after="0"/>
        <w:ind w:left="120"/>
        <w:jc w:val="both"/>
      </w:pPr>
      <w:r>
        <w:rPr>
          <w:rFonts w:ascii="Times New Roman" w:hAnsi="Times New Roman"/>
          <w:b/>
          <w:i w:val="false"/>
          <w:color w:val="000000"/>
          <w:sz w:val="22"/>
        </w:rPr>
        <w:t>545—5.3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the words “(designate official by full title and address)”, insert “City Finance Committee, Room 12, State Capitol, Des Moines, Iowa 50319”.</w:t>
      </w:r>
    </w:p>
    <w:p>
      <w:pPr>
        <w:spacing w:before="0" w:after="0"/>
        <w:ind w:left="120"/>
        <w:jc w:val="center"/>
      </w:pPr>
      <w:r>
        <w:rPr>
          <w:rFonts w:ascii="Times New Roman" w:hAnsi="Times New Roman"/>
          <w:b w:val="false"/>
          <w:i w:val="false"/>
          <w:color w:val="000000"/>
          <w:sz w:val="21"/>
        </w:rPr>
        <w:t>[Filed 11/3/88, Notice 5/4/88—published 11/30/88, effective 1/4/89]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