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BUDGET FORMS</w:t>
      </w:r>
    </w:p>
    <w:p>
      <w:pPr>
        <w:spacing w:before="0" w:after="0"/>
        <w:ind w:left="120"/>
        <w:jc w:val="center"/>
      </w:pPr>
      <w:r>
        <w:rPr>
          <w:rFonts w:ascii="Times New Roman" w:hAnsi="Times New Roman"/>
          <w:b w:val="false"/>
          <w:i w:val="false"/>
          <w:color w:val="000000"/>
          <w:sz w:val="14"/>
        </w:rPr>
        <w:t>[Prior to 11/30/88, see City Finance Committee[230] 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545—3.1</w:t>
      </w:r>
      <w:r>
        <w:rPr>
          <w:rFonts w:ascii="Times New Roman" w:hAnsi="Times New Roman"/>
          <w:b/>
          <w:i w:val="false"/>
          <w:color w:val="000000"/>
          <w:sz w:val="22"/>
        </w:rPr>
        <w:t xml:space="preserve">(384) </w:t>
      </w:r>
      <w:r>
        <w:rPr>
          <w:rFonts w:ascii="Times New Roman" w:hAnsi="Times New Roman"/>
          <w:b/>
          <w:i w:val="false"/>
          <w:color w:val="000000"/>
          <w:sz w:val="22"/>
        </w:rPr>
        <w:t xml:space="preserve">Budget forms. </w:t>
      </w:r>
      <w:r>
        <w:rPr>
          <w:rFonts w:ascii="Times New Roman" w:hAnsi="Times New Roman"/>
          <w:b w:val="false"/>
          <w:i w:val="false"/>
          <w:color w:val="000000"/>
          <w:sz w:val="22"/>
        </w:rPr>
        <w:t>The city finance committee may propose to the director of the department of management forms to be used for public notice of estimates and for certifying the original budget or budget amendments.</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5">
        <w:r>
          <w:rPr>
            <w:rStyle w:val="Hyperlink"/>
            <w:rFonts w:ascii="Times New Roman" w:hAnsi="Times New Roman"/>
            <w:b w:val="false"/>
            <w:i w:val="false"/>
            <w:color w:val="000000"/>
            <w:sz w:val="22"/>
          </w:rPr>
          <w:t>384.13 to 384.22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11/4/74]</w:t>
      </w:r>
    </w:p>
    <w:p>
      <w:pPr>
        <w:spacing w:before="0" w:after="0"/>
        <w:ind w:left="120"/>
        <w:jc w:val="center"/>
      </w:pPr>
      <w:r>
        <w:rPr>
          <w:rFonts w:ascii="Times New Roman" w:hAnsi="Times New Roman"/>
          <w:b w:val="false"/>
          <w:i w:val="false"/>
          <w:color w:val="000000"/>
          <w:sz w:val="21"/>
        </w:rPr>
        <w:t>[Filed 11/3/88, Notice 5/4/88—published 11/30/88, effective 1/4/89]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84.13-22.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